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21389-1_424b5.htm"/>
        <w:bookmarkStart w:id="1" w:name="kstm26213891_424b5"/>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r>
        <mc:AlternateContent>
          <mc:Choice Requires="wps">
            <w:drawing>
              <wp:anchor behindDoc="0" distT="0" distB="0" distL="0" distR="0" simplePos="0" locked="0" layoutInCell="1" allowOverlap="1" relativeHeight="2">
                <wp:simplePos x="0" y="0"/>
                <wp:positionH relativeFrom="page">
                  <wp:posOffset>304800</wp:posOffset>
                </wp:positionH>
                <wp:positionV relativeFrom="page">
                  <wp:posOffset>9383395</wp:posOffset>
                </wp:positionV>
                <wp:extent cx="7560310" cy="381000"/>
                <wp:effectExtent l="0" t="0" r="0" b="0"/>
                <wp:wrapNone/>
                <wp:docPr id="1" name="Frame1"/>
                <a:graphic xmlns:a="http://schemas.openxmlformats.org/drawingml/2006/main">
                  <a:graphicData uri="http://schemas.microsoft.com/office/word/2010/wordprocessingShape">
                    <wps:wsp>
                      <wps:cNvSpPr txBox="1"/>
                      <wps:spPr>
                        <a:xfrm>
                          <a:off x="0" y="0"/>
                          <a:ext cx="7560310" cy="381000"/>
                        </a:xfrm>
                        <a:prstGeom prst="rect"/>
                        <a:solidFill>
                          <a:srgbClr val="FFFFFF"/>
                        </a:solidFill>
                      </wps:spPr>
                      <wps:txb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preliminary prospectus supplement is not complete and may be changed. This preliminary prospectus supplement and the accompanying prospectus are not an offer to sell these securities and are not soliciting an offer to buy these securities in any jurisdiction where the offer or sale is not permitted.</w:t>
                            </w:r>
                            <w:r>
                              <w:rPr>
                                <w:rFonts w:ascii="Helvetica;Arial;sans-serif" w:hAnsi="Helvetica;Arial;sans-serif"/>
                                <w:b/>
                                <w:color w:val="000000"/>
                                <w:spacing w:val="-2"/>
                                <w:sz w:val="16"/>
                              </w:rPr>
                              <w:t xml:space="preserve"> </w:t>
                            </w:r>
                          </w:p>
                        </w:txbxContent>
                      </wps:txbx>
                      <wps:bodyPr anchor="t" lIns="0" tIns="0" rIns="0" bIns="0">
                        <a:noAutofit/>
                      </wps:bodyPr>
                    </wps:wsp>
                  </a:graphicData>
                </a:graphic>
              </wp:anchor>
            </w:drawing>
          </mc:Choice>
          <mc:Fallback>
            <w:pict>
              <v:rect style="position:absolute;rotation:-0;width:595.3pt;height:30pt;mso-wrap-distance-left:0pt;mso-wrap-distance-right:0pt;mso-wrap-distance-top:0pt;mso-wrap-distance-bottom:0pt;margin-top:738.85pt;mso-position-vertical-relative:page;margin-left:24pt;mso-position-horizontal-relative:page">
                <v:textbo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preliminary prospectus supplement is not complete and may be changed. This preliminary prospectus supplement and the accompanying prospectus are not an offer to sell these securities and are not soliciting an offer to buy these securities in any jurisdiction where the offer or sale is not permitted.</w:t>
                      </w:r>
                      <w:r>
                        <w:rPr>
                          <w:rFonts w:ascii="Helvetica;Arial;sans-serif" w:hAnsi="Helvetica;Arial;sans-serif"/>
                          <w:b/>
                          <w:color w:val="000000"/>
                          <w:spacing w:val="-2"/>
                          <w:sz w:val="16"/>
                        </w:rPr>
                        <w:t xml:space="preserve"> </w:t>
                      </w:r>
                    </w:p>
                  </w:txbxContent>
                </v:textbox>
                <w10:wrap type="none"/>
              </v:rect>
            </w:pict>
          </mc:Fallback>
        </mc:AlternateContent>
      </w:r>
    </w:p>
    <w:p>
      <w:pPr>
        <w:pStyle w:val="TextBody"/>
        <w:bidi w:val="0"/>
        <w:spacing w:before="557" w:after="437"/>
        <w:ind w:left="1260" w:right="0" w:hanging="0"/>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Filed Pursuant to Rule 424(b)(5)</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 Registration No. 333-295924</w:t>
      </w:r>
      <w:r>
        <w:rPr>
          <w:rFonts w:ascii="Times New Roman;Times;serif" w:hAnsi="Times New Roman;Times;serif"/>
          <w:b/>
          <w:i w:val="false"/>
          <w:caps w:val="false"/>
          <w:smallCaps w:val="false"/>
          <w:color w:val="000000"/>
          <w:sz w:val="20"/>
        </w:rPr>
        <w:t>​</w:t>
      </w:r>
    </w:p>
    <w:p>
      <w:pPr>
        <w:pStyle w:val="TextBody"/>
        <w:bidi w:val="0"/>
        <w:spacing w:lineRule="atLeast" w:line="200" w:before="40" w:after="283"/>
        <w:jc w:val="center"/>
        <w:rPr>
          <w:rFonts w:ascii="Times New Roman;Times;serif" w:hAnsi="Times New Roman;Times;serif"/>
          <w:b/>
          <w:i w:val="false"/>
          <w:caps w:val="false"/>
          <w:smallCaps w:val="false"/>
          <w:color w:val="FC0014"/>
          <w:sz w:val="17"/>
        </w:rPr>
      </w:pPr>
      <w:r>
        <w:rPr>
          <w:rFonts w:ascii="Times New Roman;Times;serif" w:hAnsi="Times New Roman;Times;serif"/>
          <w:b/>
          <w:i w:val="false"/>
          <w:caps w:val="false"/>
          <w:smallCaps w:val="false"/>
          <w:color w:val="FC0014"/>
          <w:spacing w:val="-3"/>
          <w:sz w:val="17"/>
        </w:rPr>
        <w:t>SUBJECT TO COMPLETION, DATED JULY 30, 2026</w:t>
      </w:r>
      <w:r>
        <w:rPr>
          <w:rFonts w:ascii="Times New Roman;Times;serif" w:hAnsi="Times New Roman;Times;serif"/>
          <w:b/>
          <w:i w:val="false"/>
          <w:caps w:val="false"/>
          <w:smallCaps w:val="false"/>
          <w:color w:val="000000"/>
          <w:spacing w:val="3"/>
          <w:sz w:val="17"/>
        </w:rPr>
        <w:t xml:space="preserve"> </w:t>
      </w:r>
    </w:p>
    <w:p>
      <w:pPr>
        <w:pStyle w:val="TextBody"/>
        <w:bidi w:val="0"/>
        <w:spacing w:lineRule="atLeast" w:line="180" w:before="80" w:after="283"/>
        <w:jc w:val="left"/>
        <w:rPr>
          <w:rFonts w:ascii="Times New Roman;Times;serif" w:hAnsi="Times New Roman;Times;serif"/>
          <w:b/>
          <w:i w:val="false"/>
          <w:caps w:val="false"/>
          <w:smallCaps w:val="false"/>
          <w:color w:val="000000"/>
          <w:sz w:val="17"/>
        </w:rPr>
      </w:pPr>
      <w:r>
        <w:rPr>
          <w:rFonts w:ascii="Times New Roman;Times;serif" w:hAnsi="Times New Roman;Times;serif"/>
          <w:b/>
          <w:i w:val="false"/>
          <w:caps w:val="false"/>
          <w:smallCaps w:val="false"/>
          <w:color w:val="000000"/>
          <w:spacing w:val="-3"/>
          <w:sz w:val="17"/>
        </w:rPr>
        <w:t xml:space="preserve">PRELIMINARY PROSPECTUS SUPPLEMENT </w:t>
      </w:r>
      <w:r>
        <w:rPr>
          <w:rFonts w:ascii="Times New Roman;Times;serif" w:hAnsi="Times New Roman;Times;serif"/>
          <w:b/>
          <w:i w:val="false"/>
          <w:caps w:val="false"/>
          <w:smallCaps w:val="false"/>
          <w:color w:val="000000"/>
          <w:sz w:val="17"/>
        </w:rPr>
        <w:br/>
      </w:r>
      <w:r>
        <w:rPr>
          <w:rFonts w:ascii="Times New Roman;Times;serif" w:hAnsi="Times New Roman;Times;serif"/>
          <w:b/>
          <w:i w:val="false"/>
          <w:caps w:val="false"/>
          <w:smallCaps w:val="false"/>
          <w:color w:val="000000"/>
          <w:spacing w:val="-3"/>
          <w:sz w:val="17"/>
        </w:rPr>
        <w:t>(To Prospectus dated May 15, 2026)</w:t>
      </w:r>
      <w:r>
        <w:rPr>
          <w:rFonts w:ascii="Times New Roman;Times;serif" w:hAnsi="Times New Roman;Times;serif"/>
          <w:b/>
          <w:i w:val="false"/>
          <w:caps w:val="false"/>
          <w:smallCaps w:val="false"/>
          <w:color w:val="000000"/>
          <w:spacing w:val="3"/>
          <w:sz w:val="17"/>
        </w:rPr>
        <w:t xml:space="preserve"> </w:t>
      </w:r>
    </w:p>
    <w:p>
      <w:pPr>
        <w:pStyle w:val="TextBody"/>
        <w:bidi w:val="0"/>
        <w:spacing w:lineRule="atLeast" w:line="320" w:before="8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w:t>
      </w:r>
      <w:r>
        <w:rPr>
          <w:rFonts w:ascii="Times New Roman;Times;serif" w:hAnsi="Times New Roman;Times;serif"/>
          <w:b/>
          <w:i w:val="false"/>
          <w:caps w:val="false"/>
          <w:smallCaps w:val="false"/>
          <w:color w:val="000000"/>
          <w:spacing w:val="6"/>
          <w:sz w:val="28"/>
        </w:rPr>
        <w:t xml:space="preserve"> </w:t>
      </w:r>
    </w:p>
    <w:p>
      <w:pPr>
        <w:pStyle w:val="TextBody"/>
        <w:bidi w:val="0"/>
        <w:spacing w:before="100" w:after="283"/>
        <w:jc w:val="center"/>
        <w:rPr>
          <w:caps w:val="false"/>
          <w:smallCaps w:val="false"/>
          <w:color w:val="000000"/>
        </w:rPr>
      </w:pPr>
      <w:r>
        <w:rPr>
          <w:caps w:val="false"/>
          <w:smallCaps w:val="false"/>
          <w:color w:val="000000"/>
        </w:rPr>
        <w:drawing>
          <wp:inline distT="0" distB="0" distL="0" distR="0">
            <wp:extent cx="1838325" cy="63817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838325" cy="638175"/>
                    </a:xfrm>
                    <a:prstGeom prst="rect">
                      <a:avLst/>
                    </a:prstGeom>
                  </pic:spPr>
                </pic:pic>
              </a:graphicData>
            </a:graphic>
          </wp:inline>
        </w:drawing>
      </w:r>
      <w:r>
        <w:rPr>
          <w:caps w:val="false"/>
          <w:smallCaps w:val="false"/>
          <w:color w:val="000000"/>
        </w:rPr>
        <w:t xml:space="preserve"> </w:t>
      </w:r>
    </w:p>
    <w:p>
      <w:pPr>
        <w:pStyle w:val="TextBody"/>
        <w:bidi w:val="0"/>
        <w:spacing w:lineRule="atLeast" w:line="360" w:before="306"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CenterPoint Energy, Inc.</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320" w:before="80" w:after="283"/>
        <w:jc w:val="center"/>
        <w:rPr>
          <w:caps w:val="false"/>
          <w:smallCaps w:val="false"/>
          <w:color w:val="000000"/>
        </w:rPr>
      </w:pPr>
      <w:r>
        <w:rPr>
          <w:caps w:val="false"/>
          <w:smallCaps w:val="false"/>
          <w:color w:val="000000"/>
          <w:spacing w:val="-6"/>
        </w:rPr>
        <w:t>   </w:t>
      </w:r>
      <w:r>
        <w:rPr>
          <w:rFonts w:ascii="Times New Roman;Times;serif" w:hAnsi="Times New Roman;Times;serif"/>
          <w:b/>
          <w:i w:val="false"/>
          <w:caps w:val="false"/>
          <w:smallCaps w:val="false"/>
          <w:color w:val="000000"/>
          <w:spacing w:val="-6"/>
          <w:sz w:val="28"/>
        </w:rPr>
        <w:t>% Fixed-to-Fixed Reset Rate Junior Subordinated Notes, Series E, due 2058</w:t>
      </w:r>
      <w:r>
        <w:rPr>
          <w:rFonts w:ascii="Times New Roman;Times;serif" w:hAnsi="Times New Roman;Times;serif"/>
          <w:b/>
          <w:i w:val="false"/>
          <w:caps w:val="false"/>
          <w:smallCaps w:val="false"/>
          <w:color w:val="000000"/>
          <w:spacing w:val="6"/>
          <w:sz w:val="28"/>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106" w:after="283"/>
        <w:ind w:left="1260" w:right="0" w:firstLine="400"/>
        <w:jc w:val="left"/>
        <w:rPr>
          <w:rFonts w:ascii="Times New Roman;Times;serif" w:hAnsi="Times New Roman;Times;serif"/>
          <w:b w:val="false"/>
          <w:i w:val="false"/>
          <w:caps w:val="false"/>
          <w:smallCaps w:val="false"/>
          <w:color w:val="000000"/>
          <w:spacing w:val="3"/>
          <w:sz w:val="17"/>
        </w:rPr>
      </w:pPr>
      <w:r>
        <w:rPr>
          <w:rFonts w:ascii="Times New Roman;Times;serif" w:hAnsi="Times New Roman;Times;serif"/>
          <w:b w:val="false"/>
          <w:i w:val="false"/>
          <w:caps w:val="false"/>
          <w:smallCaps w:val="false"/>
          <w:color w:val="000000"/>
          <w:spacing w:val="3"/>
          <w:sz w:val="17"/>
        </w:rPr>
        <w:t xml:space="preserve">This is an offering of $      aggregate principal amount of     % Fixed-to-Fixed Reset Rate Junior Subordinated Notes, Series E, due 2058 (the “notes”) to be issued by CenterPoint Energy, Inc., a Texas corporation. The notes will bear interest (i) from and including the date of original issuance to, but excluding, August 15, 2033 at an annual rate of     % and (ii) from and including August 15, 2033 during each Interest Reset Period (as defined in this prospectus supplement) at an annual rate equal to the Five-Year Treasury Rate (as defined in this prospectus supplement) as of the most recent Reset Interest Determination Date (as defined in this prospectus supplement), plus a spread of      %; provided that the interest rate during any Interest Reset Period will not reset below     % per annum (which is the same interest rate as in effect from and including the original issue date to, but excluding, the First Reset Date (as defined herein) (the “Initial Fixed Period”)). Interest on the notes will be payable semi-annually in arrears on February 15 and August 15 of each year beginning on February 15, 2027. The notes will be issued in registered form and in denominations of $2,000 and integral multiples of $1,000 in excess thereof. The notes will mature on August 15, 2058. </w:t>
      </w:r>
    </w:p>
    <w:p>
      <w:pPr>
        <w:pStyle w:val="TextBody"/>
        <w:bidi w:val="0"/>
        <w:spacing w:lineRule="atLeast" w:line="180" w:before="60" w:after="283"/>
        <w:ind w:left="1260" w:right="0" w:firstLine="400"/>
        <w:jc w:val="left"/>
        <w:rPr>
          <w:rFonts w:ascii="Times New Roman;Times;serif" w:hAnsi="Times New Roman;Times;serif"/>
          <w:b w:val="false"/>
          <w:i w:val="false"/>
          <w:caps w:val="false"/>
          <w:smallCaps w:val="false"/>
          <w:color w:val="000000"/>
          <w:spacing w:val="3"/>
          <w:sz w:val="17"/>
        </w:rPr>
      </w:pPr>
      <w:r>
        <w:rPr>
          <w:rFonts w:ascii="Times New Roman;Times;serif" w:hAnsi="Times New Roman;Times;serif"/>
          <w:b w:val="false"/>
          <w:i w:val="false"/>
          <w:caps w:val="false"/>
          <w:smallCaps w:val="false"/>
          <w:color w:val="000000"/>
          <w:spacing w:val="3"/>
          <w:sz w:val="17"/>
        </w:rPr>
        <w:t xml:space="preserve">So long as no event of default (as defined in this prospectus supplement) with respect to the notes has occurred and is continuing, we may, at our option, defer interest payments on the notes on one or more occasions, from time to time, for up to 20 consecutive semi-annual interest payment periods (as defined in this prospectus supplement). During any deferral period, interest on the notes will continue to accrue at the then-applicable interest rate on the notes and, in addition, interest on deferred interest will accrue at the then-applicable interest rate on the notes, compounded semi-annually, to the extent permitted by applicable law, as described in this prospectus supplement. </w:t>
      </w:r>
    </w:p>
    <w:p>
      <w:pPr>
        <w:pStyle w:val="TextBody"/>
        <w:bidi w:val="0"/>
        <w:spacing w:lineRule="atLeast" w:line="180" w:before="60" w:after="283"/>
        <w:ind w:left="1260" w:right="0" w:firstLine="400"/>
        <w:jc w:val="left"/>
        <w:rPr>
          <w:rFonts w:ascii="Times New Roman;Times;serif" w:hAnsi="Times New Roman;Times;serif"/>
          <w:b w:val="false"/>
          <w:i w:val="false"/>
          <w:caps w:val="false"/>
          <w:smallCaps w:val="false"/>
          <w:color w:val="000000"/>
          <w:spacing w:val="3"/>
          <w:sz w:val="17"/>
        </w:rPr>
      </w:pPr>
      <w:r>
        <w:rPr>
          <w:rFonts w:ascii="Times New Roman;Times;serif" w:hAnsi="Times New Roman;Times;serif"/>
          <w:b w:val="false"/>
          <w:i w:val="false"/>
          <w:caps w:val="false"/>
          <w:smallCaps w:val="false"/>
          <w:color w:val="000000"/>
          <w:spacing w:val="3"/>
          <w:sz w:val="17"/>
        </w:rPr>
        <w:t xml:space="preserve">We may redeem the notes before their maturity date at our option at the times and at the redemption prices described in this prospectus supplement. </w:t>
      </w:r>
    </w:p>
    <w:p>
      <w:pPr>
        <w:pStyle w:val="TextBody"/>
        <w:bidi w:val="0"/>
        <w:spacing w:lineRule="atLeast" w:line="180" w:before="60" w:after="283"/>
        <w:ind w:left="1260" w:right="0" w:firstLine="400"/>
        <w:jc w:val="left"/>
        <w:rPr>
          <w:rFonts w:ascii="Times New Roman;Times;serif" w:hAnsi="Times New Roman;Times;serif"/>
          <w:b w:val="false"/>
          <w:i w:val="false"/>
          <w:caps w:val="false"/>
          <w:smallCaps w:val="false"/>
          <w:color w:val="000000"/>
          <w:spacing w:val="3"/>
          <w:sz w:val="17"/>
        </w:rPr>
      </w:pPr>
      <w:r>
        <w:rPr>
          <w:rFonts w:ascii="Times New Roman;Times;serif" w:hAnsi="Times New Roman;Times;serif"/>
          <w:b w:val="false"/>
          <w:i w:val="false"/>
          <w:caps w:val="false"/>
          <w:smallCaps w:val="false"/>
          <w:color w:val="000000"/>
          <w:spacing w:val="3"/>
          <w:sz w:val="17"/>
        </w:rPr>
        <w:t xml:space="preserve">The notes will be our unsecured obligations and will rank junior and subordinate in right of payment to the prior payment in full of our existing and future Senior Indebtedness (as defined in this prospectus supplement). See “Description of Notes — Ranking” and “Description of Notes — Subordination.” </w:t>
      </w:r>
    </w:p>
    <w:p>
      <w:pPr>
        <w:pStyle w:val="TextBody"/>
        <w:bidi w:val="0"/>
        <w:spacing w:lineRule="atLeast" w:line="180" w:before="60" w:after="283"/>
        <w:ind w:left="1260" w:right="0" w:firstLine="400"/>
        <w:jc w:val="left"/>
        <w:rPr/>
      </w:pPr>
      <w:r>
        <w:rPr>
          <w:rFonts w:ascii="Times New Roman;Times;serif" w:hAnsi="Times New Roman;Times;serif"/>
          <w:b/>
          <w:i w:val="false"/>
          <w:caps w:val="false"/>
          <w:smallCaps w:val="false"/>
          <w:color w:val="000000"/>
          <w:spacing w:val="-3"/>
          <w:sz w:val="17"/>
        </w:rPr>
        <w:t xml:space="preserve">Investing in the notes involves risks. See “Risk Factors” on page </w:t>
      </w:r>
      <w:hyperlink w:anchor="tRIFA">
        <w:r>
          <w:rPr>
            <w:rStyle w:val="InternetLink"/>
          </w:rPr>
          <w:t>S-9</w:t>
        </w:r>
      </w:hyperlink>
      <w:r>
        <w:rPr>
          <w:rFonts w:ascii="Times New Roman;Times;serif" w:hAnsi="Times New Roman;Times;serif"/>
          <w:b/>
          <w:i w:val="false"/>
          <w:caps w:val="false"/>
          <w:smallCaps w:val="false"/>
          <w:color w:val="000000"/>
          <w:spacing w:val="-3"/>
          <w:sz w:val="17"/>
        </w:rPr>
        <w:t xml:space="preserve"> of this prospectus supplement and page </w:t>
      </w:r>
      <w:hyperlink w:anchor="tRIFA1">
        <w:r>
          <w:rPr>
            <w:rStyle w:val="InternetLink"/>
          </w:rPr>
          <w:t>4</w:t>
        </w:r>
      </w:hyperlink>
      <w:r>
        <w:rPr>
          <w:rFonts w:ascii="Times New Roman;Times;serif" w:hAnsi="Times New Roman;Times;serif"/>
          <w:b/>
          <w:i w:val="false"/>
          <w:caps w:val="false"/>
          <w:smallCaps w:val="false"/>
          <w:color w:val="000000"/>
          <w:spacing w:val="-3"/>
          <w:sz w:val="17"/>
        </w:rPr>
        <w:t xml:space="preserve"> of the accompanying prospectus. </w:t>
      </w:r>
    </w:p>
    <w:p>
      <w:pPr>
        <w:pStyle w:val="TextBody"/>
        <w:bidi w:val="0"/>
        <w:spacing w:lineRule="atLeast" w:line="180" w:before="60" w:after="283"/>
        <w:ind w:left="1260" w:right="0" w:firstLine="400"/>
        <w:jc w:val="left"/>
        <w:rPr>
          <w:rFonts w:ascii="Times New Roman;Times;serif" w:hAnsi="Times New Roman;Times;serif"/>
          <w:b/>
          <w:i w:val="false"/>
          <w:caps w:val="false"/>
          <w:smallCaps w:val="false"/>
          <w:color w:val="000000"/>
          <w:sz w:val="17"/>
        </w:rPr>
      </w:pPr>
      <w:r>
        <w:rPr>
          <w:rFonts w:ascii="Times New Roman;Times;serif" w:hAnsi="Times New Roman;Times;serif"/>
          <w:b/>
          <w:i w:val="false"/>
          <w:caps w:val="false"/>
          <w:smallCaps w:val="false"/>
          <w:color w:val="000000"/>
          <w:spacing w:val="-3"/>
          <w:sz w:val="17"/>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r>
        <w:rPr>
          <w:rFonts w:ascii="Times New Roman;Times;serif" w:hAnsi="Times New Roman;Times;serif"/>
          <w:b/>
          <w:i w:val="false"/>
          <w:caps w:val="false"/>
          <w:smallCaps w:val="false"/>
          <w:color w:val="000000"/>
          <w:spacing w:val="3"/>
          <w:sz w:val="17"/>
        </w:rPr>
        <w:t xml:space="preserve"> </w:t>
      </w:r>
    </w:p>
    <w:p>
      <w:pPr>
        <w:pStyle w:val="TextBody"/>
        <w:bidi w:val="0"/>
        <w:spacing w:lineRule="atLeast" w:line="180" w:before="60" w:after="283"/>
        <w:ind w:left="1260" w:right="0" w:firstLine="400"/>
        <w:jc w:val="left"/>
        <w:rPr>
          <w:rFonts w:ascii="Times New Roman;Times;serif" w:hAnsi="Times New Roman;Times;serif"/>
          <w:b/>
          <w:i w:val="false"/>
          <w:caps w:val="false"/>
          <w:smallCaps w:val="false"/>
          <w:color w:val="000000"/>
          <w:sz w:val="17"/>
        </w:rPr>
      </w:pPr>
      <w:r>
        <w:rPr>
          <w:rFonts w:ascii="Times New Roman;Times;serif" w:hAnsi="Times New Roman;Times;serif"/>
          <w:b/>
          <w:i w:val="false"/>
          <w:caps w:val="false"/>
          <w:smallCaps w:val="false"/>
          <w:color w:val="000000"/>
          <w:spacing w:val="-3"/>
          <w:sz w:val="17"/>
        </w:rPr>
        <w:t>This prospectus supplement and the accompanying prospectus are not intended to constitute an offer to, and the notes should not be purchased, held or otherwise acquired by, a “specified foreign entity” as defined in Section 7701(a)(51)(B) of the Internal Revenue Code of 1986, as amended. By purchasing the notes, any investor in the notes (including all affiliated entities that participate in such purchase) will be deemed to represent and warrant to us that it is not, and will not be, for its taxable year that includes the date of the original issuance of the notes, a specified foreign entity.</w:t>
      </w:r>
      <w:r>
        <w:rPr>
          <w:rFonts w:ascii="Times New Roman;Times;serif" w:hAnsi="Times New Roman;Times;serif"/>
          <w:b/>
          <w:i w:val="false"/>
          <w:caps w:val="false"/>
          <w:smallCaps w:val="false"/>
          <w:color w:val="000000"/>
          <w:spacing w:val="3"/>
          <w:sz w:val="17"/>
        </w:rPr>
        <w:t xml:space="preserve"> </w:t>
      </w:r>
    </w:p>
    <w:tbl>
      <w:tblPr>
        <w:tblW w:w="8717" w:type="dxa"/>
        <w:jc w:val="left"/>
        <w:tblInd w:w="1260" w:type="dxa"/>
        <w:tblLayout w:type="fixed"/>
        <w:tblCellMar>
          <w:top w:w="0" w:type="dxa"/>
          <w:left w:w="0" w:type="dxa"/>
          <w:bottom w:w="28" w:type="dxa"/>
          <w:right w:w="0" w:type="dxa"/>
        </w:tblCellMar>
      </w:tblPr>
      <w:tblGrid>
        <w:gridCol w:w="5629"/>
        <w:gridCol w:w="109"/>
        <w:gridCol w:w="109"/>
        <w:gridCol w:w="109"/>
        <w:gridCol w:w="109"/>
        <w:gridCol w:w="841"/>
        <w:gridCol w:w="109"/>
        <w:gridCol w:w="109"/>
        <w:gridCol w:w="109"/>
        <w:gridCol w:w="109"/>
        <w:gridCol w:w="226"/>
        <w:gridCol w:w="886"/>
        <w:gridCol w:w="109"/>
        <w:gridCol w:w="154"/>
      </w:tblGrid>
      <w:tr>
        <w:trPr/>
        <w:tc>
          <w:tcPr>
            <w:tcW w:w="562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68" w:type="dxa"/>
            <w:gridSpan w:val="4"/>
            <w:tcBorders>
              <w:bottom w:val="single" w:sz="2" w:space="0" w:color="000000"/>
            </w:tcBorders>
            <w:tcMar>
              <w:bottom w:w="30" w:type="dxa"/>
            </w:tcMar>
            <w:vAlign w:val="center"/>
          </w:tcPr>
          <w:p>
            <w:pPr>
              <w:pStyle w:val="TableContents"/>
              <w:bidi w:val="0"/>
              <w:spacing w:before="0" w:after="0"/>
              <w:jc w:val="center"/>
              <w:rPr>
                <w:spacing w:val="-3"/>
              </w:rPr>
            </w:pPr>
            <w:r>
              <w:rPr>
                <w:spacing w:val="-3"/>
              </w:rPr>
              <w:t xml:space="preserve">Per Note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30" w:type="dxa"/>
            </w:tcMar>
            <w:vAlign w:val="center"/>
          </w:tcPr>
          <w:p>
            <w:pPr>
              <w:pStyle w:val="TableContents"/>
              <w:bidi w:val="0"/>
              <w:spacing w:before="0" w:after="0"/>
              <w:jc w:val="center"/>
              <w:rPr>
                <w:spacing w:val="-3"/>
              </w:rPr>
            </w:pPr>
            <w:r>
              <w:rPr>
                <w:spacing w:val="-3"/>
              </w:rPr>
              <w:t xml:space="preserve">Total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629" w:type="dxa"/>
            <w:tcBorders/>
            <w:shd w:fill="CCEEFF" w:val="clear"/>
            <w:tcMar>
              <w:bottom w:w="0" w:type="dxa"/>
            </w:tcMar>
            <w:vAlign w:val="center"/>
          </w:tcPr>
          <w:p>
            <w:pPr>
              <w:pStyle w:val="TableContents"/>
              <w:bidi w:val="0"/>
              <w:spacing w:before="0" w:after="0"/>
              <w:jc w:val="left"/>
              <w:rPr/>
            </w:pPr>
            <w:r>
              <w:rPr>
                <w:spacing w:val="3"/>
              </w:rPr>
              <w:t>Public offering price</w:t>
            </w:r>
            <w:r>
              <w:rPr>
                <w:spacing w:val="2"/>
                <w:sz w:val="10"/>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    </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629" w:type="dxa"/>
            <w:tcBorders/>
            <w:tcMar>
              <w:bottom w:w="0" w:type="dxa"/>
            </w:tcMar>
            <w:vAlign w:val="center"/>
          </w:tcPr>
          <w:p>
            <w:pPr>
              <w:pStyle w:val="TableContents"/>
              <w:bidi w:val="0"/>
              <w:spacing w:before="0" w:after="0"/>
              <w:jc w:val="left"/>
              <w:rPr>
                <w:spacing w:val="3"/>
              </w:rPr>
            </w:pPr>
            <w:r>
              <w:rPr>
                <w:spacing w:val="3"/>
              </w:rPr>
              <w:t xml:space="preserve">Underwriting discount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left"/>
              <w:rPr>
                <w:sz w:val="4"/>
                <w:szCs w:val="4"/>
              </w:rPr>
            </w:pPr>
            <w:r>
              <w:rPr>
                <w:sz w:val="4"/>
                <w:szCs w:val="4"/>
              </w:rPr>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629" w:type="dxa"/>
            <w:tcBorders/>
            <w:shd w:fill="CCEEFF" w:val="clear"/>
            <w:tcMar>
              <w:bottom w:w="0" w:type="dxa"/>
            </w:tcMar>
            <w:vAlign w:val="center"/>
          </w:tcPr>
          <w:p>
            <w:pPr>
              <w:pStyle w:val="TableContents"/>
              <w:bidi w:val="0"/>
              <w:spacing w:before="0" w:after="0"/>
              <w:jc w:val="left"/>
              <w:rPr/>
            </w:pPr>
            <w:r>
              <w:rPr>
                <w:spacing w:val="3"/>
              </w:rPr>
              <w:t>Proceeds, before expenses, to CenterPoint Energy, Inc.</w:t>
            </w:r>
            <w:r>
              <w:rPr>
                <w:spacing w:val="2"/>
                <w:sz w:val="10"/>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26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6" w:before="160" w:after="0"/>
        <w:ind w:left="1660" w:right="0" w:hanging="0"/>
        <w:jc w:val="left"/>
        <w:rPr>
          <w:rFonts w:ascii="Times New Roman;Times;serif" w:hAnsi="Times New Roman;Times;serif"/>
          <w:b w:val="false"/>
          <w:i w:val="false"/>
          <w:caps w:val="false"/>
          <w:smallCaps w:val="false"/>
          <w:color w:val="000000"/>
          <w:spacing w:val="3"/>
          <w:sz w:val="17"/>
        </w:rPr>
      </w:pPr>
      <w:r>
        <w:rPr>
          <w:rFonts w:ascii="Times New Roman;Times;serif" w:hAnsi="Times New Roman;Times;serif"/>
          <w:b w:val="false"/>
          <w:i w:val="false"/>
          <w:caps w:val="false"/>
          <w:smallCaps w:val="false"/>
          <w:color w:val="000000"/>
          <w:spacing w:val="3"/>
          <w:sz w:val="17"/>
        </w:rPr>
        <w:t xml:space="preserve">Plus accrued interest, if any, from August   , 2026, if settlement occurs after that date. </w:t>
      </w:r>
      <w:r>
        <mc:AlternateContent>
          <mc:Choice Requires="wps">
            <w:drawing>
              <wp:anchor behindDoc="0" distT="101600" distB="0" distL="0" distR="0" simplePos="0" locked="0" layoutInCell="1" allowOverlap="1" relativeHeight="4">
                <wp:simplePos x="0" y="0"/>
                <wp:positionH relativeFrom="column">
                  <wp:align>left</wp:align>
                </wp:positionH>
                <wp:positionV relativeFrom="line">
                  <wp:align>top</wp:align>
                </wp:positionV>
                <wp:extent cx="254000" cy="350520"/>
                <wp:effectExtent l="0" t="0" r="0" b="0"/>
                <wp:wrapSquare wrapText="right"/>
                <wp:docPr id="3"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3"/>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3"/>
                        </w:rPr>
                        <w:t>(1)</w:t>
                      </w:r>
                      <w:r>
                        <w:rPr/>
                        <w:t xml:space="preserve"> </w:t>
                        <w:br/>
                      </w:r>
                    </w:p>
                  </w:txbxContent>
                </v:textbox>
                <w10:wrap type="square" side="right"/>
              </v:rect>
            </w:pict>
          </mc:Fallback>
        </mc:AlternateContent>
      </w:r>
    </w:p>
    <w:p>
      <w:pPr>
        <w:pStyle w:val="TextBody"/>
        <w:bidi w:val="0"/>
        <w:spacing w:before="0" w:after="0"/>
        <w:ind w:left="1260" w:right="0" w:hanging="0"/>
        <w:jc w:val="left"/>
        <w:rPr>
          <w:caps w:val="false"/>
          <w:smallCaps w:val="false"/>
          <w:color w:val="000000"/>
        </w:rPr>
      </w:pPr>
      <w:r>
        <w:rPr>
          <w:caps w:val="false"/>
          <w:smallCaps w:val="false"/>
          <w:color w:val="000000"/>
        </w:rPr>
        <w:t>​</w:t>
      </w:r>
    </w:p>
    <w:p>
      <w:pPr>
        <w:pStyle w:val="TextBody"/>
        <w:bidi w:val="0"/>
        <w:spacing w:lineRule="atLeast" w:line="180" w:before="60" w:after="283"/>
        <w:ind w:left="1260" w:right="0" w:firstLine="400"/>
        <w:jc w:val="left"/>
        <w:rPr>
          <w:rFonts w:ascii="Times New Roman;Times;serif" w:hAnsi="Times New Roman;Times;serif"/>
          <w:b w:val="false"/>
          <w:i w:val="false"/>
          <w:caps w:val="false"/>
          <w:smallCaps w:val="false"/>
          <w:color w:val="000000"/>
          <w:spacing w:val="3"/>
          <w:sz w:val="17"/>
        </w:rPr>
      </w:pPr>
      <w:r>
        <w:rPr>
          <w:rFonts w:ascii="Times New Roman;Times;serif" w:hAnsi="Times New Roman;Times;serif"/>
          <w:b w:val="false"/>
          <w:i w:val="false"/>
          <w:caps w:val="false"/>
          <w:smallCaps w:val="false"/>
          <w:color w:val="000000"/>
          <w:spacing w:val="3"/>
          <w:sz w:val="17"/>
        </w:rPr>
        <w:t xml:space="preserve">The underwriters expect to deliver the notes to purchasers through the book-entry facilities of The Depository Trust Company and for the accounts of its participants, including Clearstream Banking S.A. and Euroclear Bank SA/NV, as operator of the Euroclear System, against payment in New York, New York on or about August   , 2026.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106" w:after="283"/>
        <w:jc w:val="center"/>
        <w:rPr>
          <w:rFonts w:ascii="Times New Roman;Times;serif" w:hAnsi="Times New Roman;Times;serif"/>
          <w:b/>
          <w:i/>
          <w:caps w:val="false"/>
          <w:smallCaps w:val="false"/>
          <w:color w:val="000000"/>
          <w:sz w:val="17"/>
        </w:rPr>
      </w:pPr>
      <w:r>
        <w:rPr>
          <w:rFonts w:ascii="Times New Roman;Times;serif" w:hAnsi="Times New Roman;Times;serif"/>
          <w:b/>
          <w:i/>
          <w:caps w:val="false"/>
          <w:smallCaps w:val="false"/>
          <w:color w:val="000000"/>
          <w:spacing w:val="-3"/>
          <w:sz w:val="17"/>
        </w:rPr>
        <w:t>Joint Book-Running Managers</w:t>
      </w:r>
      <w:r>
        <w:rPr>
          <w:rFonts w:ascii="Times New Roman;Times;serif" w:hAnsi="Times New Roman;Times;serif"/>
          <w:b/>
          <w:i/>
          <w:caps w:val="false"/>
          <w:smallCaps w:val="false"/>
          <w:color w:val="000000"/>
          <w:spacing w:val="3"/>
          <w:sz w:val="17"/>
        </w:rPr>
        <w:t xml:space="preserve"> </w:t>
      </w:r>
    </w:p>
    <w:tbl>
      <w:tblPr>
        <w:tblW w:w="7880" w:type="dxa"/>
        <w:jc w:val="left"/>
        <w:tblInd w:w="1260" w:type="dxa"/>
        <w:tblLayout w:type="fixed"/>
        <w:tblCellMar>
          <w:top w:w="0" w:type="dxa"/>
          <w:left w:w="0" w:type="dxa"/>
          <w:bottom w:w="0" w:type="dxa"/>
          <w:right w:w="0" w:type="dxa"/>
        </w:tblCellMar>
      </w:tblPr>
      <w:tblGrid>
        <w:gridCol w:w="124"/>
        <w:gridCol w:w="876"/>
        <w:gridCol w:w="109"/>
        <w:gridCol w:w="109"/>
        <w:gridCol w:w="1416"/>
        <w:gridCol w:w="109"/>
        <w:gridCol w:w="109"/>
        <w:gridCol w:w="1701"/>
        <w:gridCol w:w="109"/>
        <w:gridCol w:w="109"/>
        <w:gridCol w:w="1421"/>
        <w:gridCol w:w="109"/>
        <w:gridCol w:w="109"/>
        <w:gridCol w:w="1316"/>
        <w:gridCol w:w="154"/>
      </w:tblGrid>
      <w:tr>
        <w:trPr/>
        <w:tc>
          <w:tcPr>
            <w:tcW w:w="124" w:type="dxa"/>
            <w:tcBorders/>
            <w:vAlign w:val="center"/>
          </w:tcPr>
          <w:p>
            <w:pPr>
              <w:pStyle w:val="TableContents"/>
              <w:bidi w:val="0"/>
              <w:spacing w:before="0" w:after="283"/>
              <w:jc w:val="left"/>
              <w:rPr/>
            </w:pPr>
            <w:r>
              <w:rPr/>
              <w:t>​</w:t>
            </w:r>
          </w:p>
        </w:tc>
        <w:tc>
          <w:tcPr>
            <w:tcW w:w="876" w:type="dxa"/>
            <w:tcBorders/>
            <w:vAlign w:val="center"/>
          </w:tcPr>
          <w:p>
            <w:pPr>
              <w:pStyle w:val="TableContents"/>
              <w:bidi w:val="0"/>
              <w:spacing w:before="0" w:after="0"/>
              <w:jc w:val="center"/>
              <w:rPr/>
            </w:pPr>
            <w:r>
              <w:rPr>
                <w:spacing w:val="-5"/>
              </w:rPr>
              <w:t>Mizuho</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16" w:type="dxa"/>
            <w:tcBorders/>
            <w:vAlign w:val="center"/>
          </w:tcPr>
          <w:p>
            <w:pPr>
              <w:pStyle w:val="TableContents"/>
              <w:bidi w:val="0"/>
              <w:spacing w:before="0" w:after="0"/>
              <w:jc w:val="center"/>
              <w:rPr/>
            </w:pPr>
            <w:r>
              <w:rPr>
                <w:spacing w:val="-5"/>
              </w:rPr>
              <w:t xml:space="preserve">PNC Capital </w:t>
            </w:r>
            <w:r>
              <w:rPr/>
              <w:br/>
            </w:r>
            <w:r>
              <w:rPr>
                <w:spacing w:val="-5"/>
              </w:rPr>
              <w:t>Markets LLC</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01" w:type="dxa"/>
            <w:tcBorders/>
            <w:vAlign w:val="center"/>
          </w:tcPr>
          <w:p>
            <w:pPr>
              <w:pStyle w:val="TableContents"/>
              <w:bidi w:val="0"/>
              <w:spacing w:before="0" w:after="0"/>
              <w:jc w:val="center"/>
              <w:rPr/>
            </w:pPr>
            <w:r>
              <w:rPr>
                <w:spacing w:val="-5"/>
              </w:rPr>
              <w:t>Scotiabank</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21" w:type="dxa"/>
            <w:tcBorders/>
            <w:vAlign w:val="center"/>
          </w:tcPr>
          <w:p>
            <w:pPr>
              <w:pStyle w:val="TableContents"/>
              <w:bidi w:val="0"/>
              <w:spacing w:before="0" w:after="0"/>
              <w:jc w:val="center"/>
              <w:rPr/>
            </w:pPr>
            <w:r>
              <w:rPr>
                <w:spacing w:val="-5"/>
              </w:rPr>
              <w:t>TD Securities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16" w:type="dxa"/>
            <w:tcBorders/>
            <w:vAlign w:val="center"/>
          </w:tcPr>
          <w:p>
            <w:pPr>
              <w:pStyle w:val="TableContents"/>
              <w:bidi w:val="0"/>
              <w:spacing w:before="0" w:after="0"/>
              <w:jc w:val="center"/>
              <w:rPr/>
            </w:pPr>
            <w:r>
              <w:rPr>
                <w:spacing w:val="-5"/>
              </w:rPr>
              <w:t>US Bancorp</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7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16" w:type="dxa"/>
            <w:tcBorders/>
            <w:vAlign w:val="center"/>
          </w:tcPr>
          <w:p>
            <w:pPr>
              <w:pStyle w:val="TableContents"/>
              <w:bidi w:val="0"/>
              <w:spacing w:before="0" w:after="0"/>
              <w:jc w:val="center"/>
              <w:rPr/>
            </w:pPr>
            <w:r>
              <w:rPr>
                <w:spacing w:val="-5"/>
              </w:rPr>
              <w:t xml:space="preserve">BMO Capital </w:t>
            </w:r>
            <w:r>
              <w:rPr/>
              <w:br/>
            </w:r>
            <w:r>
              <w:rPr>
                <w:spacing w:val="-5"/>
              </w:rPr>
              <w:t>Markets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01" w:type="dxa"/>
            <w:tcBorders/>
            <w:vAlign w:val="center"/>
          </w:tcPr>
          <w:p>
            <w:pPr>
              <w:pStyle w:val="TableContents"/>
              <w:bidi w:val="0"/>
              <w:spacing w:before="0" w:after="0"/>
              <w:jc w:val="center"/>
              <w:rPr/>
            </w:pPr>
            <w:r>
              <w:rPr>
                <w:spacing w:val="-5"/>
              </w:rPr>
              <w:t>BNP PARIBAS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21" w:type="dxa"/>
            <w:tcBorders/>
            <w:vAlign w:val="center"/>
          </w:tcPr>
          <w:p>
            <w:pPr>
              <w:pStyle w:val="TableContents"/>
              <w:bidi w:val="0"/>
              <w:spacing w:before="0" w:after="0"/>
              <w:jc w:val="center"/>
              <w:rPr/>
            </w:pPr>
            <w:r>
              <w:rPr>
                <w:spacing w:val="-5"/>
              </w:rPr>
              <w:t xml:space="preserve">Wells Fargo </w:t>
            </w:r>
            <w:r>
              <w:rPr/>
              <w:br/>
            </w:r>
            <w:r>
              <w:rPr>
                <w:spacing w:val="-5"/>
              </w:rPr>
              <w:t>Securities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16"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02" w:type="dxa"/>
            <w:gridSpan w:val="13"/>
            <w:tcBorders/>
            <w:vAlign w:val="center"/>
          </w:tcPr>
          <w:p>
            <w:pPr>
              <w:pStyle w:val="TableContents"/>
              <w:bidi w:val="0"/>
              <w:spacing w:before="0" w:after="0"/>
              <w:jc w:val="center"/>
              <w:rPr/>
            </w:pPr>
            <w:r>
              <w:rPr>
                <w:spacing w:val="-3"/>
              </w:rPr>
              <w:t>Co-Managers</w:t>
            </w:r>
            <w:r>
              <w:rPr>
                <w:caps w:val="false"/>
                <w:smallCaps w:val="false"/>
              </w:rPr>
              <w:t>​</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7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16" w:type="dxa"/>
            <w:tcBorders/>
            <w:vAlign w:val="center"/>
          </w:tcPr>
          <w:p>
            <w:pPr>
              <w:pStyle w:val="TableContents"/>
              <w:bidi w:val="0"/>
              <w:spacing w:before="0" w:after="0"/>
              <w:jc w:val="center"/>
              <w:rPr/>
            </w:pPr>
            <w:r>
              <w:rPr>
                <w:spacing w:val="-4"/>
              </w:rPr>
              <w:t xml:space="preserve">Academy </w:t>
            </w:r>
            <w:r>
              <w:rPr/>
              <w:br/>
            </w:r>
            <w:r>
              <w:rPr>
                <w:spacing w:val="-4"/>
              </w:rPr>
              <w:t>Securities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0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21" w:type="dxa"/>
            <w:tcBorders/>
            <w:vAlign w:val="center"/>
          </w:tcPr>
          <w:p>
            <w:pPr>
              <w:pStyle w:val="TableContents"/>
              <w:bidi w:val="0"/>
              <w:spacing w:before="0" w:after="0"/>
              <w:jc w:val="center"/>
              <w:rPr/>
            </w:pPr>
            <w:r>
              <w:rPr>
                <w:spacing w:val="-4"/>
              </w:rPr>
              <w:t xml:space="preserve">Fifth Third </w:t>
            </w:r>
            <w:r>
              <w:rPr/>
              <w:br/>
            </w:r>
            <w:r>
              <w:rPr>
                <w:spacing w:val="-4"/>
              </w:rPr>
              <w:t>Securities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16"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00" w:before="400" w:after="283"/>
        <w:ind w:left="1260" w:right="0" w:hanging="0"/>
        <w:jc w:val="center"/>
        <w:rPr>
          <w:rFonts w:ascii="Times New Roman;Times;serif" w:hAnsi="Times New Roman;Times;serif"/>
          <w:b/>
          <w:i w:val="false"/>
          <w:caps w:val="false"/>
          <w:smallCaps w:val="false"/>
          <w:color w:val="000000"/>
          <w:sz w:val="17"/>
        </w:rPr>
      </w:pPr>
      <w:r>
        <w:rPr>
          <w:rFonts w:ascii="Times New Roman;Times;serif" w:hAnsi="Times New Roman;Times;serif"/>
          <w:b/>
          <w:i w:val="false"/>
          <w:caps w:val="false"/>
          <w:smallCaps w:val="false"/>
          <w:color w:val="000000"/>
          <w:spacing w:val="-3"/>
          <w:sz w:val="17"/>
        </w:rPr>
        <w:t>July   , 2026</w:t>
      </w:r>
      <w:r>
        <w:rPr>
          <w:rFonts w:ascii="Times New Roman;Times;serif" w:hAnsi="Times New Roman;Times;serif"/>
          <w:b/>
          <w:i w:val="false"/>
          <w:caps w:val="false"/>
          <w:smallCaps w:val="false"/>
          <w:color w:val="000000"/>
          <w:sz w:val="17"/>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document consists of two parts, which should be read together. The first part is this prospectus supplement, which describes the specific terms of the notes, the specific terms of this offering and supplements and updates information contained in the accompanying prospectus and the documents incorporated by reference into this prospectus supplement and the accompanying prospectus. The second part, the accompanying prospectus, provides more general information about the notes and other securities that may be offered from time to time using such prospectus, some of which general information does not apply to this offering. Generally, when we refer to the prospectus, we are referring to both parts of this document combined. You should read this prospectus supplement and the accompanying prospectus together with any written communication prepared by us or on our behalf in connection with this offering together with the additional information described in the accompanying prospectus under the heading “Where You Can Find More Information” and in this prospectus supplement under the headings “Where You Can Find More Information” and “Incorporation By Reference.” If the description of the notes varies between this prospectus supplement and the accompanying prospectus, you should rely on the information in this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not, and the underwriters have not, authorized anyone to provide any information or to make any representations other than those contained or incorporated by reference in this prospectus supplement, the accompanying prospectus and any written communication prepared by us or on our behalf. We and the underwriters take no responsibility for, and can provide no assurance as to the reliability of, any other information that others may give you. We are not, and the underwriters are not, making an offer to sell the notes and are not soliciting an offer to buy the notes in any jurisdiction where the offer or sale is not permitted. The information we have included in this prospectus supplement or the accompanying prospectus is accurate only as of the date of this prospectus supplement or the accompanying prospectus, as the case may be, and any information we have incorporated by reference is accurate only as of the date of the document incorporated by reference. Our businesses, financial condition, results of operations and prospects may have changed since these respective dates.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information contained in this prospectus supplement or the accompanying prospectus or in a document incorporated by reference in this prospectus supplement or the accompanying prospectus will be deemed to be modified or superseded to the extent that a statement contained in this prospectus supplement or in any other subsequently filed document that is also incorporated by reference in this prospectus supplement modifies or supersedes that statement. Any statement so modified or superseded will not be deemed, except as so modified or superseded, to constitute a part of this prospectus supplement. See “Incorporation By Reference” in this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Bank of New York Mellon Trust Company, N.A., in each of its capacities referenced herein, including, but not limited to, trustee, security registrar and paying agent, has not participated in the preparation of this prospectus supplement or the accompanying prospectus and assumes no responsibility for its content.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w:t>
      </w:r>
      <w:bookmarkStart w:id="3" w:name="TOC2"/>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 Supplement</w:t>
      </w:r>
      <w:r>
        <w:rPr>
          <w:rFonts w:ascii="Times New Roman;Times;serif" w:hAnsi="Times New Roman;Times;serif"/>
          <w:b/>
          <w:i w:val="false"/>
          <w:caps w:val="false"/>
          <w:smallCaps w:val="false"/>
          <w:color w:val="000000"/>
          <w:spacing w:val="4"/>
          <w:sz w:val="20"/>
        </w:rPr>
        <w:t xml:space="preserve"> </w:t>
      </w:r>
    </w:p>
    <w:tbl>
      <w:tblPr>
        <w:tblW w:w="7711" w:type="dxa"/>
        <w:jc w:val="left"/>
        <w:tblInd w:w="1393" w:type="dxa"/>
        <w:tblLayout w:type="fixed"/>
        <w:tblCellMar>
          <w:top w:w="0" w:type="dxa"/>
          <w:left w:w="0" w:type="dxa"/>
          <w:bottom w:w="28" w:type="dxa"/>
          <w:right w:w="0" w:type="dxa"/>
        </w:tblCellMar>
      </w:tblPr>
      <w:tblGrid>
        <w:gridCol w:w="6392"/>
        <w:gridCol w:w="109"/>
        <w:gridCol w:w="109"/>
        <w:gridCol w:w="109"/>
        <w:gridCol w:w="109"/>
        <w:gridCol w:w="620"/>
        <w:gridCol w:w="109"/>
        <w:gridCol w:w="154"/>
      </w:tblGrid>
      <w:tr>
        <w:trPr/>
        <w:tc>
          <w:tcPr>
            <w:tcW w:w="639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47"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6392" w:type="dxa"/>
            <w:tcBorders/>
            <w:shd w:fill="CCEEFF" w:val="clear"/>
            <w:tcMar>
              <w:bottom w:w="0" w:type="dxa"/>
            </w:tcMar>
            <w:vAlign w:val="center"/>
          </w:tcPr>
          <w:p>
            <w:pPr>
              <w:pStyle w:val="TableContents"/>
              <w:bidi w:val="0"/>
              <w:spacing w:before="0" w:after="0"/>
              <w:jc w:val="left"/>
              <w:rPr/>
            </w:pPr>
            <w:hyperlink w:anchor="tSUM">
              <w:r>
                <w:rPr>
                  <w:rStyle w:val="InternetLink"/>
                  <w:spacing w:val="4"/>
                </w:rPr>
                <w:t xml:space="preserve">Summary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SUM">
              <w:r>
                <w:rPr>
                  <w:rStyle w:val="InternetLink"/>
                  <w:spacing w:val="4"/>
                </w:rPr>
                <w:t>S-1</w:t>
              </w:r>
            </w:hyperlink>
            <w:hyperlink w:anchor="tSU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392" w:type="dxa"/>
            <w:tcBorders/>
            <w:tcMar>
              <w:bottom w:w="0" w:type="dxa"/>
            </w:tcM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RIFA">
              <w:r>
                <w:rPr>
                  <w:rStyle w:val="InternetLink"/>
                  <w:spacing w:val="4"/>
                </w:rPr>
                <w:t>S-9</w:t>
              </w:r>
            </w:hyperlink>
            <w:hyperlink w:anchor="tRIF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392" w:type="dxa"/>
            <w:tcBorders/>
            <w:shd w:fill="CCEEFF" w:val="clear"/>
            <w:tcMar>
              <w:bottom w:w="0" w:type="dxa"/>
            </w:tcMar>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UOP">
              <w:r>
                <w:rPr>
                  <w:rStyle w:val="InternetLink"/>
                  <w:spacing w:val="4"/>
                </w:rPr>
                <w:t>S-14</w:t>
              </w:r>
            </w:hyperlink>
            <w:hyperlink w:anchor="tUO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392" w:type="dxa"/>
            <w:tcBorders/>
            <w:tcMar>
              <w:bottom w:w="0" w:type="dxa"/>
            </w:tcMar>
            <w:vAlign w:val="center"/>
          </w:tcPr>
          <w:p>
            <w:pPr>
              <w:pStyle w:val="TableContents"/>
              <w:bidi w:val="0"/>
              <w:spacing w:before="0" w:after="0"/>
              <w:jc w:val="left"/>
              <w:rPr/>
            </w:pPr>
            <w:hyperlink w:anchor="tCAP">
              <w:r>
                <w:rPr>
                  <w:rStyle w:val="InternetLink"/>
                  <w:spacing w:val="4"/>
                </w:rPr>
                <w:t xml:space="preserve">Capitalization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CAP">
              <w:r>
                <w:rPr>
                  <w:rStyle w:val="InternetLink"/>
                  <w:spacing w:val="4"/>
                </w:rPr>
                <w:t>S-15</w:t>
              </w:r>
            </w:hyperlink>
            <w:hyperlink w:anchor="tCA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392" w:type="dxa"/>
            <w:tcBorders/>
            <w:shd w:fill="CCEEFF" w:val="clear"/>
            <w:tcMar>
              <w:bottom w:w="0" w:type="dxa"/>
            </w:tcMar>
            <w:vAlign w:val="center"/>
          </w:tcPr>
          <w:p>
            <w:pPr>
              <w:pStyle w:val="TableContents"/>
              <w:bidi w:val="0"/>
              <w:spacing w:before="0" w:after="0"/>
              <w:jc w:val="left"/>
              <w:rPr/>
            </w:pPr>
            <w:hyperlink w:anchor="tDON">
              <w:r>
                <w:rPr>
                  <w:rStyle w:val="InternetLink"/>
                  <w:spacing w:val="4"/>
                </w:rPr>
                <w:t xml:space="preserve">Description of Notes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DON">
              <w:r>
                <w:rPr>
                  <w:rStyle w:val="InternetLink"/>
                  <w:spacing w:val="4"/>
                </w:rPr>
                <w:t>S-16</w:t>
              </w:r>
            </w:hyperlink>
            <w:hyperlink w:anchor="tDON">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392" w:type="dxa"/>
            <w:tcBorders/>
            <w:tcMar>
              <w:bottom w:w="0" w:type="dxa"/>
            </w:tcMar>
            <w:vAlign w:val="center"/>
          </w:tcPr>
          <w:p>
            <w:pPr>
              <w:pStyle w:val="TableContents"/>
              <w:bidi w:val="0"/>
              <w:spacing w:before="0" w:after="0"/>
              <w:jc w:val="left"/>
              <w:rPr/>
            </w:pPr>
            <w:hyperlink w:anchor="tMUFI">
              <w:r>
                <w:rPr>
                  <w:rStyle w:val="InternetLink"/>
                  <w:spacing w:val="4"/>
                </w:rPr>
                <w:t xml:space="preserve">Material U.S. Federal Income Tax Consequences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MUFI">
              <w:r>
                <w:rPr>
                  <w:rStyle w:val="InternetLink"/>
                  <w:spacing w:val="4"/>
                </w:rPr>
                <w:t>S-31</w:t>
              </w:r>
            </w:hyperlink>
            <w:hyperlink w:anchor="tMUF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392" w:type="dxa"/>
            <w:tcBorders/>
            <w:shd w:fill="CCEEFF" w:val="clear"/>
            <w:tcMar>
              <w:bottom w:w="0" w:type="dxa"/>
            </w:tcMar>
            <w:vAlign w:val="center"/>
          </w:tcPr>
          <w:p>
            <w:pPr>
              <w:pStyle w:val="TableContents"/>
              <w:bidi w:val="0"/>
              <w:spacing w:before="0" w:after="0"/>
              <w:jc w:val="left"/>
              <w:rPr/>
            </w:pPr>
            <w:hyperlink w:anchor="tUCOI">
              <w:r>
                <w:rPr>
                  <w:rStyle w:val="InternetLink"/>
                  <w:spacing w:val="4"/>
                </w:rPr>
                <w:t xml:space="preserve">Underwriting (Conflicts of Interest)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UCOI">
              <w:r>
                <w:rPr>
                  <w:rStyle w:val="InternetLink"/>
                  <w:spacing w:val="4"/>
                </w:rPr>
                <w:t>S-37</w:t>
              </w:r>
            </w:hyperlink>
            <w:hyperlink w:anchor="tUCO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392" w:type="dxa"/>
            <w:tcBorders/>
            <w:tcMar>
              <w:bottom w:w="0" w:type="dxa"/>
            </w:tcMar>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LEMA">
              <w:r>
                <w:rPr>
                  <w:rStyle w:val="InternetLink"/>
                  <w:spacing w:val="4"/>
                </w:rPr>
                <w:t>S-43</w:t>
              </w:r>
            </w:hyperlink>
            <w:hyperlink w:anchor="tLEM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392" w:type="dxa"/>
            <w:tcBorders/>
            <w:shd w:fill="CCEEFF" w:val="clear"/>
            <w:tcMar>
              <w:bottom w:w="0" w:type="dxa"/>
            </w:tcMar>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EXP">
              <w:r>
                <w:rPr>
                  <w:rStyle w:val="InternetLink"/>
                  <w:spacing w:val="4"/>
                </w:rPr>
                <w:t>S-43</w:t>
              </w:r>
            </w:hyperlink>
            <w:hyperlink w:anchor="tEX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392" w:type="dxa"/>
            <w:tcBorders/>
            <w:tcMar>
              <w:bottom w:w="0" w:type="dxa"/>
            </w:tcMar>
            <w:vAlign w:val="center"/>
          </w:tcPr>
          <w:p>
            <w:pPr>
              <w:pStyle w:val="TableContents"/>
              <w:bidi w:val="0"/>
              <w:spacing w:before="0" w:after="0"/>
              <w:jc w:val="left"/>
              <w:rPr/>
            </w:pPr>
            <w:hyperlink w:anchor="tCSRF">
              <w:r>
                <w:rPr>
                  <w:rStyle w:val="InternetLink"/>
                  <w:spacing w:val="4"/>
                </w:rPr>
                <w:t xml:space="preserve">Cautionary Statement Regarding Forward-Looking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CSRF">
              <w:r>
                <w:rPr>
                  <w:rStyle w:val="InternetLink"/>
                  <w:spacing w:val="4"/>
                </w:rPr>
                <w:t>S-44</w:t>
              </w:r>
            </w:hyperlink>
            <w:hyperlink w:anchor="tCSR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392" w:type="dxa"/>
            <w:tcBorders/>
            <w:shd w:fill="CCEEFF" w:val="clear"/>
            <w:tcMar>
              <w:bottom w:w="0" w:type="dxa"/>
            </w:tcMar>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WYCF">
              <w:r>
                <w:rPr>
                  <w:rStyle w:val="InternetLink"/>
                  <w:spacing w:val="4"/>
                </w:rPr>
                <w:t>S-47</w:t>
              </w:r>
            </w:hyperlink>
            <w:hyperlink w:anchor="tWYC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392" w:type="dxa"/>
            <w:tcBorders/>
            <w:tcMar>
              <w:bottom w:w="0" w:type="dxa"/>
            </w:tcMar>
            <w:vAlign w:val="center"/>
          </w:tcPr>
          <w:p>
            <w:pPr>
              <w:pStyle w:val="TableContents"/>
              <w:bidi w:val="0"/>
              <w:spacing w:before="0" w:after="0"/>
              <w:jc w:val="left"/>
              <w:rPr/>
            </w:pPr>
            <w:hyperlink w:anchor="tIBR">
              <w:r>
                <w:rPr>
                  <w:rStyle w:val="InternetLink"/>
                  <w:spacing w:val="4"/>
                </w:rPr>
                <w:t xml:space="preserve">Incorporation By Reference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IBR">
              <w:r>
                <w:rPr>
                  <w:rStyle w:val="InternetLink"/>
                  <w:spacing w:val="4"/>
                </w:rPr>
                <w:t>S-48</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tbl>
      <w:tblPr>
        <w:tblW w:w="7501" w:type="dxa"/>
        <w:jc w:val="left"/>
        <w:tblInd w:w="1393" w:type="dxa"/>
        <w:tblLayout w:type="fixed"/>
        <w:tblCellMar>
          <w:top w:w="0" w:type="dxa"/>
          <w:left w:w="0" w:type="dxa"/>
          <w:bottom w:w="28" w:type="dxa"/>
          <w:right w:w="0" w:type="dxa"/>
        </w:tblCellMar>
      </w:tblPr>
      <w:tblGrid>
        <w:gridCol w:w="6392"/>
        <w:gridCol w:w="109"/>
        <w:gridCol w:w="109"/>
        <w:gridCol w:w="109"/>
        <w:gridCol w:w="109"/>
        <w:gridCol w:w="410"/>
        <w:gridCol w:w="109"/>
        <w:gridCol w:w="154"/>
      </w:tblGrid>
      <w:tr>
        <w:trPr/>
        <w:tc>
          <w:tcPr>
            <w:tcW w:w="639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37"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6392" w:type="dxa"/>
            <w:tcBorders/>
            <w:shd w:fill="CCEEFF" w:val="clear"/>
            <w:tcMar>
              <w:bottom w:w="0" w:type="dxa"/>
            </w:tcMar>
            <w:vAlign w:val="center"/>
          </w:tcPr>
          <w:p>
            <w:pPr>
              <w:pStyle w:val="TableContents"/>
              <w:bidi w:val="0"/>
              <w:spacing w:before="0" w:after="0"/>
              <w:jc w:val="left"/>
              <w:rPr/>
            </w:pPr>
            <w:hyperlink w:anchor="tATP1">
              <w:r>
                <w:rPr>
                  <w:rStyle w:val="InternetLink"/>
                  <w:spacing w:val="4"/>
                </w:rPr>
                <w:t xml:space="preserve">About This Prospectus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ATP1">
              <w:r>
                <w:rPr>
                  <w:rStyle w:val="InternetLink"/>
                  <w:spacing w:val="4"/>
                </w:rPr>
                <w:t>1</w:t>
              </w:r>
            </w:hyperlink>
            <w:hyperlink w:anchor="tATP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392" w:type="dxa"/>
            <w:tcBorders/>
            <w:tcMar>
              <w:bottom w:w="0" w:type="dxa"/>
            </w:tcMar>
            <w:vAlign w:val="center"/>
          </w:tcPr>
          <w:p>
            <w:pPr>
              <w:pStyle w:val="TableContents"/>
              <w:bidi w:val="0"/>
              <w:spacing w:before="0" w:after="0"/>
              <w:jc w:val="left"/>
              <w:rPr/>
            </w:pPr>
            <w:hyperlink w:anchor="tWYCF1">
              <w:r>
                <w:rPr>
                  <w:rStyle w:val="InternetLink"/>
                  <w:spacing w:val="4"/>
                </w:rPr>
                <w:t xml:space="preserve">Where You Can Find More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WYCF1">
              <w:r>
                <w:rPr>
                  <w:rStyle w:val="InternetLink"/>
                  <w:spacing w:val="4"/>
                </w:rPr>
                <w:t>1</w:t>
              </w:r>
            </w:hyperlink>
            <w:hyperlink w:anchor="tWYCF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392" w:type="dxa"/>
            <w:tcBorders/>
            <w:shd w:fill="CCEEFF" w:val="clear"/>
            <w:tcMar>
              <w:bottom w:w="0" w:type="dxa"/>
            </w:tcMar>
            <w:vAlign w:val="center"/>
          </w:tcPr>
          <w:p>
            <w:pPr>
              <w:pStyle w:val="TableContents"/>
              <w:bidi w:val="0"/>
              <w:spacing w:before="0" w:after="0"/>
              <w:jc w:val="left"/>
              <w:rPr/>
            </w:pPr>
            <w:hyperlink w:anchor="tIBR1">
              <w:r>
                <w:rPr>
                  <w:rStyle w:val="InternetLink"/>
                  <w:spacing w:val="4"/>
                </w:rPr>
                <w:t xml:space="preserve">Incorporation By Reference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IBR1">
              <w:r>
                <w:rPr>
                  <w:rStyle w:val="InternetLink"/>
                  <w:spacing w:val="4"/>
                </w:rPr>
                <w:t>1</w:t>
              </w:r>
            </w:hyperlink>
            <w:hyperlink w:anchor="tIBR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392" w:type="dxa"/>
            <w:tcBorders/>
            <w:tcMar>
              <w:bottom w:w="0" w:type="dxa"/>
            </w:tcMar>
            <w:vAlign w:val="center"/>
          </w:tcPr>
          <w:p>
            <w:pPr>
              <w:pStyle w:val="TableContents"/>
              <w:bidi w:val="0"/>
              <w:spacing w:before="0" w:after="0"/>
              <w:jc w:val="left"/>
              <w:rPr/>
            </w:pPr>
            <w:hyperlink w:anchor="tACEI1">
              <w:r>
                <w:rPr>
                  <w:rStyle w:val="InternetLink"/>
                  <w:spacing w:val="4"/>
                </w:rPr>
                <w:t xml:space="preserve">About CenterPoint Energy, Inc.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ACEI1">
              <w:r>
                <w:rPr>
                  <w:rStyle w:val="InternetLink"/>
                  <w:spacing w:val="4"/>
                </w:rPr>
                <w:t>3</w:t>
              </w:r>
            </w:hyperlink>
            <w:hyperlink w:anchor="tACEI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392" w:type="dxa"/>
            <w:tcBorders/>
            <w:shd w:fill="CCEEFF" w:val="clear"/>
            <w:tcMar>
              <w:bottom w:w="0" w:type="dxa"/>
            </w:tcMar>
            <w:vAlign w:val="center"/>
          </w:tcPr>
          <w:p>
            <w:pPr>
              <w:pStyle w:val="TableContents"/>
              <w:bidi w:val="0"/>
              <w:spacing w:before="0" w:after="0"/>
              <w:jc w:val="left"/>
              <w:rPr/>
            </w:pPr>
            <w:hyperlink w:anchor="tRIFA1">
              <w:r>
                <w:rPr>
                  <w:rStyle w:val="InternetLink"/>
                  <w:spacing w:val="4"/>
                </w:rPr>
                <w:t xml:space="preserve">Risk Factors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RIFA1">
              <w:r>
                <w:rPr>
                  <w:rStyle w:val="InternetLink"/>
                  <w:spacing w:val="4"/>
                </w:rPr>
                <w:t>4</w:t>
              </w:r>
            </w:hyperlink>
            <w:hyperlink w:anchor="tRIFA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392" w:type="dxa"/>
            <w:tcBorders/>
            <w:tcMar>
              <w:bottom w:w="0" w:type="dxa"/>
            </w:tcMar>
            <w:vAlign w:val="center"/>
          </w:tcPr>
          <w:p>
            <w:pPr>
              <w:pStyle w:val="TableContents"/>
              <w:bidi w:val="0"/>
              <w:spacing w:before="0" w:after="0"/>
              <w:jc w:val="left"/>
              <w:rPr/>
            </w:pPr>
            <w:hyperlink w:anchor="tCSRF1">
              <w:r>
                <w:rPr>
                  <w:rStyle w:val="InternetLink"/>
                  <w:spacing w:val="4"/>
                </w:rPr>
                <w:t xml:space="preserve">Cautionary Statement Regarding Forward-Looking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CSRF1">
              <w:r>
                <w:rPr>
                  <w:rStyle w:val="InternetLink"/>
                  <w:spacing w:val="4"/>
                </w:rPr>
                <w:t>4</w:t>
              </w:r>
            </w:hyperlink>
            <w:hyperlink w:anchor="tCSRF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392" w:type="dxa"/>
            <w:tcBorders/>
            <w:shd w:fill="CCEEFF" w:val="clear"/>
            <w:tcMar>
              <w:bottom w:w="0" w:type="dxa"/>
            </w:tcMar>
            <w:vAlign w:val="center"/>
          </w:tcPr>
          <w:p>
            <w:pPr>
              <w:pStyle w:val="TableContents"/>
              <w:bidi w:val="0"/>
              <w:spacing w:before="0" w:after="0"/>
              <w:jc w:val="left"/>
              <w:rPr/>
            </w:pPr>
            <w:hyperlink w:anchor="tUOP1">
              <w:r>
                <w:rPr>
                  <w:rStyle w:val="InternetLink"/>
                  <w:spacing w:val="4"/>
                </w:rPr>
                <w:t xml:space="preserve">Use of Proceeds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UOP1">
              <w:r>
                <w:rPr>
                  <w:rStyle w:val="InternetLink"/>
                  <w:spacing w:val="4"/>
                </w:rPr>
                <w:t>8</w:t>
              </w:r>
            </w:hyperlink>
            <w:hyperlink w:anchor="tUOP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392" w:type="dxa"/>
            <w:tcBorders/>
            <w:tcMar>
              <w:bottom w:w="0" w:type="dxa"/>
            </w:tcMar>
            <w:vAlign w:val="center"/>
          </w:tcPr>
          <w:p>
            <w:pPr>
              <w:pStyle w:val="TableContents"/>
              <w:bidi w:val="0"/>
              <w:spacing w:before="0" w:after="0"/>
              <w:jc w:val="left"/>
              <w:rPr/>
            </w:pPr>
            <w:hyperlink w:anchor="tDOOD1">
              <w:r>
                <w:rPr>
                  <w:rStyle w:val="InternetLink"/>
                  <w:spacing w:val="4"/>
                </w:rPr>
                <w:t xml:space="preserve">Description of Our Debt Securities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DOOD1">
              <w:r>
                <w:rPr>
                  <w:rStyle w:val="InternetLink"/>
                  <w:spacing w:val="4"/>
                </w:rPr>
                <w:t>9</w:t>
              </w:r>
            </w:hyperlink>
            <w:hyperlink w:anchor="tDOOD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392" w:type="dxa"/>
            <w:tcBorders/>
            <w:shd w:fill="CCEEFF" w:val="clear"/>
            <w:tcMar>
              <w:bottom w:w="0" w:type="dxa"/>
            </w:tcMar>
            <w:vAlign w:val="center"/>
          </w:tcPr>
          <w:p>
            <w:pPr>
              <w:pStyle w:val="TableContents"/>
              <w:bidi w:val="0"/>
              <w:spacing w:before="0" w:after="0"/>
              <w:jc w:val="left"/>
              <w:rPr/>
            </w:pPr>
            <w:hyperlink w:anchor="tDOOC1">
              <w:r>
                <w:rPr>
                  <w:rStyle w:val="InternetLink"/>
                  <w:spacing w:val="4"/>
                </w:rPr>
                <w:t xml:space="preserve">Description of Our Capital Stock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DOOC1">
              <w:r>
                <w:rPr>
                  <w:rStyle w:val="InternetLink"/>
                  <w:spacing w:val="4"/>
                </w:rPr>
                <w:t>18</w:t>
              </w:r>
            </w:hyperlink>
            <w:hyperlink w:anchor="tDOOC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392" w:type="dxa"/>
            <w:tcBorders/>
            <w:tcMar>
              <w:bottom w:w="0" w:type="dxa"/>
            </w:tcMar>
            <w:vAlign w:val="center"/>
          </w:tcPr>
          <w:p>
            <w:pPr>
              <w:pStyle w:val="TableContents"/>
              <w:bidi w:val="0"/>
              <w:spacing w:before="0" w:after="0"/>
              <w:jc w:val="left"/>
              <w:rPr/>
            </w:pPr>
            <w:hyperlink w:anchor="tDOSP1">
              <w:r>
                <w:rPr>
                  <w:rStyle w:val="InternetLink"/>
                  <w:spacing w:val="4"/>
                </w:rPr>
                <w:t xml:space="preserve">Description of Stock Purchase Contracts and Equity Units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DOSP1">
              <w:r>
                <w:rPr>
                  <w:rStyle w:val="InternetLink"/>
                  <w:spacing w:val="4"/>
                </w:rPr>
                <w:t>23</w:t>
              </w:r>
            </w:hyperlink>
            <w:hyperlink w:anchor="tDOSP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392" w:type="dxa"/>
            <w:tcBorders/>
            <w:shd w:fill="CCEEFF" w:val="clear"/>
            <w:tcMar>
              <w:bottom w:w="0" w:type="dxa"/>
            </w:tcMar>
            <w:vAlign w:val="center"/>
          </w:tcPr>
          <w:p>
            <w:pPr>
              <w:pStyle w:val="TableContents"/>
              <w:bidi w:val="0"/>
              <w:spacing w:before="0" w:after="0"/>
              <w:jc w:val="left"/>
              <w:rPr/>
            </w:pPr>
            <w:hyperlink w:anchor="tDODS1">
              <w:r>
                <w:rPr>
                  <w:rStyle w:val="InternetLink"/>
                  <w:spacing w:val="4"/>
                </w:rPr>
                <w:t xml:space="preserve">Description of Our Depositary Shares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DODS1">
              <w:r>
                <w:rPr>
                  <w:rStyle w:val="InternetLink"/>
                  <w:spacing w:val="4"/>
                </w:rPr>
                <w:t>23</w:t>
              </w:r>
            </w:hyperlink>
            <w:hyperlink w:anchor="tDODS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392" w:type="dxa"/>
            <w:tcBorders/>
            <w:tcMar>
              <w:bottom w:w="0" w:type="dxa"/>
            </w:tcMar>
            <w:vAlign w:val="center"/>
          </w:tcPr>
          <w:p>
            <w:pPr>
              <w:pStyle w:val="TableContents"/>
              <w:bidi w:val="0"/>
              <w:spacing w:before="0" w:after="0"/>
              <w:jc w:val="left"/>
              <w:rPr/>
            </w:pPr>
            <w:hyperlink w:anchor="tHCS1">
              <w:r>
                <w:rPr>
                  <w:rStyle w:val="InternetLink"/>
                  <w:spacing w:val="4"/>
                </w:rPr>
                <w:t xml:space="preserve">Holding Company Structure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HCS1">
              <w:r>
                <w:rPr>
                  <w:rStyle w:val="InternetLink"/>
                  <w:spacing w:val="4"/>
                </w:rPr>
                <w:t>24</w:t>
              </w:r>
            </w:hyperlink>
            <w:hyperlink w:anchor="tHCS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392" w:type="dxa"/>
            <w:tcBorders/>
            <w:shd w:fill="CCEEFF" w:val="clear"/>
            <w:tcMar>
              <w:bottom w:w="0" w:type="dxa"/>
            </w:tcMar>
            <w:vAlign w:val="center"/>
          </w:tcPr>
          <w:p>
            <w:pPr>
              <w:pStyle w:val="TableContents"/>
              <w:bidi w:val="0"/>
              <w:spacing w:before="0" w:after="0"/>
              <w:jc w:val="left"/>
              <w:rPr/>
            </w:pPr>
            <w:hyperlink w:anchor="tPOD1">
              <w:r>
                <w:rPr>
                  <w:rStyle w:val="InternetLink"/>
                  <w:spacing w:val="4"/>
                </w:rPr>
                <w:t xml:space="preserve">Plan of Distribution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POD1">
              <w:r>
                <w:rPr>
                  <w:rStyle w:val="InternetLink"/>
                  <w:spacing w:val="4"/>
                </w:rPr>
                <w:t>24</w:t>
              </w:r>
            </w:hyperlink>
            <w:hyperlink w:anchor="tPOD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392" w:type="dxa"/>
            <w:tcBorders/>
            <w:tcMar>
              <w:bottom w:w="0" w:type="dxa"/>
            </w:tcMar>
            <w:vAlign w:val="center"/>
          </w:tcPr>
          <w:p>
            <w:pPr>
              <w:pStyle w:val="TableContents"/>
              <w:bidi w:val="0"/>
              <w:spacing w:before="0" w:after="0"/>
              <w:jc w:val="left"/>
              <w:rPr/>
            </w:pPr>
            <w:hyperlink w:anchor="tLEMA1">
              <w:r>
                <w:rPr>
                  <w:rStyle w:val="InternetLink"/>
                  <w:spacing w:val="4"/>
                </w:rPr>
                <w:t xml:space="preserve">Legal Matters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LEMA1">
              <w:r>
                <w:rPr>
                  <w:rStyle w:val="InternetLink"/>
                  <w:spacing w:val="4"/>
                </w:rPr>
                <w:t>26</w:t>
              </w:r>
            </w:hyperlink>
            <w:hyperlink w:anchor="tLEMA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392" w:type="dxa"/>
            <w:tcBorders/>
            <w:shd w:fill="CCEEFF" w:val="clear"/>
            <w:tcMar>
              <w:bottom w:w="0" w:type="dxa"/>
            </w:tcMar>
            <w:vAlign w:val="center"/>
          </w:tcPr>
          <w:p>
            <w:pPr>
              <w:pStyle w:val="TableContents"/>
              <w:bidi w:val="0"/>
              <w:spacing w:before="0" w:after="0"/>
              <w:jc w:val="left"/>
              <w:rPr/>
            </w:pPr>
            <w:hyperlink w:anchor="tEXP1">
              <w:r>
                <w:rPr>
                  <w:rStyle w:val="InternetLink"/>
                  <w:spacing w:val="4"/>
                </w:rPr>
                <w:t xml:space="preserve">Experts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EXP1">
              <w:r>
                <w:rPr>
                  <w:rStyle w:val="InternetLink"/>
                  <w:spacing w:val="4"/>
                </w:rPr>
                <w:t>26</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expect that delivery of the notes will be made against payment therefor on or about August   , 2026, which will be the second business day following the date of pricing of the notes (this settlement cycle being referred to as “T+2”). Under Rule 15c6-1 of the Securities Exchange Act of 1934, as amended (the “Exchange Act”), trades in the secondary market generally are required to settle in one business day, unless the parties to a trade expressly agree otherwise. Accordingly, purchasers who wish to trade the notes on the initial pricing date of the notes will be required, by virtue of the fact that the notes initially will settle in T+2, to specify alternative settlement arrangements at the time of any such trade to prevent a failed settlement and should consult their own advisors.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SUM"/>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This summary highlights information from this prospectus supplement and the accompanying prospectus. It is not complete and may not contain all of the information that you should consider before investing in the notes. We encourage you to read this prospectus supplement, the accompanying prospectus and the documents incorporated by reference herein or therein in their entirety before making an investment decision, including the information set forth under the heading “Risk Factors.”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The terms “CenterPoint Energy,” “we,” “our,” and “us” refer to CenterPoint Energy, Inc. and its subsidiaries, unless the context indicates otherwise. The term “notes” refers to our      % Fixed-to-Fixed Reset Rate Junior Subordinated Notes, Series E, due 2058.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CenterPoint Energy, Inc.</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a public utility holding company. Our operating subsidiaries own and operate electric transmission, distribution and generation facilities and natural gas distribution systems. As of the date of this prospectus supplement, our indirect, wholly-owned operating subsidiaries include: </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CenterPoint Energy Houston Electric, LLC (“Houston Electric”), which provides electric transmission service to transmission service customers in the Electric Reliability Council of Texas region and distribution service to retail electric providers (“REPs”) serving the Texas Gulf Coast area that includes the city of Houston. </w:t>
      </w:r>
      <w:r>
        <mc:AlternateContent>
          <mc:Choice Requires="wps">
            <w:drawing>
              <wp:anchor behindDoc="0" distT="99060" distB="0" distL="254000" distR="0" simplePos="0" locked="0" layoutInCell="1" allowOverlap="1" relativeHeight="5">
                <wp:simplePos x="0" y="0"/>
                <wp:positionH relativeFrom="column">
                  <wp:align>left</wp:align>
                </wp:positionH>
                <wp:positionV relativeFrom="line">
                  <wp:align>top</wp:align>
                </wp:positionV>
                <wp:extent cx="254000" cy="350520"/>
                <wp:effectExtent l="0" t="0" r="0" b="0"/>
                <wp:wrapSquare wrapText="right"/>
                <wp:docPr id="4"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CenterPoint Energy Resources Corp. (“CERC Corp.”), which (i) directly owns and operates natural gas distribution systems in Minnesota and Texas, (ii) indirectly, through Indiana Gas Company, Inc. and Vectren Energy Delivery of Ohio, LLC, doing business as CenterPoint Energy Ohio (“CEOH”), owns and operates natural gas distribution systems in Indiana and Ohio, respectively, and (iii) owns and operates permanent pipeline connections through interconnects with various interstate and intrastate pipeline companies through CenterPoint Energy Intrastate Pipelines, LLC. </w:t>
      </w:r>
      <w:r>
        <mc:AlternateContent>
          <mc:Choice Requires="wps">
            <w:drawing>
              <wp:anchor behindDoc="0" distT="99060" distB="0" distL="254000" distR="0" simplePos="0" locked="0" layoutInCell="1" allowOverlap="1" relativeHeight="6">
                <wp:simplePos x="0" y="0"/>
                <wp:positionH relativeFrom="column">
                  <wp:align>left</wp:align>
                </wp:positionH>
                <wp:positionV relativeFrom="line">
                  <wp:align>top</wp:align>
                </wp:positionV>
                <wp:extent cx="254000" cy="350520"/>
                <wp:effectExtent l="0" t="0" r="0" b="0"/>
                <wp:wrapSquare wrapText="right"/>
                <wp:docPr id="5"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Southern Indiana Gas and Electric Company (“SIGECO”), which provides energy delivery services to electric and natural gas customers located in and near Evansville in southwestern Indiana and owns and operates electric generation assets to serve its electric customers and optimizes those assets in the wholesale power market. </w:t>
      </w:r>
      <w:r>
        <mc:AlternateContent>
          <mc:Choice Requires="wps">
            <w:drawing>
              <wp:anchor behindDoc="0" distT="99060" distB="0" distL="254000" distR="0" simplePos="0" locked="0" layoutInCell="1" allowOverlap="1" relativeHeight="7">
                <wp:simplePos x="0" y="0"/>
                <wp:positionH relativeFrom="column">
                  <wp:align>left</wp:align>
                </wp:positionH>
                <wp:positionV relativeFrom="line">
                  <wp:align>top</wp:align>
                </wp:positionV>
                <wp:extent cx="254000" cy="350520"/>
                <wp:effectExtent l="0" t="0" r="0" b="0"/>
                <wp:wrapSquare wrapText="right"/>
                <wp:docPr id="6"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of June 30, 2026, our reportable segments were Electric, Natural Gas and Corporate and Other. Houston Electric and CERC Corp., together with its subsidiaries, each consist of a single reportable segment.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October 20, 2025, CERC Corp. entered into a purchase agreement (the “Ohio Securities Purchase Agreement”) to sell all of the issued and outstanding equity interests in CEOH for total consideration of approximately $2.62 billion, subject to adjustment as set forth in the Ohio Securities Purchase Agreement. The transaction is expected to close in the fourth quarter of 2026, subject to the satisfaction of customary closing conditions.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of June 30, 2026, we, Houston Electric and SIGECO had variable interest entities (“VIEs”) including CenterPoint Energy Transition Bond Company IV, LLC, a wholly-owned subsidiary of Houston Electric (“Transition Bond Company IV”), CenterPoint Energy Restoration Bond Company II, LLC, a wholly-owned subsidiary of Houston Electric (“Restoration Bond Company II”), CenterPoint Energy Restoration Bond Company III, LLC, a wholly-owned subsidiary of Houston Electric (“Restoration Bond Company III”), and SIGECO Securitization I, LLC, a wholly-owned subsidiary of SIGECO (“SIGECO Securitization Subsidiary”), which are consolidated. The consolidated VIEs are wholly-owned, bankruptcy-remote, special purpose entities that were formed solely for the purpose of securitizing transition property or system restoration property or facilitating the securitization financing of qualified costs. We, through SIGECO, have a controlling financial interest in SIGECO Securitization Subsidiary and are the VIE’s primary beneficiary. Houston Electric has a controlling financial interest in each of Transition Bond Company IV, Restoration Bond Company II and Restoration Bond Company III and is the primary beneficiary of each. Creditors of us, Houston Electric and SIGECO have no recourse to any assets or revenues of Transition Bond Company IV, Restoration Bond Company II, Restoration Bond Company III or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SIGECO Securitization Subsidiary, as applicable. The bonds issued by Restoration Bond Company II, Restoration Bond Company III and SIGECO Securitization Subsidiary are payable only from and secured by system restoration property or securitization property, as applicable, and the bondholders have no recourse to the general credit of CenterPoint Energy, Houston Electric or SIGECO.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Corporate Information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principal executive offices are located at 1111 Louisiana Street, Houston, Texas 77002. Our telephone number is (713) 207-1111 and our website address is www.centerpointenergy.com. Other than the documents specifically referred to below under “Where You Can Find More Information” and “Incorporation By Reference,” none of the information or documents posted, contained or referred to at www.centerpointenergy.com are incorporated by reference in, or otherwise made a part of, this prospectus supplement.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Offering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The following summary contains basic information about this offering. For a more complete understanding of this offering, we encourage you to read this entire prospectus supplement, including “Description of Notes,” and the accompanying prospectus, including “Description of Our Debt Securities.”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pacing w:val="-4"/>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Issuer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CenterPoint Energy, Inc., a Texas corporation.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pacing w:val="-4"/>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Securities Offered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$       aggregate principal amount of     % Fixed-to-Fixed Reset Rate Junior Subordinated Notes, Series E, due 2058.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pacing w:val="-4"/>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Denominations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$2,000 and integral multiples of $1,000 in excess thereof.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pacing w:val="-4"/>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Maturity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notes will mature on August 15, 2058.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pacing w:val="-4"/>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Interest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notes will bear interest (i) from and including the date of the original issuance to, but excluding, August 15, 2033 (the “First Reset Date”) at an annual rate of     % and (ii) from and including August 15, 2033 during each Interest Reset Period at an annual rate equal to the Five-Year Treasury Rate as of the most recent Reset Interest Determination Date, plus a spread of     %; provided that the interest rate during any Interest Reset Period will not reset below    % per annum (which is the same interest rate as in effect during the Initial Fixed Period). Interest on the notes will be payable semi-annually in arrears on February 15 and August 15 of each year, beginning on February 15, 2027.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pacing w:val="-4"/>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Optional Interest Deferral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So long as no event of default (as defined below under “— Events of Default”) with respect to the notes has occurred and is continuing, we may, at our option, defer interest payments on the notes on one or more occasions, from time to time, for up to 20 consecutive semi-annual interest payment periods (as defined below) (each such deferral period, which will commence on the interest payment date on which the first such deferred interest payment otherwise would have been made, an “optional deferral period”), except that no such optional deferral period may extend beyond the maturity date of the notes or end on a day other than the day immediately preceding an interest payment date, and we may not begin a new optional deferral period and may not pay current interest on the notes until we have paid all accrued interest on the notes from the previous optional deferral period.</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During any optional deferral period, interest on the notes will continue to accrue at the then-applicable interest rate on the notes. In addition, during any optional deferral period, interest on the deferred interest (“compound interest”) will accrue at the then-applicable interest rate on the notes, compounded semi-annually, to the extent permitted by applicable law. The interest payment date falling immediately after the last day of an optional deferral period shall not be deemed to fall on a day during such optional deferral period.</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 interest will be due or payable on the notes during any such optional deferral period, except upon a redemption of the notes on any redemption date during such optional deferral period (in which case all accrued and unpaid interest (including, to the extent permitted by applicable law, any compound interest) on the notes to be redeemed to, but excluding, such redemption date will be due and payable on such redemption date), or unless the principal of and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interest on the notes shall have been declared due and payable as the result of an event of default with respect to the notes (in which case all accrued and unpaid interest, including, to the extent permitted by applicable law, any compound interest, on the notes shall become due and payable).</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3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Before the end of any optional deferral period that is shorter than 20 consecutive interest payment periods, we may elect, at our option, to extend such optional deferral period, so long as the entire optional deferral period does not exceed 20 consecutive interest payment periods or extend beyond the maturity date of the notes. We may also elect, at our option, to shorten the length of any optional deferral period. No optional deferral period (including as extended or shortened) may end on a day other than the day immediately preceding an interest payment date. At the end of any optional deferral period, if all amounts then due on the notes, including all accrued and unpaid interest thereon (including, without limitation and to the extent permitted by applicable law, any deferred interest and any compound interest), are paid, we may elect to begin a new optional deferral period; provided, however, that, without limitation of the foregoing, we may not begin a new optional deferral period unless we have paid all accrued and unpaid interest on the notes (including, without limitation and to the extent permitted by applicable law, any deferred interest and any compound interest) from any previous optional deferral period.</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See “Description of Notes — Option to Defer Interest Payments.”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pacing w:val="-4"/>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Certain Restrictions During an Optional Deferral Period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During any optional deferral period, CenterPoint Energy (and its majority-owned subsidiaries, as applicable) will not do any of the following (subject to certain exceptions):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58" w:after="0"/>
        <w:ind w:left="51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declare or pay any dividends or distributions on any of CenterPoint Energy’s capital stock (as defined in “Description of Notes — Option to Defer Interest Payments”);</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100330" distB="0" distL="2133600" distR="0" simplePos="0" locked="0" layoutInCell="1" allowOverlap="1" relativeHeight="8">
                <wp:simplePos x="0" y="0"/>
                <wp:positionH relativeFrom="column">
                  <wp:align>left</wp:align>
                </wp:positionH>
                <wp:positionV relativeFrom="line">
                  <wp:align>top</wp:align>
                </wp:positionV>
                <wp:extent cx="254000" cy="350520"/>
                <wp:effectExtent l="0" t="0" r="0" b="0"/>
                <wp:wrapSquare wrapText="right"/>
                <wp:docPr id="7"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7.9pt;mso-wrap-distance-bottom:0pt;margin-top:7.9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51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redeem, purchase, acquire or make a liquidation payment with respect to any of CenterPoint Energy’s capital stock;</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100330" distB="0" distL="2133600" distR="0" simplePos="0" locked="0" layoutInCell="1" allowOverlap="1" relativeHeight="9">
                <wp:simplePos x="0" y="0"/>
                <wp:positionH relativeFrom="column">
                  <wp:align>left</wp:align>
                </wp:positionH>
                <wp:positionV relativeFrom="line">
                  <wp:align>top</wp:align>
                </wp:positionV>
                <wp:extent cx="254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7.9pt;mso-wrap-distance-bottom:0pt;margin-top:7.9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51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pay any principal, interest (to the extent such interest is deferrable) or premium on, or repay, repurchase or redeem, any of CenterPoint Energy’s indebtedness that ranks equally with or junior to the notes in right of payment (including debt securities of other series); or</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101600" distB="0" distL="2133600" distR="0" simplePos="0" locked="0" layoutInCell="1" allowOverlap="1" relativeHeight="10">
                <wp:simplePos x="0" y="0"/>
                <wp:positionH relativeFrom="column">
                  <wp:align>left</wp:align>
                </wp:positionH>
                <wp:positionV relativeFrom="line">
                  <wp:align>top</wp:align>
                </wp:positionV>
                <wp:extent cx="254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pt;mso-wrap-distance-bottom:0pt;margin-top:8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51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make any payments with respect to any guarantees by CenterPoint Energy of any indebtedness if such guarantees rank equally with or junior to the notes in right of payment.</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101600" distB="0" distL="2133600" distR="0" simplePos="0" locked="0" layoutInCell="1" allowOverlap="1" relativeHeight="11">
                <wp:simplePos x="0" y="0"/>
                <wp:positionH relativeFrom="column">
                  <wp:align>left</wp:align>
                </wp:positionH>
                <wp:positionV relativeFrom="line">
                  <wp:align>top</wp:align>
                </wp:positionV>
                <wp:extent cx="254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pt;mso-wrap-distance-bottom:0pt;margin-top:8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For further important information, including information concerning the exceptions referred to above, see “Description of Notes — Option to Defer Interest Payments” below in this prospectus supplement.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pacing w:val="-4"/>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Ranking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notes will be our unsecured obligations and will rank junior and subordinate in right of payment to the prior payment in full of our existing and future Senior Indebtedness as defined in and to the extent and in the manner set forth under “Description of Notes — Subordination.” Our Senior Indebtedness includes (i) any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indebtedness we may incur in the future under our Second Amended and Restated Credit Agreement, dated December 6, 2022, by and among us, as borrower, JPMorgan Chase Bank, N.A., as administrative agent, the lenders and other parties thereto (as amended, restated, supplemented or otherwise modified from time to time, the “Credit Agreement”), (ii) our $1.0 billion aggregate principal amount of 4.25% Convertible Senior Notes due 2026, (iii) our $17.1 million aggregate principal amount of 5.25% Senior Notes due 2026, (iv) our $73.5 million aggregate principal amount of 4.25% Senior Notes due 2028, (v) our $650 million aggregate principal amount of 2.875% Convertible Senior Notes due 2029, (vi) our $659.8 million aggregate principal amount of 5.40% Senior Notes due 2029, (vii) our $364 million aggregate principal amount of 2.95% Senior Notes due 2030, (viii) our $220 million aggregate principal amount of 2.65% Senior Notes due 2031, (ix) our $152.5 million aggregate principal amount of 3.70% Senior Notes due 2049 and (x) our $1.0 billion aggregate principal amount of 3.00% Convertible Senior Notes due 2028.</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notes will rank equally in right of payment with (a) our 2.0% Zero-Premium Exchangeable Subordinated Notes due 2029 (the “ZENS”), (b) our $400 million aggregate principal amount of 7.000% Fixed-to-Fixed Reset Rate Junior Subordinated Notes, Series A, due 2055 (the “Series A Junior Subordinated Notes”), (c) our $400 million aggregate principal amount of 6.850% Fixed-to-Fixed Reset Rate Junior Subordinated Notes, Series B, due 2055 (the “Series B Junior Subordinated Notes”), (d) our $500 million aggregate principal amount of 6.700% Fixed-to-Fixed Reset Rate Junior Subordinated Notes, Series C, due 2055 (the “Series C Junior Subordinated Notes”), (e) our $700 million aggregate principal amount of 5.950% Fixed-to-Fixed Reset Rate Junior Subordinated Notes, Series D, due 2056 (the “Series D Junior Subordinated Notes” and, together with the Series A Junior Subordinated Notes, the Series B Junior Subordinated Notes and the Series C Junior Subordinated Notes, the “Existing Junior Subordinated Notes”) and (f) any future unsecured indebtedness that we may incur from time to time if the terms of such indebtedness provide that it ranks equally with the notes in right of payment. For additional information, see “Risk Factors — Our existing indebtedness, and any future indebtedness, may adversely affect our future financial and operating flexibility and our ability to service the notes. The indenture does not limit the aggregate amount of Senior Indebtedness or Secured Indebtedness that we or our subsidiaries may incur” and “Description of Notes — Ranking.”</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of June 30, 2026, we, on an unconsolidated basis, had approximately $7.2 billion aggregate principal amount of indebtedness outstanding, of which (A) an aggregate of $4.1 billion was Senior Indebtedness, (B) an aggregate of $828 million was our ZENS, (C) an aggregate of $2.0 billion was our Existing Junior Subordinated Notes, (D) $124 million was commercial paper and (E) $68 million was obligations relating to pollution control bonds. The ZENS and the Existing Junior Subordinated Notes will rank equally in right of payment with the notes. Excluding subsidiaries issuing Securitization Bonds, as of June 30, 2026, our subsidiaries had approximately $16.6 billion aggregate principal amount of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third-party indebtedness outstanding, of which approximately $11.5 billion was secured, as well as other liabilities.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pacing w:val="-4"/>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Optional Redemption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may redeem the notes: (i) in whole or in part, at a redemption price equal to 100% of the principal amount of the notes being redeemed, plus any accrued and unpaid interest thereon, on any day in the period commencing on the date falling 90 days prior to the First Reset Date and ending on and including the First Reset Date and, after the First Reset Date, on any interest payment date for the notes; (ii) in whole, but not in part, at 100% of their principal amount, plus any accrued and unpaid interest thereon, if certain changes in tax laws, regulations or interpretations occur; (iii) in whole, but not in part, at 101% of their principal amount, plus any accrued and unpaid interest thereon, if certain tax credit-related events occur; or (iv) in whole, but not in part, at 102% of their principal amount, plus any accrued and unpaid interest thereon, if a rating agency makes certain changes in the equity credit criteria for securities such as the notes.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3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For a more complete description of the circumstances under and the redemption prices at which the notes may be redeemed, see “Description of Notes — Redemption” in this prospectus supplement.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pacing w:val="-4"/>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Material U.S. Federal Income Tax Consequences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In connection with the issuance of the notes, Baker Botts L.L.P. will render its opinion that, while the matter is not completely free from doubt, under applicable law as of the issue date of the notes, the notes will be properly characterized as indebtedness for U.S. federal income tax purposes. This opinion is subject to certain customary assumptions and limitations. See “Material U.S. Federal Income Tax Consequences” in this prospectus supplement. We agree, and by acquiring an interest in a note each holder and beneficial owner of a note agrees, to treat the notes as indebtedness for U.S. federal, state and local tax purposes.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3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If we defer payments of interest on the notes, the notes will be treated at that time, solely for purposes of the United States federal income tax original issue discount rules, as having been retired and reissued with original issue discount. A holder of the notes subject to United States federal income tax on a net income basis would be required to accrue that original issue discount for United States federal income tax purposes in respect of such holder’s proportionate share of the accrued but unpaid interest on the notes, regardless of such holder’s method of tax accounting. As a result, a holder will be required to include the accrued interest in such holder’s gross income for United States federal income tax purposes even though such holder will not have received any associated cash. A holder’s adjusted tax basis in a note generally will be increased by such amounts that it was required to include in gross income. Holders should consult with their tax advisors regarding the tax consequences of an investment in the notes. See “Material U.S. Federal Income Tax Consequences” in this prospectus supplement.</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3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you sell or otherwise dispose of a note before the record date for the payment of interest at the end of an optional deferral period, you will not receive such interest. Instead, the accrued interest will be paid to the holder of record on the record date regardless of who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holder of record may have been on any other date during the optional deferral period. Moreover, if you are a U.S. holder, the accrued original issue discount will be added to your adjusted tax basis in the note but may not be reflected in the amount you realize on the sale or other disposition. To the extent the amount realized on a sale or other taxable disposition of a note is less than your adjusted tax basis, you will generally recognize a capital loss for U.S. federal income tax purposes. The deductibility of capital losses is subject to limitations. See “Material U.S. Federal Income Tax Consequences — Tax Consequences to U.S. Holders — Sale, Exchange, Retirement or Other Taxable Disposition of the Notes” in this prospectus supplement.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pacing w:val="-4"/>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Consolidation, Merger and Sale of Assets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indenture restricts our ability to merge, consolidate or transfer substantially all of our assets. See “Description of Notes — Consolidation, Merger and Sale of Assets” in this prospectus supplement.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pacing w:val="-4"/>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No Listing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notes are a new issue of securities with no established trading market. No application is being or is intended to be made for the listing or trading of the notes on any securities exchange or trading facility or to include the notes in any automated quotation system.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pacing w:val="-4"/>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Risk Factors </w:t>
      </w:r>
    </w:p>
    <w:p>
      <w:pPr>
        <w:pStyle w:val="TextBody"/>
        <w:bidi w:val="0"/>
        <w:spacing w:lineRule="atLeast" w:line="240" w:before="0" w:after="283"/>
        <w:ind w:left="4753" w:right="0" w:hanging="0"/>
        <w:jc w:val="left"/>
        <w:rPr/>
      </w:pPr>
      <w:r>
        <w:rPr>
          <w:rFonts w:ascii="Times New Roman;Times;serif" w:hAnsi="Times New Roman;Times;serif"/>
          <w:b w:val="false"/>
          <w:i w:val="false"/>
          <w:caps w:val="false"/>
          <w:smallCaps w:val="false"/>
          <w:color w:val="000000"/>
          <w:spacing w:val="4"/>
          <w:sz w:val="20"/>
          <w:bdr w:val="single" w:sz="8" w:space="1" w:color="000000"/>
        </w:rPr>
        <w:t>You should consider carefully all the information set forth and incorporated by reference in this prospectus supplement and the accompanying prospectus and, in particular, you should evaluate the specific factors set forth under “Risk Factors” beginning on page </w:t>
      </w:r>
      <w:hyperlink w:anchor="tRIFA">
        <w:r>
          <w:rPr>
            <w:rStyle w:val="InternetLink"/>
          </w:rPr>
          <w:t>S</w:t>
          <w:noBreakHyphen/>
          <w:t>9</w:t>
        </w:r>
      </w:hyperlink>
      <w:r>
        <w:rPr>
          <w:rFonts w:ascii="Times New Roman;Times;serif" w:hAnsi="Times New Roman;Times;serif"/>
          <w:b w:val="false"/>
          <w:i w:val="false"/>
          <w:caps w:val="false"/>
          <w:smallCaps w:val="false"/>
          <w:color w:val="000000"/>
          <w:spacing w:val="4"/>
          <w:sz w:val="20"/>
          <w:bdr w:val="single" w:sz="8" w:space="1" w:color="000000"/>
        </w:rPr>
        <w:t xml:space="preserve"> of this prospectus supplement before deciding whether to invest in the notes.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pacing w:val="-4"/>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Reopening of the Series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may, without the consent of the holders of the notes, increase the principal amount of the notes and issue additional junior subordinated notes having the same ranking, interest rate, maturity and other terms as the notes. Any such additional junior subordinated notes may, together with the notes offered hereby, constitute a single series of securities under the indenture.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pacing w:val="-4"/>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Use of Proceeds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net proceeds from this offering, after deducting the underwriting discount and estimated expenses of the offering payable by us, are expected to be approximately $       million. We intend to use the net proceeds from this offering for general corporate purposes, including the repayment of a portion of the $1.0 billion aggregate principal amount of our outstanding 4.25% Convertible Senior Notes due 2026 (our “Convertible Notes”) and our outstanding commercial paper. Pending application of the net proceeds of this offering for the foregoing purposes, we expect to use the net proceeds to invest in the CenterPoint Energy money pool or various instruments that may include, but would not be limited to, short-term, interest bearing obligations, including bank deposits and certificates of deposit with financial institutions having investment-grade ratings, U.S. government obligations or money market funds primarily invested in securities issued by the U.S. government or its agencies. See “Use of Proceeds” in this prospectus supplement.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pacing w:val="-4"/>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Conflicts of Interest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Certain of the underwriters and/or their affiliates may hold a portion of our commercial paper or the Convertible Notes that we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intend to repay using a portion of the net proceeds from this offering. See “Underwriting (Conflicts of Interest) — Conflicts of Interest.”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pacing w:val="-4"/>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Trustee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Bank of New York Mellon Trust Company, N.A.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pacing w:val="-4"/>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Governing Law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notes and the indenture pursuant to which the notes will be issued will be governed by and construed in accordance with the laws of the State of New York.</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RIFA"/>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caps w:val="false"/>
          <w:smallCaps w:val="false"/>
          <w:color w:val="000000"/>
          <w:spacing w:val="4"/>
          <w:sz w:val="20"/>
        </w:rPr>
        <w:t xml:space="preserve">You should consider carefully the risk factors identified in Part I, Item 1A “Risk Factors” of our </w:t>
      </w:r>
      <w:hyperlink r:id="rId3">
        <w:r>
          <w:rPr>
            <w:rStyle w:val="InternetLink"/>
          </w:rPr>
          <w:t>Annual Report on Form 10-K for the fiscal year ended December 31, 2025</w:t>
        </w:r>
      </w:hyperlink>
      <w:r>
        <w:rPr>
          <w:rFonts w:ascii="Times New Roman;Times;serif" w:hAnsi="Times New Roman;Times;serif"/>
          <w:b w:val="false"/>
          <w:i/>
          <w:caps w:val="false"/>
          <w:smallCaps w:val="false"/>
          <w:color w:val="000000"/>
          <w:spacing w:val="4"/>
          <w:sz w:val="20"/>
        </w:rPr>
        <w:t xml:space="preserve"> (“2025 Form 10-K”), the following information about risks, as well as risks arising from any legal proceedings identified or referenced in “Legal Proceedings” in Part 1, Item 3 of our 2025 Form 10-K and in Part II, Item 1 “Legal Proceedings” of our Quarterly Reports on Form 10-Q for the quarters ended </w:t>
      </w:r>
      <w:hyperlink r:id="rId4">
        <w:r>
          <w:rPr>
            <w:rStyle w:val="InternetLink"/>
          </w:rPr>
          <w:t>March 31, 2026</w:t>
        </w:r>
      </w:hyperlink>
      <w:r>
        <w:rPr>
          <w:rFonts w:ascii="Times New Roman;Times;serif" w:hAnsi="Times New Roman;Times;serif"/>
          <w:b w:val="false"/>
          <w:i/>
          <w:caps w:val="false"/>
          <w:smallCaps w:val="false"/>
          <w:color w:val="000000"/>
          <w:spacing w:val="4"/>
          <w:sz w:val="20"/>
        </w:rPr>
        <w:t xml:space="preserve"> and </w:t>
      </w:r>
      <w:hyperlink r:id="rId5">
        <w:r>
          <w:rPr>
            <w:rStyle w:val="InternetLink"/>
          </w:rPr>
          <w:t>June 30, 2026</w:t>
        </w:r>
      </w:hyperlink>
      <w:r>
        <w:rPr>
          <w:rFonts w:ascii="Times New Roman;Times;serif" w:hAnsi="Times New Roman;Times;serif"/>
          <w:b w:val="false"/>
          <w:i/>
          <w:caps w:val="false"/>
          <w:smallCaps w:val="false"/>
          <w:color w:val="000000"/>
          <w:spacing w:val="4"/>
          <w:sz w:val="20"/>
        </w:rPr>
        <w:t xml:space="preserve"> (“2nd Quarter 2026 Form 10-Q”), as they may be amended, supplemented or superseded from time to time by other reports that we subsequently file with the Securities and Exchange Commission (the “SEC”), together with the other information contained or incorporated by reference in this prospectus supplement and the accompanying prospectus, before making an investment in the notes.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notes are subordinated or structurally subordinated to all of our and our subsidiaries’ indebtedness (other than our ZENS, our Existing Junior Subordinated Notes and any unsecured indebtedness that we may in the future incur that ranks junior to or pari passu with the notes) and effectively subordinated to any existing and future secured debt to the extent of the assets securing any such secured debt.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terms of the indenture, the notes will be subordinated in right of payment to all of our existing and future Senior Indebtedness (as defined under “Description of Notes — Subordination”). This means that, in the event of (a) our dissolution, winding-up, liquidation or reorganization, (b) our failure to pay any interest, principal or other monetary amounts due on any of our Senior Indebtedness when due (and continuance of that default beyond any applicable grace period) or (c) acceleration of the maturity of any of our Senior Indebtedness as a result of a default, we will not be permitted to make any payments on the notes until, in the case of clause (a), all amounts due or to become due on all of our Senior Indebtedness have been paid in full, or, in the case of clauses (b) and (c), all amounts due on our Senior Indebtedness have been paid in full. See “Description of Notes — Subordination.” Additionally, the notes will rank equally in right of payment with (x) our ZENS, (y) our Existing Junior Subordinated Notes and (z) any future unsecured indebtedness that we may incur from time to time if the terms of such indebtedness provide that it ranks equally with the notes in right of payment.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Furthermore, the notes are exclusively our obligations. We are a holding company that derives all of our operating income from, and holds substantially all of our assets through, our subsidiaries. As a result, we depend on the performance of and distributions from our subsidiaries to meet our debt service obligations and to pay dividends on our common stock. In general, our subsidiaries are separate and distinct legal entities and have no obligation to provide us with funds for our payment obligations, whether by dividends, distributions, loans or otherwise. In addition, provisions of applicable law, such as those limiting the legal sources of dividends, limit our subsidiaries’ ability to make payments or other distributions to us, and our subsidiaries could agree to contractual restrictions on their ability to make payments or other distributions. Our right to receive assets of any subsidiary, and therefore the right of our creditors to participate in those assets, are structurally subordinated to the claims of our subsidiaries’ creditors, including trade creditors. In addition, even if we were a creditor of any subsidiary, our rights as a creditor would likely be effectively subordinated to any security interest in the assets of that subsidiary and any Senior Indebtedness of that subsidiary. As a result, the notes will be structurally subordinated to all of the liabilities of our subsidiaries with regard to the assets and earnings of our subsidiaries.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existing indebtedness, and any future indebtedness, may adversely affect our future financial and operating flexibility and our ability to service the notes. The indenture does not limit the aggregate amount of Senior Indebtedness or secured indebtedness that we or our subsidiaries may incur.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June 30, 2026, we, on an unconsolidated basis, had approximately $7.2 billion aggregate principal amount of indebtedness outstanding, of which (A) an aggregate of $4.1 billion was Senior Indebtedness, (B) an aggregate of $828 million was our ZENS, (C) an aggregate of $2.0 billion was our Existing Junior Subordinated Notes, (D) $124 million was commercial paper and (E) $68 million was obligations relating to pollution control bonds. The ZENS and the Existing Junior Subordinated Notes will rank equally in right of payment with the notes. Excluding subsidiaries issuing Securitization Bonds, as of June 30, 2026, our subsidiaries had approximately $16.6 billion aggregate principal amount of third-party indebtedness outstanding, of which approximately $11.5 billion was secured, as well as other liabilities. Our existing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indebtedness and the additional debt we may incur in the future for, among other things, working capital, capital expenditures, acquisitions or operating activities may adversely affect our liquidity and, therefore, our ability to make principal and interest payments on the notes. </w:t>
      </w:r>
    </w:p>
    <w:p>
      <w:pPr>
        <w:pStyle w:val="TextBody"/>
        <w:bidi w:val="0"/>
        <w:spacing w:lineRule="atLeast" w:line="230" w:before="14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does not limit the amount of Senior Indebtedness or secured indebtedness that may be incurred by us or the amount of other indebtedness or liabilities that may be incurred by us or any of our subsidiaries. The incurrence by us or our subsidiaries of additional indebtedness, including the incurrence of additional Senior Indebtedness or secured indebtedness by us, may have adverse consequences for you as a holder of the notes, including making it more difficult for us to satisfy our obligations with respect to the notes, a loss of all or part of the trading value of your notes and a risk that one or more of the credit ratings assigned to us or the notes could be lowered or withdrawn. Both we and our subsidiaries expect to incur substantial amounts of additional indebtedness, including Senior Indebtedness, in the future. </w:t>
      </w:r>
    </w:p>
    <w:p>
      <w:pPr>
        <w:pStyle w:val="TextBody"/>
        <w:bidi w:val="0"/>
        <w:spacing w:lineRule="atLeast" w:line="230" w:before="193"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can defer interest payments on the notes on one or more occasions, from time to time, for up to 20 consecutive semi-annual interest payment periods. This may affect the market price of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 long as no event of default (as defined below under “Description of Notes — Events of Default”) with respect to the notes has occurred and is continuing, we may, at our option, defer interest payments on the notes on one or more occasions, from time to time, for up to 20 consecutive semi-annual interest payment periods (as defined below under “Description of Notes — Option to Defer Interest Payments”), except that no such optional deferral period may extend beyond the maturity date of the notes or end on a day other than the day immediately preceding an interest payment date, and we may not begin a new optional deferral period and may not pay current interest on the notes until we have paid all accrued interest on the notes from the previous optional deferral period. As a result, we may elect, on one or more occasions, not to pay interest on the notes for up to ten years. Moreover, following the end of any optional deferral period, if all amounts then due on the notes are paid, we could immediately start a new optional deferral period of up to 20 consecutive semi-annual interest payment periods. No interest will be due or payable on the notes during any such optional deferral period, except upon a redemption of the notes on any redemption date during such optional deferral period (in which case all accrued and unpaid interest (including, to the extent permitted by applicable law, any compound interest) on the notes to be redeemed to, but excluding, such redemption date will be due and payable on such redemption date), or unless the principal of and interest on the notes shall have been declared due and payable as the result of an event of default with respect to the notes (in which case all accrued and unpaid interest, including, to the extent permitted by applicable law, any compound interest, on the notes shall become due and payable). Instead, interest on the notes would be deferred but would continue to accrue at the then-applicable interest rate on the notes. In addition, during any optional deferral period, interest on the deferred interest would accrue at the then-applicable interest rate on the notes, compounded semi-annually, to the extent permitted by applicable law. If we exercise this interest deferral right, the notes may trade at a price that does not reflect the value of accrued and unpaid interest on the notes or that is otherwise substantially less than the price at which the notes would have traded if we had not exercised such interest deferral right. If we exercise this interest deferral right and you sell your notes during an optional deferral period, you may not receive the same return on your investment as a holder that continues to hold its notes until we pay the deferred interest following the end of such optional deferral period. In addition, as a result of our right to defer interest payments, the market price of the notes may be more volatile than other securities that do not have these rights. </w:t>
      </w:r>
    </w:p>
    <w:p>
      <w:pPr>
        <w:pStyle w:val="TextBody"/>
        <w:bidi w:val="0"/>
        <w:spacing w:lineRule="atLeast" w:line="230" w:before="192"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An election to defer interest payments on the Existing Junior Subordinated Notes will impact our ability to make interest payments on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terms of each of the indentures governing the Existing Junior Subordinated Notes, if we elect to defer interest payments on a given series of the Existing Junior Subordinated Notes, we will not be permitted to make payments on debt securities that rank equally with, or junior to, the applicable series of Existing Junior Subordinated Notes in right of payment. Accordingly, if we elect to defer interest payments on any series of the Existing Junior Subordinated Notes while the notes remain outstanding, we would be prohibited from making payments on, and would likely elect to also defer interest payments on, the notes. </w:t>
      </w:r>
    </w:p>
    <w:p>
      <w:pPr>
        <w:pStyle w:val="TextBody"/>
        <w:bidi w:val="0"/>
        <w:spacing w:lineRule="atLeast" w:line="230" w:before="192"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are not permitted to pay current interest on the notes until we have paid all outstanding deferred interest, and this could have the effect of extending interest deferral periods.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an optional deferral period, we will be prohibited from paying current interest on the notes until we have paid all accrued and unpaid deferred interest plus any accrued interest thereon. As a result, we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not be able to pay current interest on the notes if we do not have available funds to pay all accrued and unpaid deferred interest plus any accrued interest thereon.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Holders of the notes subject to United States federal income taxation may have to pay taxes on interest before they receive payments from us.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defer payments of interest on the notes, the notes will be treated at that time, solely for purposes of the United States federal income tax original issue discount rules, as having been retired and reissued with original issue discount. A holder of the notes subject to United States federal income tax on a net income basis would be required to accrue that original issue discount for United States federal income tax purposes in respect of such holder’s proportionate share of the accrued but unpaid interest on the notes, regardless of such holder’s method of tax accounting. As a result, a holder will be required to include the accrued interest in such holder’s gross income for United States federal income tax purposes even though such holder will not have received any associated cash. A holder’s adjusted tax basis in a note generally will be increased by such amounts that it was required to include in gross income. Holders should consult with their tax advisors regarding the tax consequences of an investment in the notes. For more information regarding the U.S. tax consequences of owning and disposing of the notes, see “Material U.S. Federal Income Tax Consequences.”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Holders of the notes will have limited rights of acceleration.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the notes and the trustee under the indenture may accelerate payment of the principal and interest on the notes only upon the occurrence and continuation of certain events of default. Payment of principal and interest on the notes may be accelerated upon the occurrence of an event of default under the indenture related to failure to pay interest within 30 days after it is due, failure to pay principal or premium, if any, on the notes when due and certain events of bankruptcy, insolvency, receivership or reorganization relating to us (but not our subsidiaries). Holders of the notes and the trustee will not have the right to accelerate payment of the principal or interest on the notes upon the breach of any other covenant in the indenture. See “Description of Notes — Events of Default” and “Description of Notes — Option to Defer Interest Payments.”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cannot assure you that an active trading market will develop for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a new issue of securities for which currently there is no established trading market. We do not intend to apply for the listing of the notes on any securities exchange or for quotation of the notes on any dealer quotation system. We cannot assure you that a trading market will develop for the notes. Even if a market for the notes does develop, we cannot assure you that there will be liquidity in that market or that the notes might not trade for less than their original value or face amount. The liquidity of any market for the notes will depend on the number of holders of the notes, the interest of securities dealers in making a market in the notes and other factors. If a liquid market for the notes does not develop, you may be unable to resell the notes for a long period of time, if at all. This means you may not be able to readily convert your notes into cash, and the notes may not be accepted as collateral for a loan.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Ratings of the notes may change and affect the market prices and marketability of the notes. In addition, we may redeem the notes if a rating agency makes certain changes in the equity credit methodology for securities such as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debt securities are subject to periodic review by one or more independent credit rating agencies and may be subject to rating and periodic review by additional independent credit rating agencies in the future. Any such ratings are limited in scope and do not address all material risks relating to an investment in the notes, but rather reflect only the view of the rating agency at the time the rating is issued. An explanation of the significance of such rating may be obtained from such rating agency. We cannot assure you that such credit rating will remain in effect for any given period of time or that any such rating will not be lowered, suspended or withdrawn entirely by the rating agency if, in such rating agency’s judgment, circumstances so warrant. It is also possible that any such rating may be lowered in connection with future events. Holders of the notes will have no recourse against us or any other parties in the event of a change in or suspension or withdrawal of any such rating. Any lowering, suspension or withdrawal of such ratings may have an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adverse effect on the market prices or marketability of the notes. In addition, we may, at our option, redeem the notes, in whole, but not in part, if a rating agency makes certain changes in the equity credit methodology for securities such as the notes. See “Description of Notes — Redemption — Redemption Following a Rating Agency Event” in this prospectus supplement.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indenture limits the ability of security holders to bring suit, waive defaults and amend the indenture.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provides that the consent of holders of certain minimum percentages of the aggregate principal amount of the notes outstanding under the indenture is required to waive certain defaults, bring suit and, with exceptions, amend the indenture. Your consent to such actions will not be effective unless consents are received from the holders of the required minimum amount of the notes. Further, even if you do not consent to such actions, those actions may still be taken if consented to by the holders of the required minimum amount of the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certain limited exceptions, the indenture provides that the trustee or the holders of 33% or more in aggregate principal amount of the notes outstanding under the indenture may declare the principal amount of the notes to be due and immediately payable if an event of default shall occur and is continuing.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notes are not protected by restrictive covenants.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governing the notes will not contain any financial or operating covenants or restrictions on the payments of dividends (except during an optional deferral period), the making of investments, the incurrence of indebtedness or the purchase or prepayment (except, with respect to securities that rank equally with or junior to the notes in right of payment, during an optional deferral period) of securities by us or any of our subsidiaries. In addition, the indenture governing the notes will not require us to achieve or maintain any minimum financial results relating to our financial position or results of operations.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recapitalize, incur additional debt and take a number of other actions that are not limited by the terms of the notes could have the effect of diminishing our ability to make payments on the notes when due, and require us to dedicate a substantial portion of our cash flow from operations to payments on our indebtedness, which would reduce the availability of cash flow to fund our operations, working capital and capital expenditures.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redeem the notes before they mature.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redeem the notes in the circumstances described under “Description of Notes — Redemption — Optional Redemption.”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if a tax event (as defined herein) occurs, we may redeem the notes, at our option, in whole, but not in part, at a redemption price equal to 100% of the principal amount of the notes, plus any accrued and unpaid interest to, but not including, the redemption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tax credit event (as defined herein) occurs, we may redeem the notes, at our option, in whole, but not in part, at a redemption price equal to 101% of the principal amount of the notes, plus any accrued and unpaid interest to, but not including, the redemption date. A “tax credit event” occurs with respect to the notes if, in our reasonable determination, there exists a material risk, due to the notes (considered together with other debt) having been issued, as part of an original issuance, to one or more “specified foreign entities,” as defined in Section 7701(a)(51)(B) of the Internal Revenue Code of 1986, as amended (the “Code”), that we or our affiliates would be unable to utilize or otherwise be ineligible to claim any tax credits otherwise allowed under Section 38 of the Code. “Specified foreign entities,” as further defined in Section 7701(a)(51)(B) of the Code, generally include, among other entities: (i) the governments of China, Iran, North Korea or Russia or their agencies or instrumentalities, (ii) certain citizens or nationals of such countries, (iii) entities organized under the laws of, or having their principal place of business in, such countries, (iv) entities controlled by any of the above, including subsidiaries, measured by more than 50% ownership of stock (by vote or value) in a corporation, profits interests or capital interests in a partnership, or beneficial interest in another entity, (v) certain Chinese military companies described under Section 1260H of the William M. (Mac) Thornberry National Defense Authorization Act for Fiscal Year 2021, (vi) Contemporary Amperex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5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Technology Company (CATL), BYD Company, Envision Energy, EVE Energy Company, Gotion High-tech Company, Hithium Energy Storage Technology Company, or any successor company to the foregoing, (vii) certain companies that violate the Uyghur Forced Labor Prevention Act of 2021 and (viii) entities that the Office of Foreign Assets Control of the Department of the Treasury (“OFAC”) have included on the list of specially designated nationals and blocked persons maintained by OFAC.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rating agency event (as defined herein) occurs, we may redeem the notes, at our option, in whole, but not in part, at 102% of the principal amount of the notes, plus any accrued and unpaid interest to, but not including, the redemption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redemption rights may, depending on prevailing market conditions at the time, create reinvestment risk for the holders of the notes in that they may be unable to find a suitable replacement investment with a comparable return to the notes. See “Description of Notes — Redemption.”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Although it is not possible for the interest rate on the notes to decrease below the interest rate as in effect during the Initial Fixed Period, the interest rate on the notes will fluctuate over time.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interest rate on the notes from their original issue date to the First Reset Date will be    % per annum. Beginning on the First Reset Date, the interest rate on the notes for each Interest Reset Period will equal the Five-Year Treasury Rate as of the most recent Reset Interest Determination Date plus a spread of    %, to be reset on each Reset Date; provided that the interest rate during any Interest Reset Period will not reset below    % per annum (which is the same interest rate as in effect during the Initial Fixed Period). Therefore, although it is not possible for the interest rate to decrease below the interest rate as in effect during the Initial Fixed Period, the interest rate for a given Interest Reset Period subsequent to such Initial Fixed Period could be less than the interest rate for the prior Interest Reset Period. We have no control over the factors that may affect United States Treasury rates, including geopolitical conditions and economic, financial, political, regulatory, judicial or other events. See “Description of Notes — Interest and Maturity.”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Historical United States Treasury rates are not an indication of future United States Treasury rates.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noted above, the annual interest rate on the notes for each Interest Reset Period will be set by reference to the Five-Year Treasury Rate as of the most recent Reset Interest Determination Date (provided that the interest rate during any Interest Reset Period will not reset below    % per annum (which is the same interest rate as in effect during the Initial Fixed Period)). In the past, United States Treasury rates have experienced significant fluctuations. Historical levels, fluctuations and trends of United States Treasury rates are not necessarily indicative of future levels. Any historical upward or downward trend in United States Treasury rates is not an indication that United States Treasury rates are more or less likely to increase or decrease at any time in the future, and historical United States Treasury rates are not an indication of future Five-Year Treasury Rates.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UOP"/>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1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the net proceeds from this offering to be approximately $         million after deducting the underwriting discount and estimated expenses of the offering payable by us. We intend to use the net proceeds from this offering for general corporate purposes, including the repayment of a portion of our outstanding Convertible Notes, which mature on August 15, 2026 and bear interest at a rate of 4.25% per annum, and the repayment of our outstanding commercial paper. Proceeds from our commercial paper were used for general corporate purposes, including working capital purposes. On June 30, 2026, we, on an unconsolidated basis, had approximately $124 million of commercial paper borrowings, which had a weighted-average maturity of 1 day and a weighted-average interest rate of 3.80%. Certain of the underwriters and/or their affiliates may own some of our commercial paper or the Convertible Notes and will therefore each receive a portion of the net proceeds upon such repayment. See “Underwriting (Conflicts of Interest) —  Conflicts of Interest.”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Pending application of the net proceeds of this offering for the foregoing purposes, we expect to use the net proceeds to invest in the CenterPoint Energy money pool or various instruments that may include, but would not be limited to, short-term, interest bearing obligations, including bank deposits and certificates of deposit with financial institutions having investment-grade ratings, U.S. government obligations or money market funds primarily invested in securities issued by the U.S. government or its agencies.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CAP"/>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3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CAPITALIZATION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our consolidated short-term debt and capitalization as of June 30, 2026. No adjustments have been made for: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issuance of the notes in this offering or the use of proceeds therefrom, as discussed in “Use of Proceeds” above; or </w:t>
      </w:r>
      <w:r>
        <mc:AlternateContent>
          <mc:Choice Requires="wps">
            <w:drawing>
              <wp:anchor behindDoc="0" distT="7620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changes in our consolidated short-term debt and capitalization after June 30, 2026. </w:t>
      </w:r>
      <w:r>
        <mc:AlternateContent>
          <mc:Choice Requires="wps">
            <w:drawing>
              <wp:anchor behindDoc="0" distT="76200" distB="0" distL="2540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table should be read in conjunction with our consolidated financial statements and related notes thereto and “Management’s Discussion and Analysis of Financial Condition and Results of Operations” included in our 2025 Form 10-K and our 2nd Quarter 2026 Form 10-Q. </w:t>
      </w:r>
    </w:p>
    <w:tbl>
      <w:tblPr>
        <w:tblW w:w="8812" w:type="dxa"/>
        <w:jc w:val="left"/>
        <w:tblInd w:w="1393" w:type="dxa"/>
        <w:tblLayout w:type="fixed"/>
        <w:tblCellMar>
          <w:top w:w="0" w:type="dxa"/>
          <w:left w:w="0" w:type="dxa"/>
          <w:bottom w:w="28" w:type="dxa"/>
          <w:right w:w="0" w:type="dxa"/>
        </w:tblCellMar>
      </w:tblPr>
      <w:tblGrid>
        <w:gridCol w:w="6027"/>
        <w:gridCol w:w="109"/>
        <w:gridCol w:w="109"/>
        <w:gridCol w:w="109"/>
        <w:gridCol w:w="226"/>
        <w:gridCol w:w="766"/>
        <w:gridCol w:w="109"/>
        <w:gridCol w:w="109"/>
        <w:gridCol w:w="109"/>
        <w:gridCol w:w="109"/>
        <w:gridCol w:w="109"/>
        <w:gridCol w:w="657"/>
        <w:gridCol w:w="109"/>
        <w:gridCol w:w="155"/>
      </w:tblGrid>
      <w:tr>
        <w:trPr/>
        <w:tc>
          <w:tcPr>
            <w:tcW w:w="602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412"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As of June 30, 2026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602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Actual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84"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602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12" w:type="dxa"/>
            <w:gridSpan w:val="10"/>
            <w:tcBorders/>
            <w:tcMar>
              <w:bottom w:w="0" w:type="dxa"/>
            </w:tcMar>
            <w:vAlign w:val="center"/>
          </w:tcPr>
          <w:p>
            <w:pPr>
              <w:pStyle w:val="TableContents"/>
              <w:bidi w:val="0"/>
              <w:spacing w:before="0" w:after="0"/>
              <w:jc w:val="center"/>
              <w:rPr>
                <w:spacing w:val="-3"/>
              </w:rPr>
            </w:pPr>
            <w:r>
              <w:rPr>
                <w:spacing w:val="-3"/>
              </w:rPr>
              <w:t xml:space="preserve">(in millions) </w:t>
            </w:r>
          </w:p>
        </w:tc>
        <w:tc>
          <w:tcPr>
            <w:tcW w:w="155" w:type="dxa"/>
            <w:tcBorders/>
            <w:tcMar>
              <w:bottom w:w="0" w:type="dxa"/>
            </w:tcMar>
            <w:vAlign w:val="center"/>
          </w:tcPr>
          <w:p>
            <w:pPr>
              <w:pStyle w:val="TableContents"/>
              <w:bidi w:val="0"/>
              <w:spacing w:before="0" w:after="283"/>
              <w:jc w:val="left"/>
              <w:rPr/>
            </w:pPr>
            <w:r>
              <w:rPr/>
              <w:t>​</w:t>
            </w:r>
          </w:p>
        </w:tc>
      </w:tr>
      <w:tr>
        <w:trPr/>
        <w:tc>
          <w:tcPr>
            <w:tcW w:w="6027" w:type="dxa"/>
            <w:tcBorders/>
            <w:shd w:fill="CCEEFF" w:val="clear"/>
            <w:tcMar>
              <w:bottom w:w="0" w:type="dxa"/>
            </w:tcMar>
            <w:vAlign w:val="center"/>
          </w:tcPr>
          <w:p>
            <w:pPr>
              <w:pStyle w:val="TableContents"/>
              <w:bidi w:val="0"/>
              <w:spacing w:before="0" w:after="283"/>
              <w:jc w:val="left"/>
              <w:rPr>
                <w:spacing w:val="4"/>
              </w:rPr>
            </w:pPr>
            <w:r>
              <w:rPr>
                <w:spacing w:val="4"/>
              </w:rPr>
              <w:t xml:space="preserve">Short-Term Debt: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57"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6027" w:type="dxa"/>
            <w:tcBorders/>
            <w:tcMar>
              <w:bottom w:w="0" w:type="dxa"/>
            </w:tcMar>
            <w:vAlign w:val="center"/>
          </w:tcPr>
          <w:p>
            <w:pPr>
              <w:pStyle w:val="TableContents"/>
              <w:bidi w:val="0"/>
              <w:spacing w:before="0" w:after="0"/>
              <w:ind w:left="200" w:right="0" w:hanging="0"/>
              <w:jc w:val="left"/>
              <w:rPr>
                <w:spacing w:val="4"/>
              </w:rPr>
            </w:pPr>
            <w:r>
              <w:rPr>
                <w:spacing w:val="4"/>
              </w:rPr>
              <w:t xml:space="preserve">Short-term borrowings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57"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602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Current portion of VIE Securitization Bonds long-term debt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57" w:type="dxa"/>
            <w:tcBorders/>
            <w:shd w:fill="CCEEFF" w:val="clear"/>
            <w:tcMar>
              <w:bottom w:w="0" w:type="dxa"/>
            </w:tcMar>
            <w:vAlign w:val="center"/>
          </w:tcPr>
          <w:p>
            <w:pPr>
              <w:pStyle w:val="TableContents"/>
              <w:bidi w:val="0"/>
              <w:spacing w:before="0" w:after="283"/>
              <w:jc w:val="right"/>
              <w:rPr/>
            </w:pPr>
            <w:r>
              <w:rPr/>
              <w:t>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6027" w:type="dxa"/>
            <w:tcBorders>
              <w:bottom w:val="single" w:sz="2" w:space="0" w:color="FFFFFF"/>
            </w:tcBorders>
            <w:tcMar>
              <w:bottom w:w="50" w:type="dxa"/>
            </w:tcMar>
            <w:vAlign w:val="center"/>
          </w:tcPr>
          <w:p>
            <w:pPr>
              <w:pStyle w:val="TableContents"/>
              <w:bidi w:val="0"/>
              <w:spacing w:before="0" w:after="0"/>
              <w:ind w:left="200" w:right="0" w:hanging="0"/>
              <w:jc w:val="left"/>
              <w:rPr>
                <w:spacing w:val="4"/>
              </w:rPr>
            </w:pPr>
            <w:r>
              <w:rPr>
                <w:spacing w:val="4"/>
              </w:rPr>
              <w:t xml:space="preserve">Current portion of other long-term debt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1,616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657" w:type="dxa"/>
            <w:tcBorders>
              <w:bottom w:val="single" w:sz="2" w:space="0" w:color="000000"/>
            </w:tcBorders>
            <w:tcMar>
              <w:bottom w:w="50" w:type="dxa"/>
            </w:tcMar>
            <w:vAlign w:val="center"/>
          </w:tcPr>
          <w:p>
            <w:pPr>
              <w:pStyle w:val="TableContents"/>
              <w:bidi w:val="0"/>
              <w:spacing w:before="0" w:after="283"/>
              <w:jc w:val="right"/>
              <w:rPr/>
            </w:pPr>
            <w:r>
              <w:rPr/>
              <w:t>4%</w:t>
            </w:r>
          </w:p>
        </w:tc>
        <w:tc>
          <w:tcPr>
            <w:tcW w:w="109"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6027" w:type="dxa"/>
            <w:tcBorders>
              <w:bottom w:val="single" w:sz="2" w:space="0" w:color="CCEEFF"/>
            </w:tcBorders>
            <w:shd w:fill="CCEEFF" w:val="clear"/>
            <w:tcMar>
              <w:bottom w:w="50" w:type="dxa"/>
            </w:tcMar>
            <w:vAlign w:val="center"/>
          </w:tcPr>
          <w:p>
            <w:pPr>
              <w:pStyle w:val="TableContents"/>
              <w:bidi w:val="0"/>
              <w:spacing w:before="0" w:after="0"/>
              <w:ind w:left="400" w:right="0" w:hanging="0"/>
              <w:jc w:val="left"/>
              <w:rPr>
                <w:spacing w:val="4"/>
              </w:rPr>
            </w:pPr>
            <w:r>
              <w:rPr>
                <w:spacing w:val="4"/>
              </w:rPr>
              <w:t xml:space="preserve">Total Short-Term Debt, net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1,736</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57" w:type="dxa"/>
            <w:tcBorders>
              <w:bottom w:val="single" w:sz="2" w:space="0" w:color="000000"/>
            </w:tcBorders>
            <w:shd w:fill="CCEEFF" w:val="clear"/>
            <w:tcMar>
              <w:bottom w:w="50" w:type="dxa"/>
            </w:tcMar>
            <w:vAlign w:val="center"/>
          </w:tcPr>
          <w:p>
            <w:pPr>
              <w:pStyle w:val="TableContents"/>
              <w:bidi w:val="0"/>
              <w:spacing w:before="0" w:after="283"/>
              <w:jc w:val="right"/>
              <w:rPr/>
            </w:pPr>
            <w:r>
              <w:rPr/>
              <w:t>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5"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6027" w:type="dxa"/>
            <w:tcBorders/>
            <w:tcMar>
              <w:bottom w:w="0" w:type="dxa"/>
            </w:tcMar>
            <w:vAlign w:val="center"/>
          </w:tcPr>
          <w:p>
            <w:pPr>
              <w:pStyle w:val="TableContents"/>
              <w:bidi w:val="0"/>
              <w:spacing w:before="0" w:after="283"/>
              <w:jc w:val="left"/>
              <w:rPr>
                <w:spacing w:val="4"/>
              </w:rPr>
            </w:pPr>
            <w:r>
              <w:rPr>
                <w:spacing w:val="4"/>
              </w:rPr>
              <w:t xml:space="preserve">Long-Term Debt: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57"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602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VIE Securitization Bonds, net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1,746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57" w:type="dxa"/>
            <w:tcBorders/>
            <w:shd w:fill="CCEEFF" w:val="clear"/>
            <w:tcMar>
              <w:bottom w:w="0" w:type="dxa"/>
            </w:tcMar>
            <w:vAlign w:val="center"/>
          </w:tcPr>
          <w:p>
            <w:pPr>
              <w:pStyle w:val="TableContents"/>
              <w:bidi w:val="0"/>
              <w:spacing w:before="0" w:after="283"/>
              <w:jc w:val="right"/>
              <w:rPr/>
            </w:pPr>
            <w:r>
              <w:rPr/>
              <w:t>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6027" w:type="dxa"/>
            <w:tcBorders>
              <w:bottom w:val="single" w:sz="2" w:space="0" w:color="FFFFFF"/>
            </w:tcBorders>
            <w:tcMar>
              <w:bottom w:w="50" w:type="dxa"/>
            </w:tcMar>
            <w:vAlign w:val="center"/>
          </w:tcPr>
          <w:p>
            <w:pPr>
              <w:pStyle w:val="TableContents"/>
              <w:bidi w:val="0"/>
              <w:spacing w:before="0" w:after="0"/>
              <w:ind w:left="200" w:right="0" w:hanging="0"/>
              <w:jc w:val="left"/>
              <w:rPr>
                <w:spacing w:val="4"/>
              </w:rPr>
            </w:pPr>
            <w:r>
              <w:rPr>
                <w:spacing w:val="4"/>
              </w:rPr>
              <w:t xml:space="preserve">Other long-term debt, net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21,160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657" w:type="dxa"/>
            <w:tcBorders>
              <w:bottom w:val="single" w:sz="2" w:space="0" w:color="000000"/>
            </w:tcBorders>
            <w:tcMar>
              <w:bottom w:w="50" w:type="dxa"/>
            </w:tcMar>
            <w:vAlign w:val="center"/>
          </w:tcPr>
          <w:p>
            <w:pPr>
              <w:pStyle w:val="TableContents"/>
              <w:bidi w:val="0"/>
              <w:spacing w:before="0" w:after="283"/>
              <w:jc w:val="right"/>
              <w:rPr/>
            </w:pPr>
            <w:r>
              <w:rPr/>
              <w:t>58%</w:t>
            </w:r>
          </w:p>
        </w:tc>
        <w:tc>
          <w:tcPr>
            <w:tcW w:w="109"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6027" w:type="dxa"/>
            <w:tcBorders>
              <w:bottom w:val="single" w:sz="2" w:space="0" w:color="CCEEFF"/>
            </w:tcBorders>
            <w:shd w:fill="CCEEFF" w:val="clear"/>
            <w:tcMar>
              <w:bottom w:w="50" w:type="dxa"/>
            </w:tcMar>
            <w:vAlign w:val="center"/>
          </w:tcPr>
          <w:p>
            <w:pPr>
              <w:pStyle w:val="TableContents"/>
              <w:bidi w:val="0"/>
              <w:spacing w:before="0" w:after="0"/>
              <w:ind w:left="400" w:right="0" w:hanging="0"/>
              <w:jc w:val="left"/>
              <w:rPr>
                <w:spacing w:val="4"/>
              </w:rPr>
            </w:pPr>
            <w:r>
              <w:rPr>
                <w:spacing w:val="4"/>
              </w:rPr>
              <w:t xml:space="preserve">Total Long-Term Debt, net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22,906</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57" w:type="dxa"/>
            <w:tcBorders>
              <w:bottom w:val="single" w:sz="2" w:space="0" w:color="000000"/>
            </w:tcBorders>
            <w:shd w:fill="CCEEFF" w:val="clear"/>
            <w:tcMar>
              <w:bottom w:w="50" w:type="dxa"/>
            </w:tcMar>
            <w:vAlign w:val="center"/>
          </w:tcPr>
          <w:p>
            <w:pPr>
              <w:pStyle w:val="TableContents"/>
              <w:bidi w:val="0"/>
              <w:spacing w:before="0" w:after="283"/>
              <w:jc w:val="right"/>
              <w:rPr/>
            </w:pPr>
            <w:r>
              <w:rPr/>
              <w:t>63%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5"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6027"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Total Debt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24,642</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657" w:type="dxa"/>
            <w:tcBorders>
              <w:bottom w:val="single" w:sz="2" w:space="0" w:color="000000"/>
            </w:tcBorders>
            <w:tcMar>
              <w:bottom w:w="50" w:type="dxa"/>
            </w:tcMar>
            <w:vAlign w:val="center"/>
          </w:tcPr>
          <w:p>
            <w:pPr>
              <w:pStyle w:val="TableContents"/>
              <w:bidi w:val="0"/>
              <w:spacing w:before="0" w:after="283"/>
              <w:jc w:val="right"/>
              <w:rPr/>
            </w:pPr>
            <w:r>
              <w:rPr/>
              <w:t>68%</w:t>
            </w:r>
            <w:r>
              <w:rPr>
                <w:sz w:val="13"/>
              </w:rPr>
              <w:t>(2)</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6027" w:type="dxa"/>
            <w:tcBorders/>
            <w:shd w:fill="CCEEFF" w:val="clear"/>
            <w:tcMar>
              <w:bottom w:w="0" w:type="dxa"/>
            </w:tcMar>
            <w:vAlign w:val="center"/>
          </w:tcPr>
          <w:p>
            <w:pPr>
              <w:pStyle w:val="TableContents"/>
              <w:bidi w:val="0"/>
              <w:spacing w:before="0" w:after="283"/>
              <w:jc w:val="left"/>
              <w:rPr>
                <w:spacing w:val="4"/>
              </w:rPr>
            </w:pPr>
            <w:r>
              <w:rPr>
                <w:spacing w:val="4"/>
              </w:rPr>
              <w:t xml:space="preserve">Shareholders’ Equity: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57"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6027" w:type="dxa"/>
            <w:tcBorders/>
            <w:tcMar>
              <w:bottom w:w="0" w:type="dxa"/>
            </w:tcMar>
            <w:vAlign w:val="center"/>
          </w:tcPr>
          <w:p>
            <w:pPr>
              <w:pStyle w:val="TableContents"/>
              <w:bidi w:val="0"/>
              <w:spacing w:before="0" w:after="0"/>
              <w:ind w:left="400" w:right="0" w:hanging="200"/>
              <w:jc w:val="left"/>
              <w:rPr>
                <w:spacing w:val="4"/>
              </w:rPr>
            </w:pPr>
            <w:r>
              <w:rPr>
                <w:spacing w:val="4"/>
              </w:rPr>
              <w:t xml:space="preserve">Common stock, $0.01 par value, 1,000,000,000 shares authorized and 658,700,905 shares outstanding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57"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602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Additional paid-in capital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9,288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57" w:type="dxa"/>
            <w:tcBorders/>
            <w:shd w:fill="CCEEFF" w:val="clear"/>
            <w:tcMar>
              <w:bottom w:w="0" w:type="dxa"/>
            </w:tcMar>
            <w:vAlign w:val="center"/>
          </w:tcPr>
          <w:p>
            <w:pPr>
              <w:pStyle w:val="TableContents"/>
              <w:bidi w:val="0"/>
              <w:spacing w:before="0" w:after="283"/>
              <w:jc w:val="right"/>
              <w:rPr/>
            </w:pPr>
            <w:r>
              <w:rPr/>
              <w:t>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6027" w:type="dxa"/>
            <w:tcBorders/>
            <w:tcMar>
              <w:bottom w:w="0" w:type="dxa"/>
            </w:tcMar>
            <w:vAlign w:val="center"/>
          </w:tcPr>
          <w:p>
            <w:pPr>
              <w:pStyle w:val="TableContents"/>
              <w:bidi w:val="0"/>
              <w:spacing w:before="0" w:after="0"/>
              <w:ind w:left="200" w:right="0" w:hanging="0"/>
              <w:jc w:val="left"/>
              <w:rPr>
                <w:spacing w:val="4"/>
              </w:rPr>
            </w:pPr>
            <w:r>
              <w:rPr>
                <w:spacing w:val="4"/>
              </w:rPr>
              <w:t xml:space="preserve">Retained earnings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2,451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57" w:type="dxa"/>
            <w:tcBorders/>
            <w:tcMar>
              <w:bottom w:w="0" w:type="dxa"/>
            </w:tcMar>
            <w:vAlign w:val="center"/>
          </w:tcPr>
          <w:p>
            <w:pPr>
              <w:pStyle w:val="TableContents"/>
              <w:bidi w:val="0"/>
              <w:spacing w:before="0" w:after="283"/>
              <w:jc w:val="right"/>
              <w:rPr/>
            </w:pPr>
            <w:r>
              <w:rPr/>
              <w:t>7%</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6027"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4"/>
              </w:rPr>
            </w:pPr>
            <w:r>
              <w:rPr>
                <w:spacing w:val="4"/>
              </w:rPr>
              <w:t xml:space="preserve">Accumulated other comprehensive loss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(25)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57" w:type="dxa"/>
            <w:tcBorders>
              <w:bottom w:val="single" w:sz="2" w:space="0" w:color="000000"/>
            </w:tcBorders>
            <w:shd w:fill="CCEEFF" w:val="clear"/>
            <w:tcMar>
              <w:bottom w:w="50" w:type="dxa"/>
            </w:tcMar>
            <w:vAlign w:val="center"/>
          </w:tcPr>
          <w:p>
            <w:pPr>
              <w:pStyle w:val="TableContents"/>
              <w:bidi w:val="0"/>
              <w:spacing w:before="0" w:after="283"/>
              <w:jc w:val="right"/>
              <w:rPr/>
            </w:pPr>
            <w:r>
              <w:rPr/>
              <w:t>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5"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6027" w:type="dxa"/>
            <w:tcBorders>
              <w:bottom w:val="single" w:sz="2" w:space="0" w:color="FFFFFF"/>
            </w:tcBorders>
            <w:tcMar>
              <w:bottom w:w="50" w:type="dxa"/>
            </w:tcMar>
            <w:vAlign w:val="center"/>
          </w:tcPr>
          <w:p>
            <w:pPr>
              <w:pStyle w:val="TableContents"/>
              <w:bidi w:val="0"/>
              <w:spacing w:before="0" w:after="0"/>
              <w:ind w:left="400" w:right="0" w:hanging="0"/>
              <w:jc w:val="left"/>
              <w:rPr>
                <w:spacing w:val="4"/>
              </w:rPr>
            </w:pPr>
            <w:r>
              <w:rPr>
                <w:spacing w:val="4"/>
              </w:rPr>
              <w:t xml:space="preserve">Total Shareholders’ Equity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11,720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657" w:type="dxa"/>
            <w:tcBorders>
              <w:bottom w:val="single" w:sz="2" w:space="0" w:color="000000"/>
            </w:tcBorders>
            <w:tcMar>
              <w:bottom w:w="50" w:type="dxa"/>
            </w:tcMar>
            <w:vAlign w:val="center"/>
          </w:tcPr>
          <w:p>
            <w:pPr>
              <w:pStyle w:val="TableContents"/>
              <w:bidi w:val="0"/>
              <w:spacing w:before="0" w:after="283"/>
              <w:jc w:val="right"/>
              <w:rPr/>
            </w:pPr>
            <w:r>
              <w:rPr/>
              <w:t>32%</w:t>
            </w:r>
          </w:p>
        </w:tc>
        <w:tc>
          <w:tcPr>
            <w:tcW w:w="109"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6027" w:type="dxa"/>
            <w:tcBorders/>
            <w:shd w:fill="CCEEFF" w:val="clear"/>
            <w:tcMar>
              <w:bottom w:w="0" w:type="dxa"/>
            </w:tcMar>
            <w:vAlign w:val="center"/>
          </w:tcPr>
          <w:p>
            <w:pPr>
              <w:pStyle w:val="TableContents"/>
              <w:bidi w:val="0"/>
              <w:spacing w:before="0" w:after="0"/>
              <w:jc w:val="left"/>
              <w:rPr>
                <w:spacing w:val="4"/>
              </w:rPr>
            </w:pPr>
            <w:r>
              <w:rPr>
                <w:spacing w:val="4"/>
              </w:rPr>
              <w:t xml:space="preserve">Total Capitalization and Short-Term Debt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shd w:fill="CCEEFF" w:val="clear"/>
            <w:tcMar>
              <w:bottom w:w="50" w:type="dxa"/>
            </w:tcMar>
            <w:vAlign w:val="center"/>
          </w:tcPr>
          <w:p>
            <w:pPr>
              <w:pStyle w:val="TableContents"/>
              <w:bidi w:val="0"/>
              <w:spacing w:before="0" w:after="283"/>
              <w:jc w:val="right"/>
              <w:rPr/>
            </w:pPr>
            <w:r>
              <w:rPr/>
              <w:t>36,362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657" w:type="dxa"/>
            <w:tcBorders>
              <w:bottom w:val="double" w:sz="8" w:space="0" w:color="000000"/>
            </w:tcBorders>
            <w:shd w:fill="CCEEFF" w:val="clear"/>
            <w:tcMar>
              <w:bottom w:w="50" w:type="dxa"/>
            </w:tcMar>
            <w:vAlign w:val="center"/>
          </w:tcPr>
          <w:p>
            <w:pPr>
              <w:pStyle w:val="TableContents"/>
              <w:bidi w:val="0"/>
              <w:spacing w:before="0" w:after="283"/>
              <w:jc w:val="right"/>
              <w:rPr/>
            </w:pPr>
            <w:r>
              <w:rPr/>
              <w:t>100%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June 30, 2026, the outstanding principal amount of our ZENS was approximately $828 million. Interest is paid quarterly on the principal amount at 2% per year plus a “pass-through” of any dividend on the reference shares of AT&amp;T Inc. common stock, Charter Communications, Inc. common stock and Warner Bros. Discovery, Inc. Series A common stock. At maturity or upon redemption, holders of ZENS will receive cash equal to the higher of the contingent principal amount or the market value of the reference shares. </w:t>
      </w:r>
      <w:r>
        <mc:AlternateContent>
          <mc:Choice Requires="wps">
            <w:drawing>
              <wp:anchor behindDoc="0" distT="101600" distB="0" distL="0" distR="0" simplePos="0" locked="0" layoutInCell="1" allowOverlap="1" relativeHeight="14">
                <wp:simplePos x="0" y="0"/>
                <wp:positionH relativeFrom="column">
                  <wp:align>left</wp:align>
                </wp:positionH>
                <wp:positionV relativeFrom="line">
                  <wp:align>top</wp:align>
                </wp:positionV>
                <wp:extent cx="254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Figures do not total due to rounding. </w:t>
      </w:r>
      <w:r>
        <mc:AlternateContent>
          <mc:Choice Requires="wps">
            <w:drawing>
              <wp:anchor behindDoc="0" distT="50800" distB="0" distL="0" distR="0" simplePos="0" locked="0" layoutInCell="1" allowOverlap="1" relativeHeight="15">
                <wp:simplePos x="0" y="0"/>
                <wp:positionH relativeFrom="column">
                  <wp:align>left</wp:align>
                </wp:positionH>
                <wp:positionV relativeFrom="line">
                  <wp:align>top</wp:align>
                </wp:positionV>
                <wp:extent cx="254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DON"/>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issue the notes under an indenture, dated as of August 14, 2024, between us and The Bank of New York Mellon Trust Company, N.A., as trustee (the “trustee”), as supplemented by a supplemental indenture, to be dated as of the date of initial issuance of the notes, creating the notes and setting forth the specific terms of the notes (as supplemented, the “indenture”).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request a copy of the indenture from us as described under “Where You Can Find More Information.”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description is a summary of the material provisions of the notes and the indenture and does not purport to be complete. This summary is subject to and is qualified by reference to all the provisions of the notes and the indenture, including the definitions of certain terms used in the indenture. We urge you to read these documents because they, and not this description, define your rights as a holder of the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description, references to “we,” “our” and “us” refer only to CenterPoint Energy, Inc. and not to any of its subsidiaries.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constitute a series of our subordinated debt securities under the indenture and will be issued in the aggregate principal amount of $        , in denominations of $2,000 and integral multiples of $1,000 in excess thereof. We may, from time to time, without the consent of the holders of the notes, issue additional notes and any such additional notes shall form a single series under the indenture with the notes offered by this prospectus supplement. Any such additional notes shall have the same form and terms as the notes offered by this prospectus supplement (other than the offering price, the date of issuance and, if applicable, the date from which interest thereon shall begin to accrue and the first interest payment date, and except that the provisions of the notes specifying the rate of interest thereon to but excluding the First Reset Date shall not be applicable to any such additional notes whose date of original issuance is on or after the First Reset Date).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Interest and Maturity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bear interest (i) from and including the date of the original issuance to, but excluding, August 15, 2033 (the “First Reset Date”) at an annual rate of        % and (ii) from and including August 15, 2033 during each Interest Reset Period at an annual rate equal to the Five-Year Treasury Rate as of the most recent Reset Interest Determination Date, plus a spread of        %; provided that the interest rate during any Interest Reset Period will not reset below     % per annum (which is the same interest rate as in effect during the Initial Fixed Period). The notes will mature on August 15, 2058 (the “Maturity Date”). Interest on the notes will accrue from August   , 2026 and will, subject to our right to defer interest payments (as described below under “— Option to Defer Interest Payments”), be payable semi-annually in arrears on February 15 and August 15 of each year (each, an “interest payment date”), beginning on February 15, 2027. If interest payments are deferred or otherwise not paid, they will accrue and compound until paid at the same rate at which the notes bear interest to the extent permitted by law. As permitted by the terms of the notes, if interest payments are deferred or otherwise not paid up to a redemption date that does not fall on an interest payment date, they will accrue and compound until paid at the same rate at which the notes bear interest to the extent permitted by law. The amount of interest payable for any interest accrual period will be computed on the basis of a 360-day year consisting of twelve 30-day months. The amount of interest payable for any period shorter than a full semi-annual period for which interest is computed will be computed on the basis of the number of days in the period using 30-day calendar months. The notes will be subject to redemption at our option as described below under “— Redemption.”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this prospectus supplement the term “interest” includes semi-annual interest payments and applicable interest on interest payments accrued but not paid on the applicable interest payment date.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Business Day” means with respect to the notes, any day other than a Saturday, a Sunday or a day on which the Federal Reserve Bank of New York is authorized or required by law or executive order to close or be closed.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all of the outstanding notes have been redeemed, we will appoint a calculation agent (the “calculation agent”) with respect to the notes prior to the applicable Reset Interest Determination Date. We or any of our affiliates may assume the duties of the calculation agent. The applicable interest rate for each Interest Reset Period will be determined by the calculation agent as of the applicable Reset Interest Determination Date. If we or one of our affiliates is not the calculation agent, the calculation agent will notify us of the interest rate for the relevant Interest Reset Period promptly upon such determination. We will notify the trustee of such interest rate, promptly upon making or being notified of such determination. The calculation agent’s determination of any interest rate and its calculation of the amount of interest for any Interest Reset Period will be conclusive and binding absent manifest error, will be made in the calculation agent’s sole discretion and, notwithstanding anything to the contrary in the documentation relating to the notes, will become effective without consent from any other person or entity. Such determination of any interest rate and calculation of the amount of interest will be on file at our principal offices and will be made available to any holder of the notes upon request. In no event shall the trustee be the calculation agent, nor shall it have any liability for any determination made by or on behalf of such calculation agent.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Five-Year Treasury Rate” means, as of any Reset Interest Determination Date, the average of the yields on actively traded United States Treasury securities adjusted to constant maturity, for five-year maturities, for the most recent five Business Days appearing under the caption “Treasury Constant Maturities” in the most recent H.15.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Five-Year Treasury Rate cannot be determined pursuant to the method described above, the calculation agent, after consulting such sources as it deems comparable to any of the foregoing calculations, or any such source as it deems reasonable from which to estimate the Five-Year Treasury Rate, will determine the Five-Year Treasury Rate in its sole discretion, provided that if the calculation agent determines there is an industry-accepted successor Five-Year Treasury Rate, then the calculation agent will use such successor rate. If the calculation agent has determined a substitute or successor base rate in accordance with the foregoing, the calculation agent in its sole discretion may determine the business day convention, the definition of “Business Day” and the Reset Interest Determination Date to be used and any other relevant methodology for calculating such substitute or successor base rate, including any adjustment factor needed to make such substitute or successor base rate comparable to the Five-Year Treasury Rate, in a manner that is consistent with industry-accepted practices for such substitute or successor base rate.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H.15” means the daily statistical release designated as such, or any successor publication as determined by the calculation agent in its sole discretion, published by the Federal Reserve Board, and “most recent H.15” means the H.15 published closest in time but prior to the close of business on the applicable Reset Interest Determination Date.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Interest Reset Period” means the period from and including August 15, 2033 to but excluding the next following Reset Date and thereafter each period from and including a Reset Date to but excluding the next following Reset Date, or the maturity date or date of redemption, as the case may be.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Reset Date” means August 15, 2033 and each date falling on the five-year anniversary of the preceding Reset Date.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Reset Interest Determination Date” means the day falling two Business Days prior to the beginning of the Interest Reset Period.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will be paid to the person in whose name a note is registered at the close of business on February 1 or August 1 (whether or not a business day), as the case may be, immediately preceding the relevant interest payment date (each, a “regular record date”). Interest on the notes will be computed on the basis of a 360-day year composed of twelve 30-day months and, for partial months, on the basis of the number of days actually elapsed in a 30-day month.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interest payment date, a maturity date or a redemption date falls on a day that is not a business day, the required payment will be made on the next succeeding business day with the same force and effect as if made on such scheduled payment date, and no interest on such payment will accrue in respect of the delay.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Option to Defer Interest Payments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 long as no event of default (as defined below under “— Events of Default”) with respect to the notes has occurred and is continuing, we may, at our option, defer interest payments on the notes on one or more occasions, from time to time, for up to 20 consecutive semi-annual interest payment periods (as defined below) (each such deferral period, which will commence on the interest payment date on which the first such deferred interest payment otherwise would have been made, an “optional deferral period”), except that no such optional deferral period may extend beyond the maturity date of the notes or end on a day other than the day immediately preceding an interest payment date, and we may not begin a new optional deferral period and may not pay current interest on the notes until we have paid all accrued interest on the notes from the previous optional deferral period.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defer interest for a period of 20 consecutive interest payment periods from the commencement of an optional deferral period, we will be required to pay all accrued and unpaid interest at the conclusion of the 20 consecutive interest payment periods. If we fail to pay in full all accrued and unpaid interest at the conclusion of the 20 consecutive interest payment periods, and such failure continues for 30 days, an event of default that gives rise to acceleration of principal and interest on the notes will occur under the indenture.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any optional deferral period, interest on the notes will continue to accrue at the then-applicable interest rate on the notes. In addition, during any optional deferral period, interest on the deferred interest (“compound interest”) will accrue at the then-applicable interest rate on the notes, compounded semi-annually, to the extent permitted by applicable law. No interest will be due and payable on the notes until the end of the optional deferral period except upon a redemption of the notes during the optional deferral period. The interest payment date falling immediately after the last day of an optional deferral period shall not be deemed to fall on a day during such optional deferral period.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interest will be due or payable on the notes during any such optional deferral period, except upon a redemption of the notes on any redemption date during such optional deferral period (in which case all accrued and unpaid interest (including, to the extent permitted by applicable law, any compound interest) on the notes to be redeemed to, but excluding, such redemption date will be due and payable on such redemption date), or unless the principal of and interest on the notes shall have been declared due and payable as the result of an event of default with respect to the notes (in which case all accrued and unpaid interest, including, to the extent permitted by applicable law, any compound interest, on the notes shall become due and payable).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references in the notes and, insofar as relates to the notes, the indenture, to “interest” on the notes shall be deemed to include any such deferred interest and, to the extent permitted by applicable law, any compound interest, unless otherwise expressly stated or the context otherwise requires.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Before the end of any optional deferral period that is shorter than 20 consecutive interest payment periods, we may elect, at our option, to extend such optional deferral period, so long as the entire optional deferral period does not exceed 20 consecutive interest payment periods or extend beyond the maturity date of the notes. We may also elect, at our option, to shorten the length of any optional deferral period. No optional deferral period (including as extended or shortened) may end on a day other than the day immediately preceding an interest payment date. At the end of any optional deferral period, if all amounts then due on the notes, including all accrued and unpaid interest thereon (including, without limitation and to the extent permitted by applicable law, any deferred interest and any compound interest), are paid, we may elect to begin a new optional deferral period;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however</w:t>
      </w:r>
      <w:r>
        <w:rPr>
          <w:rFonts w:ascii="Times New Roman;Times;serif" w:hAnsi="Times New Roman;Times;serif"/>
          <w:b w:val="false"/>
          <w:i w:val="false"/>
          <w:caps w:val="false"/>
          <w:smallCaps w:val="false"/>
          <w:color w:val="000000"/>
          <w:spacing w:val="4"/>
          <w:sz w:val="20"/>
        </w:rPr>
        <w:t xml:space="preserve">, that, without limitation of the foregoing, we may not begin a new optional deferral period unless we have paid all accrued and unpaid interest on the notes (including, without limitation and to the extent permitted by applicable law, any deferred interest and any compound interest) from any previous optional deferral period.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any optional deferral period, CenterPoint Energy (and its majority-owned subsidiaries, as applicable) will not do any of the following (subject to the exceptions set forth in the next succeeding paragraph):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declare or pay any dividends or distributions on any of CenterPoint Energy’s capital stock (as defined below); </w:t>
      </w:r>
      <w:r>
        <mc:AlternateContent>
          <mc:Choice Requires="wps">
            <w:drawing>
              <wp:anchor behindDoc="0" distT="7620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redeem, purchase, acquire or make a liquidation payment with respect to any of CenterPoint Energy’s capital stock; </w:t>
      </w:r>
      <w:r>
        <mc:AlternateContent>
          <mc:Choice Requires="wps">
            <w:drawing>
              <wp:anchor behindDoc="0" distT="0" distB="0" distL="254000" distR="0" simplePos="0" locked="0" layoutInCell="1" allowOverlap="1" relativeHeight="17">
                <wp:simplePos x="0" y="0"/>
                <wp:positionH relativeFrom="column">
                  <wp:align>left</wp:align>
                </wp:positionH>
                <wp:positionV relativeFrom="line">
                  <wp:posOffset>635</wp:posOffset>
                </wp:positionV>
                <wp:extent cx="127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 any principal, interest (to the extent such interest is deferrable) or premium on, or repay, repurchase or redeem any of CenterPoint Energy’s indebtedness that ranks equally with or junior to the notes in right of payment (including debt securities of other series); or </w:t>
      </w:r>
      <w:r>
        <mc:AlternateContent>
          <mc:Choice Requires="wps">
            <w:drawing>
              <wp:anchor behindDoc="0" distT="7239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any payments with respect to any guarantees by CenterPoint Energy of any indebtedness if such guarantees rank equally with or junior to the notes in right of payment. </w:t>
      </w:r>
      <w:r>
        <mc:AlternateContent>
          <mc:Choice Requires="wps">
            <w:drawing>
              <wp:anchor behindDoc="0" distT="7239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during an optional deferral period, the exceptions will permit (a) purchases, redemptions or other acquisitions of CenterPoint Energy’s capital stock in connection with any employment contract, benefit plan or other similar arrangement with or for the benefit of employees, officers, directors, agents, consultants or a stock purchase, dividend reinvestment or similar plan, or the satisfaction of our obligations pursuant to any contract or security outstanding on the date that the payment of interest is deferred requiring us to purchase, redeem or acquire CenterPoint Energy’s capital stock, (b) any payment, repayment, redemption, purchase, acquisition or declaration of a dividend as a result of any reclassification of CenterPoint Energy’s capital stock or the exchange or conversion of all or a portion of one class or series of CenterPoint Energy’s capital stock for another class or series of CenterPoint Energy’s capital stock, (c) the purchase of fractional interests in shares of CenterPoint Energy’s capital stock pursuant to the conversion or exchange provisions of such capital stock or the security being converted or exchanged or in connection with the settlement of stock purchase contracts, (d) dividends, payments or distributions payable in shares of CenterPoint Energy’s capital stock (or rights to acquire CenterPoint Energy’s capital stock), or purchases, redemptions or acquisitions of CenterPoint Energy’s capital stock in connection with the issuance or exchange of CenterPoint Energy’s capital stock (or of securities convertible into or exchangeable for shares of CenterPoint Energy’s capital stock) and distributions in connection with the settlement of stock purchase contracts outstanding on the date that the payment of interest is deferred, (e) redemptions, exchanges, acquisitions or repurchases of, or with respect to, any rights outstanding under any employment contract, incentive plan, benefit plan or similar arrangement of ours or our subsidiaries or in connection with a dividend reinvestment or stock purchase plan, in each case outstanding on the date that the payment of interest is deferred or the declaration or payment thereunder of a dividend or distribution of or with respect to rights in the future, (f) implementing a shareholder rights plan, or issuing rights, stock or other property under such plan, or any redemption, repurchase or acquisition of any such rights pursuant thereto or (g) settling conversion of any convertible notes that rank equally with the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give The Depository Trust Company (“DTC”), the holders of the notes and the trustee written notice of our election of, or any shortening or extension of, an optional deferral period at least 15 business days prior to the earlier of (1) each next succeeding interest payment date or (2) the date upon which we are required to give notice to any applicable self-regulatory organization or to holders of the notes of the next succeeding interest payment date or the regular record date therefor. The record date for the payment of deferred interest and, to the extent permitted by applicable law, any compound interest payable on the interest payment date immediately following the last day of an optional deferral period will be the regular record date with respect to such interest payment date.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Capital stock” means (i) in the case of a corporation or a company, corporate stock or shares; (ii) in the case of an association or business entity, any and all shares, interests, participations, rights or other equivalents (however designated) of corporate stock; (iii) in the case of a partnership or limited liability company, partnership or membership interests (whether general or limited); and (iv) any other interest or participation that confers on a person the right to receive a share of the profits and losses of, or distributions of assets of, the issuing person.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Interest payment period” means the semi-annual period from, and including, an interest payment date to, but excluding, the next succeeding interest payment date, except for the first interest payment period, which shall be the period from, and including, August   , 2026 to, but excluding, February 15, 2027.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Ranking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our unsecured obligations and will rank junior and subordinate in right of payment to the prior payment in full of our existing and future Senior Indebtedness (as defined below under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caps w:val="false"/>
          <w:smallCaps w:val="false"/>
          <w:color w:val="000000"/>
          <w:spacing w:val="4"/>
        </w:rPr>
      </w:pPr>
      <w:r>
        <w:rPr>
          <w:caps w:val="false"/>
          <w:smallCaps w:val="false"/>
          <w:color w:val="000000"/>
          <w:spacing w:val="4"/>
        </w:rPr>
        <w:t>“— </w:t>
      </w:r>
      <w:r>
        <w:rPr>
          <w:rFonts w:ascii="Times New Roman;Times;serif" w:hAnsi="Times New Roman;Times;serif"/>
          <w:b w:val="false"/>
          <w:i w:val="false"/>
          <w:caps w:val="false"/>
          <w:smallCaps w:val="false"/>
          <w:color w:val="000000"/>
          <w:spacing w:val="4"/>
          <w:sz w:val="20"/>
        </w:rPr>
        <w:t xml:space="preserve">Subordination”), to the extent and in the manner set forth under the caption “— Subordination” below. The notes will rank equally in right of payment with (x) our ZENS, (y) our Existing Junior Subordinated Notes and (z) any future unsecured indebtedness that we may incur from time to time if the terms of such indebtedness provide that it ranks equally with the notes in right of payment.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June 30, 2026, we, on an unconsolidated basis, had approximately $7.2 billion aggregate principal amount of indebtedness outstanding, of which (A) an aggregate of $4.1 billion was Senior Indebtedness, (B) an aggregate of $828 million was our ZENS, (C) an aggregate of $2.0 billion was our Existing Junior Subordinated Notes, (D) $124 million was commercial paper and (E) $68 million was obligations relating to pollution control bonds. The ZENS and the Existing Junior Subordinated Notes will rank equally in right of payment with the notes. Excluding subsidiaries issuing Securitization Bonds, as of June 30, 2026, our subsidiaries had approximately $16.6 billion aggregate principal amount of third-party indebtedness outstanding, of which approximately $11.5 billion was secured, as well as other liabilities.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Subordination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subordinated in right of payment to the prior payment in full of all our Senior Indebtedness. This means that upon: </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payment by, or distribution of the assets of, us upon our dissolution, winding-up, liquidation or reorganization, whether voluntary or involuntary or in bankruptcy, insolvency, receivership or other proceedings; or </w:t>
      </w:r>
      <w:r>
        <mc:AlternateContent>
          <mc:Choice Requires="wps">
            <w:drawing>
              <wp:anchor behindDoc="0" distT="99060" distB="0" distL="254000" distR="0" simplePos="0" locked="0" layoutInCell="1" allowOverlap="1" relativeHeight="20">
                <wp:simplePos x="0" y="0"/>
                <wp:positionH relativeFrom="column">
                  <wp:align>left</wp:align>
                </wp:positionH>
                <wp:positionV relativeFrom="line">
                  <wp:align>top</wp:align>
                </wp:positionV>
                <wp:extent cx="254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failure to pay any interest, principal or other monetary amounts due on any of our Senior Indebtedness when due and continuance of that default beyond any applicable grace period; or </w:t>
      </w:r>
      <w:r>
        <mc:AlternateContent>
          <mc:Choice Requires="wps">
            <w:drawing>
              <wp:anchor behindDoc="0" distT="99060" distB="0" distL="254000" distR="0" simplePos="0" locked="0" layoutInCell="1" allowOverlap="1" relativeHeight="21">
                <wp:simplePos x="0" y="0"/>
                <wp:positionH relativeFrom="column">
                  <wp:align>left</wp:align>
                </wp:positionH>
                <wp:positionV relativeFrom="line">
                  <wp:align>top</wp:align>
                </wp:positionV>
                <wp:extent cx="254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acceleration of the maturity of any of our Senior Indebtedness as a result of a default; </w:t>
      </w:r>
      <w:r>
        <mc:AlternateContent>
          <mc:Choice Requires="wps">
            <w:drawing>
              <wp:anchor behindDoc="0" distT="99060" distB="0" distL="254000" distR="0" simplePos="0" locked="0" layoutInCell="1" allowOverlap="1" relativeHeight="22">
                <wp:simplePos x="0" y="0"/>
                <wp:positionH relativeFrom="column">
                  <wp:align>left</wp:align>
                </wp:positionH>
                <wp:positionV relativeFrom="line">
                  <wp:align>top</wp:align>
                </wp:positionV>
                <wp:extent cx="254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all Senior Indebtedness will be entitled to receive: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clause (a) above, payment of all amounts due or to become due on all Senior Indebtedness; or </w:t>
      </w:r>
      <w:r>
        <mc:AlternateContent>
          <mc:Choice Requires="wps">
            <w:drawing>
              <wp:anchor behindDoc="0" distT="7366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clauses (b) and (c) above, payment of all amounts due on all Senior Indebtedness, </w:t>
      </w:r>
      <w:r>
        <mc:AlternateContent>
          <mc:Choice Requires="wps">
            <w:drawing>
              <wp:anchor behindDoc="0" distT="7366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before the holders of the notes are entitled to receive any payment. So long as any of the events in clauses (a), (b), or (c) above has occurred and is continuing, any amounts payable or assets distributable on the notes will instead be paid or distributed, as the case may be, directly to the holders of Senior Indebtedness to the extent necessary to pay, in the case of clause (a) above, all amounts due or to become due upon all such Senior Indebtedness, or, in the case of clauses (b) and (c) above, all amounts due on all such Senior Indebtedness, and, if any such payment or distribution is received by the trustee under the indenture or the holders of any of the notes before all Senior Indebtedness due and to become due or due, as applicable, is paid, such payment or distribution must be paid over to the holders of the unpaid Senior Indebtedness. Subject to paying the Senior Indebtedness due and to become due in the case of clause (a) or the Senior Indebtedness due in the case of clauses (b) and (c), the holders of the notes will be subrogated to the rights of the holders of such Senior Indebtedness to receive payments or distributions of our assets applicable to such Senior Indebtedness until the notes are paid in full.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Senior Indebtedness” means the principal of (and premium, if any) and interest on and all other amounts due in connection with all Indebtedness of us whether created, incurred or assumed before, on or after the date of the indenture;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such Senior Indebtedness shall not include (i) Indebtedness of us to any of our subsidiaries, (ii) our Trade Payables, (iii) our Indebtedness that, when incurred and without respect to any election under Section 1111(b) of Title 11 of the Internal Revenue Code of 1986, as amended, was without recourse to us, and (iv) any other Indebtedness of us which by the terms of the instrument creating or evidencing the same is specifically designated as being subordinated to or </w:t>
      </w:r>
      <w:r>
        <w:rPr>
          <w:rFonts w:ascii="Times New Roman;Times;serif" w:hAnsi="Times New Roman;Times;serif"/>
          <w:b w:val="false"/>
          <w:i/>
          <w:caps w:val="false"/>
          <w:smallCaps w:val="false"/>
          <w:color w:val="000000"/>
          <w:spacing w:val="4"/>
          <w:sz w:val="20"/>
        </w:rPr>
        <w:t>pari passu</w:t>
      </w:r>
      <w:r>
        <w:rPr>
          <w:rFonts w:ascii="Times New Roman;Times;serif" w:hAnsi="Times New Roman;Times;serif"/>
          <w:b w:val="false"/>
          <w:i w:val="false"/>
          <w:caps w:val="false"/>
          <w:smallCaps w:val="false"/>
          <w:color w:val="000000"/>
          <w:spacing w:val="4"/>
          <w:sz w:val="20"/>
        </w:rPr>
        <w:t xml:space="preserve"> with the notes.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Guarantee” means any obligation, contingent or otherwise, of any Person directly or indirectly guaranteeing any Indebtedness or other obligation of any other Person and, without limiting the generality of the foregoing, any obligation, direct or indirect, contingent or otherwise, of such Person (i) to purchase or pay (or advance or supply funds for the purchase or payment of) such Indebtedness or other obligation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such other Person (whether arising by virtue of partnership arrangements, or by agreement to keep well, to purchase assets, goods, securities or services, to take-or-pay, or to maintain financial statement conditions or otherwise) or (ii) entered into for purposes of assuring in any other manner the obligee of such Indebtedness of other obligation of the payment thereof or to protect such obligee against loss in respect thereof (in whole or in part);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the term “Guarantee” shall not include endorsements for collection or deposit in the ordinary course of business. The term “Guarantee” used as a verb has a corresponding meaning.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Indebtedness” means, with respect to any Person at any date of determination (without duplication), (i) all indebtedness of such Person for borrowed money, (ii) all obligations of such Person evidenced by bonds, debentures, notes or other similar instruments, including obligations incurred in connection with the acquisition of property, assets or businesses, (iii) all obligations of such Person in respect of letters of credit or bankers’ acceptances or other similar instruments (or reimbursement obligations thereto) issued on the account of such Person, (iv) all obligations of such Person to pay the deferred purchase price of property or services, except Trade Payables, (v) all obligations of such Person as lessee under capitalized leases, (vi) all Indebtedness of others secured by a Lien on any asset of such Person, whether or not such Indebtedness is assumed by such Person;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for purposes of determining the amount of any Indebtedness of the type described in this clause (vi), if recourse with respect to such Indebtedness is limited to such asset, the amount of such Indebtedness shall be limited to the lesser of the fair market value of such asset or the amount of such Indebtedness, (vii) all Indebtedness of others Guaranteed by such Person to the extent such Indebtedness is Guaranteed by such Person, and (viii) to the extent not otherwise included in this definition, all obligations of such Person for claims in respect of derivative products, including interest rate, foreign exchange rate and commodity prices, forward contracts, options, swaps, collars and similar arrangements.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Lien” means, with respect to any property, any mortgage, lien, pledge, charge, security interest or encumbrance of any kind in respect of such property. For purposes of the indenture, we shall be deemed to own subject to a Lien any property which we have acquired or hold subject to the interest of a vendor or lessor under any conditional sale agreement, capital lease or other title retention agreement relating to such property.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Person” means any individual, corporation, partnership, joint venture, trust, unincorporated organization or government or any agency or political subdivision thereof.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Trade Payables” means, with respect to any Person, any accounts payable or any other indebtedness or monetary obligation to trade creditors created, assumed or Guaranteed by such Person or any of its subsidiaries arising in the ordinary course of business in connection with the acquisition of goods or services.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Due to the subordination of the notes, if our assets are distributed upon our dissolution, winding-up, liquidation or reorganization, holders of our Senior Indebtedness and other indebtedness and obligations that are not equal or junior to the notes in right of payment will likely recover more, ratably, than holders of the notes, and it is possible that no payments will be made to the holders of the notes. The subordination provisions described above will cease to apply in the event of satisfaction and discharge of the notes as described under “— Discharge.”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and the indenture do not limit our ability to incur Senior Indebtedness or our or any of our subsidiaries’ ability to incur other secured and unsecured indebtedness, preferred equity or other liabilities. We expect that we and our subsidiaries will incur substantial additional amounts of indebtedness, including Senior Indebtedness, in the future. For additional information, see “Risk Factors” in this prospectus supplement.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Redemption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described under this “— Redemption” section, we may not redeem the notes prior to the maturity date.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Optional Redemption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redeem the notes in whole or in part, at a redemption price equal to 100% of the principal amount of the notes being redeemed plus accrued and unpaid interest to, but excluding, the redemption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date (i) on any day in the period commencing on the date falling 90 days prior to the First Reset Date and ending on and including the First Reset Date and (ii) after the First Reset Date, on any interest payment date.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Redemption Following a Tax Event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at our option, redeem the notes, in whole but not in part, at a redemption price equal to the sum of: (1) 100% of the principal amount of the notes being redeemed plus (2) accrued and unpaid interest to, but excluding, the tax event redemption date. In such case, we will deliver a notice of redemption specifying the tax event redemption date within 120 days after the occurrence of a tax event with respect to the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“tax event” means that we have received a written opinion of a nationally recognized accounting firm or counsel experienced in such matters to the effect that, as a result of: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amendment to, clarification of, or change, including any announced prospective change, in the laws or treaties of the United States or any of its political subdivisions or taxing authorities, or any regulations under those laws or treaties; </w:t>
      </w:r>
      <w:r>
        <mc:AlternateContent>
          <mc:Choice Requires="wps">
            <w:drawing>
              <wp:anchor behindDoc="0" distT="6985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administrative action, which means any judicial decision or any official administrative pronouncement, ruling, regulatory procedure, notice or announcement, including any notice or announcement of intent to issue or adopt any administrative pronouncement, ruling, regulatory procedure or regulation; </w:t>
      </w:r>
      <w:r>
        <mc:AlternateContent>
          <mc:Choice Requires="wps">
            <w:drawing>
              <wp:anchor behindDoc="0" distT="6985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amendment to, clarification of, or change in the official position or the interpretation of any administrative action or judicial decision or any interpretation or pronouncement that provides for a position with respect to an administrative action or judicial decision that differs from the previously generally accepted position, in each case by any legislative body, court, governmental authority or regulatory body, regardless of the time or manner in which that amendment, clarification or change is introduced or made known; or </w:t>
      </w:r>
      <w:r>
        <mc:AlternateContent>
          <mc:Choice Requires="wps">
            <w:drawing>
              <wp:anchor behindDoc="0" distT="7112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threatened challenge asserted in writing in connection with a tax audit of us or any of our subsidiaries, or a publicly-known threatened challenge asserted in writing against any other taxpayer that has raised capital through the issuance of securities that are substantially similar to the notes, </w:t>
      </w:r>
      <w:r>
        <mc:AlternateContent>
          <mc:Choice Requires="wps">
            <w:drawing>
              <wp:anchor behindDoc="0" distT="7112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which amendment, clarification or change is effective or the administrative action is taken or judicial decision, interpretation or pronouncement is issued or threatened challenge is asserted or becomes publicly-known after the date of this prospectus supplement, there is more than an insubstantial risk that interest payable by us on the notes is not deductible, or within 90 days would not be deductible, in whole or in part, by us for United States federal income tax purposes.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Redemption Following a Tax Credit Event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at our option, redeem the notes, in whole but not in part, at a redemption price equal to the sum of: (1) 101% of the principal amount of the notes being redeemed plus (2) accrued and unpaid interest to, but excluding, the tax credit event redemption date. A notice of redemption of the notes upon the occurrence of a tax credit event (i) may only be sent by the later of (a) the end of the calendar year in which the notes were issued and (b) six months from the date of issuance of the notes and (ii) shall be accompanied by an officer’s certificate stating that a tax credit event has occurred.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“tax credit event” occurs with respect to the notes if, in our reasonable determination, there exists a material risk, due to the notes (considered together with other debt) having been issued, as part of an original issuance, to one or more “specified foreign entities,” as defined in Section 7701(a)(51)(B) of the Code, that we or any of our affiliates would be unable to utilize or otherwise be ineligible to claim any tax credits otherwise allowed under Section 38 of the Code.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Redemption Following a Rating Agency Event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at our option, redeem the notes, in whole but not in part, at a redemption price equal to 102% of the principal amount of the notes being redeemed, plus accrued and unpaid interest to, but excluding, the redemption date, at any time within 120 days after the occurrence of a rating agency event with respect to the notes.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“rating agency event” means, as of any date, a change, clarification or amendment in the methodology in assigning equity credit to securities such as the notes published by any nationally recognized statistical rating organization within the meaning of Section 3(a)(62) of the Exchange Act (or any successor provision thereto) that then publishes a rating for us (together with any successor thereto, a “rating agency”), (a) as such methodology was in effect on the date of this prospectus supplement, in the case of any rating agency that published a rating for us as of the date of this prospectus supplement, or (b) as such methodology was in effect on the date such rating agency first published a rating for us, in the case of any rating agency that first publishes a rating for us after the date of this prospectus supplement (in the case of either clause (a) or (b), the “current methodology”), that results in (i) any shortening of the length of time for which a particular level of equity credit pertaining to the notes by such rating agency would have been in effect had the current methodology not been changed, clarified or amended or (ii) a lower equity credit (including up to a lesser amount) being assigned by such rating agency to the notes as of the date of such change, clarification or amendment than the equity credit that would have been assigned to the notes by such rating agency had the current methodology not been changed, clarified or amended.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Redemption Procedures; Cancellation of Redemption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any statement under this caption “— Redemption” to the contrary, during an optional deferral period, interest will continue to accrue on the notes, and deferred interest payments will accrue additional interest on a semi-annual basis at a rate equal to the interest rate then-applicable to the notes (including, to the extent permitted by applicable law, any compound interest). No interest will be due and payable on the notes until the end of the optional deferral period except upon a redemption of the notes during the optional deferral period. The interest payment date falling immediately after the last day of an optional deferral period shall not be deemed to fall on a day during such optional deferral period.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Notice of redemption will be mailed or otherwise delivered at least 10 days but not more than 60 days before the redemption date to each registered holder of the notes to be redeemed, at the address of such holder appearing in the register of the notes maintained by the registrar. Once notice of redemption is delivered, the notes called for redemption will become due and payable on the redemption date at the applicable redemption price, plus, subject to the terms described in the immediately preceding paragraph, accrued and unpaid interest to, but excluding, the redemption date, and will be paid upon surrender thereof for redemption, unless (a) the notice of redemption provides that such redemption shall be subject to the condition described in the next succeeding paragraph and (b) such redemption shall have been canceled in accordance with the provisions of the next succeeding paragraph because such condition shall not have been satisfied. If only part of a note is redeemed, the trustee will issue in the name of the registered holder of the note and deliver to such holder a new note in a principal amount equal to the unredeemed portion of the principal of the note surrendered for redemption. If we elect to redeem all or a portion of the notes, then, unless otherwise provided in such notice of redemption as described in the next succeeding paragraph, the redemption will not be conditional upon receipt by the paying agent or the trustee of monies sufficient to pay the redemption price.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at the time a notice of redemption is given, (i) we have not effected satisfaction and discharge or defeasance of the notes as described under “— Discharge” below and (ii) such notice of redemption is not being given in connection with or in order to effect satisfaction and discharge or defeasance of the notes, then, if the notice of redemption so provides and at our option, the redemption may be subject to the condition that the trustee shall have received, on or before the applicable redemption date, monies in an amount sufficient to pay the redemption price and accrued and unpaid interest on the notes called for redemption to, but excluding, the redemption date. If monies in such amount are not received by the trustee on or before such redemption date, such notice of redemption shall be automatically canceled and of no force or effect, such proposed redemption shall be automatically canceled and we shall not be required to redeem the notes called for redemption on such redemption date. In the event that a redemption is canceled, we will, not later than the business day immediately following the proposed redemption date, deliver, or cause to be delivered, notice of such cancellation to the registered holders of the notes called for redemption (which notice will also indicate that the notes or portions thereof surrendered for redemption shall be returned to the applicable holders), and we will direct the trustee to, and the trustee will, promptly return the notes or portions thereof that have been surrendered for redemption to the applicable holders. Unless we default in payment of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redemption price or the proposed redemption is canceled in accordance with the provisions set forth in this paragraph, on and after the redemption date interest will cease to accrue on the notes or portions thereof called for redemption.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less than all of the notes are redeemed at any time, the trustee will select the notes or any portions thereof in integral multiples of $1,000 to be redeemed, by lot and, when the notes are in the form of global securities, in accordance with the applicable procedures of DTC.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foregoing and to applicable law (including, without limitation, United States federal securities laws), we or our affiliates may, at any time and from time to time, purchase outstanding notes by tender, in the open market or by private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Consolidation, Merger and Sale of Assets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provides that we shall not consolidate with or merge with or into, or sell, convey, transfer or lease all or substantially all of the consolidated properties and assets of us and our subsidiaries, taken as a whole, to, another person (other than any such sale, conveyance, transfer or lease to one or more of our direct or indirect wholly owned subsidiaries), unless (i) the resulting, surviving or transferee person (if not us) is a corporation organized and existing under the laws of the United States of America, any State thereof or the District of Columbia, and such corporation (if not us) expressly assumes by supplemental indenture all of our obligations under the notes and the indenture; and (ii) immediately after giving effect to such transaction, no default or event of default has occurred and is continuing under the indenture. In addition, in connection with any such transaction, we will deliver to the trustee an officer’s certificate and an opinion of counsel, each stating that such consolidation, merger, sale, conveyance, transfer or lease and, if a supplemental indenture is required in connection with such transaction, such supplemental indenture complies with the indenture and that all conditions precedent contained in the indenture relating to such transaction have been complied with. Upon any such consolidation, merger or sale, conveyance, transfer or lease, the resulting, surviving or transferee person (if not us) shall succeed to, and may exercise every right and power of, ours under the indenture, and we shall be discharged from our obligations under the notes and the indenture except in the case of any such lease.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Events of Default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“event of default” occurs with respect to the notes if: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we do not pay any interest on the notes when they become due and payable and such default continues for 30 days (regardless of whether such payment is prohibited by the subordination provisions applicable to the notes), except as the result of a deferral of interest payments in accordance with the provisions described above under “— Option to Defer Interest Payments”;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we do not pay any principal of or premium, if any, on the notes when they become due and payable (regardless of whether such payment is prohibited by the subordination provisions applicable to the notes);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we remain in breach of any other covenant in the indenture or the notes for 60 days after there has been given to us a written notice of default (which notice must be sent by either the trustee or registered holders of at least 33% of the principal amount of the then-outstanding notes) specifying such default or breach and requiring remedy of the default or breach; or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we file for bankruptcy or other specified events of bankruptcy, insolvency, receivership or reorganization with respect to 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event of default, other than an event of default described in clause (3) above, occurs and is continuing with respect to the notes, then either the trustee or the registered holders of at least 33% of the principal amount of the then-outstanding notes may declare the principal amount of all of the notes, together with accrued and unpaid interest thereon, to be due and payable immediately. See “Risk Factors — Risks Related to the Notes — Holders of the notes will have limited rights of acceleration” above. However, they may exercise the other rights and remedies available under the indenture and under applicable law upon the occurrence of an event of default.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right does not apply if an event of default described in clause (3) above occurs. If one of the events of default described in clause (3) above occurs and is continuing, neither the trustee nor the registered holders of the notes will be entitled to declare the principal amount of all notes, together with accrued and unpaid interest thereon, to be due and payable immediately.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valid utilization of an optional deferral period by us as contemplated in the indenture shall not constitute a default in the payment of interest giving rise to an event of default.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at any time after the principal of notes shall have been so declared due and payable, and before any judgment or decree for the payment of monies due shall have been obtained or entered, the holders of a majority in principal amount of the outstanding notes may, by written notice to us and the trustee, waive all past defaults (except with respect to (i) any continuing defaults relating to nonpayment of principal or interest or (ii) a default in respect of a covenant or provision which under the indenture cannot be modified or amended without the consent of the holder of the notes affected) and rescind any such acceleration with respect to the notes and its consequences if (i) rescission would not conflict with any judgment or decree of a court of competent jurisdiction and (ii) all existing events of default, other than the nonpayment of the principal of and interest on the notes that have become due solely by such declaration of acceleration, have been cured or waived.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provisions of the indenture relating to the duties of the trustee, if an event of default occurs and is continuing, the trustee will be under no obligation to exercise any of the rights or powers under the indenture at the request or direction of any of the holders unless such holders have offered and provided to the trustee indemnity and/or security satisfactory to it against any loss, claim, liability or expense (including reasonable attorney’s fees and expenses). Except to enforce the right to receive payment of principal or interest when due, no holder may pursue any remedy with respect to the indenture or the notes unless: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such holder has previously given the trustee written notice that an event of default is continuing;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holders of at least 33% in principal amount of the outstanding notes have requested the trustee to pursue the remedy;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such holders have offered the trustee security or indemnity reasonably satisfactory to it against any loss, claim, liability or expense (including reasonable attorney’s fees and expenses);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the trustee has not complied with such request within 60 days after the receipt of the request and the offer of such security or indemnity; and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   the holders of a majority in principal amount of the outstanding notes have not given the trustee a direction that, in the opinion of the trustee, is inconsistent with such request within such 60-day period.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certain restrictions, the holders of a majority in principal amount of the outstanding notes are given the right to direct the time, method and place of conducting any proceeding for any remedy available to the trustee or of exercising any trust or power conferred on the trustee.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provides that in the event an event of default has occurred and is continuing under such indenture of which a responsible officer of the trustee has written notice, the trustee will be required in the exercise of its powers to use the degree of care that a prudent person would use in the conduct of its own affairs. The trustee, however, may refuse to follow any direction that conflicts with law or the indenture or that the trustee determines is unduly prejudicial to the rights of any other holder (it being understood that the trustee does not have an affirmative duty to ascertain whether or not any such direction is unduly prejudicial to the rights of another holder) or that would involve the trustee in personal liability.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provides that if a default occurs and is continuing and a responsible officer of the trustee is notified in writing, the trustee must deliver to each holder notice of the default within 90 days after it receives written notice. Except in the case of a default in the payment of principal of or interest on the notes, the trustee may withhold notice if and so long as it determines that withholding notice is in the interests of the holders. In addition, we are required to deliver to the trustee, within 120 days after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end of each fiscal year, an officers’ certificate indicating whether the signers thereof know of any event of default under the indenture that occurred during the previous year. We are also required to deliver to the trustee, within 30 days after obtaining knowledge of the occurrence thereof, written notice of any events which would constitute certain defaults, their status and what action we are taking or proposing to take in respect thereof;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we are not required to deliver such notice if such default has been cured.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Payments of the redemption price, principal and interest that are not made when due will accrue interest per annum at the then-applicable interest rate from the required payment date.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Modification and Amendment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certain exceptions, the indenture or the notes may be amended or supplemented with the consent of the holders of at least a majority in principal amount of the notes then-outstanding (including without limitation, consents obtained in connection with a repurchase of, or tender or exchange offer for, notes) and, subject to certain exceptions, any past default or compliance with any provisions may be waived with the consent of the holders of a majority in principal amount of the notes then-outstanding. However, without the consent of each holder of an outstanding note affected, no amendment or supplement may, among other things: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reduce the principal amount of notes whose holders must consent to an amendment;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reduce the rate of or extend the stated time for payment of interest on the notes beyond the maximum time period for any permitted deferral of interest or to increase the maximum time period for any such interest deferral or increase the maximum number of times we may defer such interest payment;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reduce the principal of or extend the stated maturity of the notes;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reduce the redemption price of the notes or amend or modify in any manner adverse to the holders of notes our obligation to make such payments, whether through an amendment or waiver of provisions in the covenants, definitions or otherwise; </w:t>
      </w:r>
    </w:p>
    <w:p>
      <w:pPr>
        <w:pStyle w:val="TextBody"/>
        <w:bidi w:val="0"/>
        <w:spacing w:lineRule="atLeast" w:line="240" w:before="160" w:after="283"/>
        <w:ind w:left="1393" w:right="0" w:firstLine="8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   make the notes payable in money, or at a place of payment, other than that stated in the note;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(6)   change the subordination provisions applicable to the notes in a manner adverse to holders; or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(7)   make any change in the amendment provisions that require each holder’s consent or in the waiver provisions.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Without the consent of any holder, we and the trustee may amend or supplement the indenture or the notes to, among other things: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cure any ambiguity, omission, defect or inconsistency;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provide for the assumption by a successor corporation of our obligations under the indenture as described above under the heading “— Consolidation, Merger and Sale of Assets”;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add guarantees with respect to the notes;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secure the notes;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   add to our covenants or events of default for the benefit of the holders or surrender any right or power conferred upon us;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(6)   make any change that does not adversely affect the rights of any holder, as determined by us in good faith;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(7)   conform the provisions of the indenture or the notes to the “Description of Notes” section in the preliminary prospectus supplement, as supplemented by the related pricing term sheet and as evidenced in an officer’s certificate;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(8)   comply with the rules of any applicable securities depositary, including DTC, so long as such amendment does not adversely affect the rights of any holder in any material respect;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(9)   appoint a successor trustee with respect to the notes; or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(10)   provide for the acceptance of appointment by a successor trustee, security registrar or paying agent to facilitate the administration of the trusts under the indenture by more than one trustee.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do not need to approve the particular form of any proposed amendment. It will be sufficient if such holders approve the substance of the proposed amendment. After an amendment under the indenture becomes effective, we are required to deliver to the holders (with a copy to the trustee) a notice briefly describing such amendment. However, the failure to give such notice to all the holders (with a copy to the trustee), or any defect in the notice, will not impair or affect the validity of the amendment.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Discharge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satisfy and discharge our obligations under the indenture and the notes by delivering to the trustee for cancellation all outstanding notes or by depositing with the trustee or delivering to the holders, as applicable, after the notes have become due and payable, whether at maturity, at any redemption date, or otherwise, cash sufficient to pay all of the outstanding notes and paying all other sums payable under the indenture by us. Such discharge is subject to terms contained in the indenture.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Agreement to Certain Tax Treatment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and each holder and beneficial owner of the notes will, by accepting the notes or a beneficial interest therein, be deemed to have agreed that the holder or beneficial owner intends that the notes constitute debt and will treat the notes as debt for United States federal, state and local tax purposes.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Sinking Fund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not be entitled to the benefit of any sinking fund.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Listing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a new issue of securities with no established trading market. No application is being or is intended to be made for the listing or trading of the notes on any securities exchange or trading facility or to include the notes in any automated quotation system.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Trustee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Bank of New York Mellon Trust Company, N.A. is the trustee, security registrar and paying agent under the notes and the indenture. The Bank of New York Mellon Trust Company, N.A., in each of its capacities, including without limitation as trustee, security registrar and paying agent, assumes no responsibility for the accuracy or completeness of the information concerning us or our affiliates or any other party contained in this document or the related documents or for any failure by us or any other party to disclose events that may have occurred and may affect the significance or accuracy of such information.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maintain and may in the future maintain banking relationships in the ordinary course of business with the trustee and its affiliates.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The Bank of New York Mellon Trust Company, N.A. is the trustee under a senior indenture, it may be required to resign as trustee under one of the indentures if there is an event of default under an indenture. We may appoint an alternative trustee for any series of debt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Governing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provides that it and the notes, and any claim, controversy or dispute arising under or related to the indenture or the notes, will be governed by and construed in accordance with the laws of the State of New York.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Book-Entry, Settlement and Clearance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Global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initially issued in the form of one or more registered notes in global form, without interest coupons (the “global notes”). Upon issuance, each of the global notes will be deposited with the trustee as custodian for DTC and registered in the name of Cede &amp; Co., as nominee of DTC.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Ownership of beneficial interests in a global note will be limited to persons who have accounts with DTC (“DTC participants”) or persons who hold interests through DTC participants. We expect that under procedures established by DTC: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deposit of a global note with DTC’s custodian, DTC will credit portions of the principal amount of the global note to the accounts of the DTC participants designated by the underwriters; and </w:t>
      </w:r>
      <w:r>
        <mc:AlternateContent>
          <mc:Choice Requires="wps">
            <w:drawing>
              <wp:anchor behindDoc="0" distT="7493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ownership of beneficial interests in a global note will be shown on, and transfer of ownership of those interests will be effected only through, records maintained by DTC (with respect to interests of DTC participants) and the records of DTC participants (with respect to other owners of beneficial interests in the global note). </w:t>
      </w:r>
      <w:r>
        <mc:AlternateContent>
          <mc:Choice Requires="wps">
            <w:drawing>
              <wp:anchor behindDoc="0" distT="7493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Beneficial interests in global notes may not be exchanged for notes in physical, certificated form except in the limited circumstances described below.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Book-Entry Procedures for Global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interests in the global notes will be subject to the operations and procedures of DTC and, therefore, you must allow for sufficient time in order to comply with these procedures if you wish to exercise any of your rights with respect to the notes. We provide the following summary of those operations and procedures solely for the convenience of investors. The operations and procedures of DTC are controlled by that settlement system and may be changed at any time. None of us, the underwriters or the trustee are responsible for those operations or procedures.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has advised us that it is: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limited purpose trust company organized under the laws of the State of New York; </w:t>
      </w:r>
      <w:r>
        <mc:AlternateContent>
          <mc:Choice Requires="wps">
            <w:drawing>
              <wp:anchor behindDoc="0" distT="7493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“banking organization” within the meaning of the New York State Banking Law; </w:t>
      </w:r>
      <w:r>
        <mc:AlternateContent>
          <mc:Choice Requires="wps">
            <w:drawing>
              <wp:anchor behindDoc="0" distT="7493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member of the Federal Reserve System; </w:t>
      </w:r>
      <w:r>
        <mc:AlternateContent>
          <mc:Choice Requires="wps">
            <w:drawing>
              <wp:anchor behindDoc="0" distT="7493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“clearing corporation” within the meaning of the Uniform Commercial Code; and </w:t>
      </w:r>
      <w:r>
        <mc:AlternateContent>
          <mc:Choice Requires="wps">
            <w:drawing>
              <wp:anchor behindDoc="0" distT="7493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“clearing agency” registered under Section 17A of the Exchange Act. </w:t>
      </w:r>
      <w:r>
        <mc:AlternateContent>
          <mc:Choice Requires="wps">
            <w:drawing>
              <wp:anchor behindDoc="0" distT="7493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including the underwriters;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 Investors may hold interests in the notes offered hereby through DTC if they are participants in DTC or indirectly through organizations that are participants in DTC, including Euroclear Bank S.A./N.V., as operator of the Euroclear system, or Clearstream Banking, société anonyme, Luxembourg (“Clearstream”).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 long as DTC’s nominee is the registered owner of a global note, that nominee will be considered the sole owner or holder of the notes represented by that global note for all purposes under the indenture. Except as provided below, owners of beneficial interests in a global note: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will not be entitled to have notes represented by the global note registered in their names; </w:t>
      </w:r>
      <w:r>
        <mc:AlternateContent>
          <mc:Choice Requires="wps">
            <w:drawing>
              <wp:anchor behindDoc="0" distT="7620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will not receive or be entitled to receive physical, certificated notes; and </w:t>
      </w:r>
      <w:r>
        <mc:AlternateContent>
          <mc:Choice Requires="wps">
            <w:drawing>
              <wp:anchor behindDoc="0" distT="0" distB="0" distL="254000" distR="0" simplePos="0" locked="0" layoutInCell="1" allowOverlap="1" relativeHeight="37">
                <wp:simplePos x="0" y="0"/>
                <wp:positionH relativeFrom="column">
                  <wp:align>left</wp:align>
                </wp:positionH>
                <wp:positionV relativeFrom="line">
                  <wp:posOffset>635</wp:posOffset>
                </wp:positionV>
                <wp:extent cx="127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will not be considered the owners or holders of the notes under the indenture for any purpose, including with respect to the giving of any direction, instruction or approval to the trustee under the indenture. </w:t>
      </w:r>
      <w:r>
        <mc:AlternateContent>
          <mc:Choice Requires="wps">
            <w:drawing>
              <wp:anchor behindDoc="0" distT="7747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result, each investor who owns a beneficial interest in a global note must rely on the procedures of DTC to exercise any rights of a holder of notes under the indenture for the notes (and, if the investor is not a participant or an indirect participant in DTC, on the procedures of the DTC participant through which the investor owns its interest). Neither we nor the trustee or paying agent has any responsibility or liability for any act or omission of DTC.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Payments of principal and interest with respect to the notes represented by a global note will be made by the trustee to DTC’s nominee as the registered holder of the global note. Neither we nor the trustee (including in its capacity as paying agent) will have any responsibility or liability for the payment of amounts to owners of beneficial interests in a global note, for any aspect of the records relating to or payments made on account of those interests by DTC, or for maintaining, supervising or reviewing any records of DTC relating to those interests.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Payments by participants and indirect participants in DTC to the owners of beneficial interests in a global note will be governed by standing instructions and customary industry practice and will be the responsibility of those participants or indirect participants and DTC. Neither we nor the trustee (nor our or its agents) will be liable for any delay by DTC or any of its participants in identifying the beneficial owners of the notes, and we and the trustee may conclusively rely on and will be protected in relying on instructions from DTC or its nominee for all purposes.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Transfers between participants in DTC will be effected under DTC’s procedures and will be settled in same-day funds.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Certificated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Notes in physical, certificated form will be issued and delivered to each person that DTC identifies as a beneficial owner of the related notes only if: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notifies us at any time that it is unwilling or unable to continue as depositary for the global notes and a successor depositary is not appointed within 90 days; </w:t>
      </w:r>
      <w:r>
        <mc:AlternateContent>
          <mc:Choice Requires="wps">
            <w:drawing>
              <wp:anchor behindDoc="0" distT="7620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ceases to be registered as a clearing agency under the Exchange Act and a successor depositary is not appointed within 90 days; or </w:t>
      </w:r>
      <w:r>
        <mc:AlternateContent>
          <mc:Choice Requires="wps">
            <w:drawing>
              <wp:anchor behindDoc="0" distT="7620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event of default with respect to the notes has occurred and is continuing and such beneficial owner requests that its notes be issued in physical, certificated form. </w:t>
      </w:r>
      <w:r>
        <mc:AlternateContent>
          <mc:Choice Requires="wps">
            <w:drawing>
              <wp:anchor behindDoc="0" distT="7620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any proposed transfer outside the Book Entry Only system, there shall be provided to the trustee all information necessary to allow the trustee to comply with any applicable tax reporting obligations, including without limitation any cost basis reporting obligations under Internal Revenue Code Section 6045. The trustee may rely on the information provided to it and shall have no responsibility to verify or ensure the accuracy of such information.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Global Clearance and Settlement Procedures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Secondary market trading between Clearstream participants and/or Euroclear system participants will occur in the ordinary way in accordance with the applicable rules and operating procedures of Clearstream and the Euroclear system, as applicable.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Cross-market transfers between persons holding directly or indirectly through DTC on the one hand, and directly or indirectly through Clearstream participants or Euroclear system participants on the other, will be effected through DTC in accordance with DTC rules on behalf of the relevant European international clearing system by its United States depositary; however, such cross-market transactions will require delivery of instructions to the relevant European international clearing system by the counterparty in such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9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system in accordance with its rules and procedures and within its established deadlines (European time). The relevant European international clearing system will, if the transaction meets its settlement requirements, deliver instructions to its United States depositary to take action to effect final settlement on its behalf by delivering or receiving securities in DTC, and making or receiving payment in accordance with normal procedures for same-day funds settlement applicable to DTC. Clearstream participants and Euroclear system participants may not deliver instructions directly to their respective United States depositaries.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of time-zone differences, credits of notes received in Clearstream or the Euroclear system as a result of a transaction with a DTC participant will be made during subsequent securities settlement processing and dated the business day following the DTC settlement date. Such credits or any transactions in such notes settled during such processing will be reported to the relevant Clearstream participant or Euroclear system participant on such business day. Cash received in Clearstream or the Euroclear system as a result of sales of the notes by or through a Clearstream participant or a Euroclear system participant to a DTC participant will be received with value on the DTC settlement date but will be available in the relevant Clearstream, Luxembourg or the Euroclear system cash account only as of the business day following settlement in DTC.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information in this section concerning DTC and DTC’s book-entry system, Clearstream, Luxembourg and the Euroclear system has been obtained from sources that we believe to be reliable. Neither we nor the underwriters take any responsibility for the accuracy of this information.</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MUFI"/>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MATERIAL U.S. FEDERAL INCOME TAX CONSEQUENCES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summary of certain U.S. federal income tax consequences of the ownership and disposition of the notes. This summary deals only with notes that are held as capital assets (generally, for investment purposes) by persons who purchase the notes for cash upon original issuance at their “issue price” (the first price at which a substantial amount of the notes is sold for money to investors, excluding sales to bond houses, brokers or similar persons or organizations acting in the capacity of underwriter, placement agent or wholesaler).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summary is based upon provisions of the Code, and existing and proposed Treasury regulations promulgated thereunder, rulings and judicial decisions as of the date of this prospectus supplement. Those authorities may be changed, possibly with retroactive effect, so as to result in U.S. federal income tax consequences different from those summarized below. We have not sought and will not seek any rulings from the Internal Revenue Service (“IRS”) regarding the matters discussed below. There can be no assurance that the IRS will not take positions concerning the tax consequences of the ownership or disposition of the notes that are different from those discussed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summary does not address all of the U.S. federal income tax consequences that may be relevant to you in light of your personal circumstances, nor does it address the Medicare tax on net investment income, U.S. federal estate and gift taxes or the effects of any state, local or non-U.S. tax laws. In addition, it does not represent a detailed description of the U.S. federal income tax consequences applicable to you if you are a person subject to special treatment under the U.S. federal income tax laws, including, without limitation: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broker or dealer in securities or currencies; </w:t>
      </w:r>
      <w:r>
        <mc:AlternateContent>
          <mc:Choice Requires="wps">
            <w:drawing>
              <wp:anchor behindDoc="0" distT="7493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financial institution; </w:t>
      </w:r>
      <w:r>
        <mc:AlternateContent>
          <mc:Choice Requires="wps">
            <w:drawing>
              <wp:anchor behindDoc="0" distT="7493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42"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insurance company; </w:t>
      </w:r>
      <w:r>
        <mc:AlternateContent>
          <mc:Choice Requires="wps">
            <w:drawing>
              <wp:anchor behindDoc="0" distT="7493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43"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regulated investment company; </w:t>
      </w:r>
      <w:r>
        <mc:AlternateContent>
          <mc:Choice Requires="wps">
            <w:drawing>
              <wp:anchor behindDoc="0" distT="7493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44"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real estate investment trust; </w:t>
      </w:r>
      <w:r>
        <mc:AlternateContent>
          <mc:Choice Requires="wps">
            <w:drawing>
              <wp:anchor behindDoc="0" distT="7493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5"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tax-exempt entity; </w:t>
      </w:r>
      <w:r>
        <mc:AlternateContent>
          <mc:Choice Requires="wps">
            <w:drawing>
              <wp:anchor behindDoc="0" distT="7493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6"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person holding the notes as part of a hedging, integrated, conversion or constructive sale transaction or a straddle; </w:t>
      </w:r>
      <w:r>
        <mc:AlternateContent>
          <mc:Choice Requires="wps">
            <w:drawing>
              <wp:anchor behindDoc="0" distT="7493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7"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trader in securities that has elected the mark-to-market method of accounting for your securities; </w:t>
      </w:r>
      <w:r>
        <mc:AlternateContent>
          <mc:Choice Requires="wps">
            <w:drawing>
              <wp:anchor behindDoc="0" distT="7493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8"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person liable for alternative minimum tax; </w:t>
      </w:r>
      <w:r>
        <mc:AlternateContent>
          <mc:Choice Requires="wps">
            <w:drawing>
              <wp:anchor behindDoc="0" distT="7493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9"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U.S. holder (as defined below) that holds notes through a non-U.S. broker or other non-U.S. intermediary; </w:t>
      </w:r>
      <w:r>
        <mc:AlternateContent>
          <mc:Choice Requires="wps">
            <w:drawing>
              <wp:anchor behindDoc="0" distT="7493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50"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U.S. holder whose “functional currency” is not the U.S. dollar; </w:t>
      </w:r>
      <w:r>
        <mc:AlternateContent>
          <mc:Choice Requires="wps">
            <w:drawing>
              <wp:anchor behindDoc="0" distT="7493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51"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U.S. expatriate; </w:t>
      </w:r>
      <w:r>
        <mc:AlternateContent>
          <mc:Choice Requires="wps">
            <w:drawing>
              <wp:anchor behindDoc="0" distT="7620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52"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“controlled foreign corporation”; </w:t>
      </w:r>
      <w:r>
        <mc:AlternateContent>
          <mc:Choice Requires="wps">
            <w:drawing>
              <wp:anchor behindDoc="0" distT="7620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53"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“passive foreign investment company”; </w:t>
      </w:r>
      <w:r>
        <mc:AlternateContent>
          <mc:Choice Requires="wps">
            <w:drawing>
              <wp:anchor behindDoc="0" distT="7620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54"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partnership or other pass-through entity (or an investor in such an entity); or </w:t>
      </w:r>
      <w:r>
        <mc:AlternateContent>
          <mc:Choice Requires="wps">
            <w:drawing>
              <wp:anchor behindDoc="0" distT="7620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5"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person required to accelerate the recognition of any item of gross income with respect to the notes as a result of such income being recognized on an applicable financial statement. </w:t>
      </w:r>
      <w:r>
        <mc:AlternateContent>
          <mc:Choice Requires="wps">
            <w:drawing>
              <wp:anchor behindDoc="0" distT="7620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6"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used herein, a “U.S. holder” means a beneficial owner of the notes that is, for U.S. federal income tax purposes, any of the following: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individual who is a citizen or resident of the United States; </w:t>
      </w:r>
      <w:r>
        <mc:AlternateContent>
          <mc:Choice Requires="wps">
            <w:drawing>
              <wp:anchor behindDoc="0" distT="7620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7"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(or any other entity treated as a corporation for U.S. federal income tax purposes) that is created or organized in or under the laws of the United States, any state thereof or the District of Columbia; </w:t>
      </w:r>
      <w:r>
        <mc:AlternateContent>
          <mc:Choice Requires="wps">
            <w:drawing>
              <wp:anchor behindDoc="0" distT="7620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8"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estate the income of which is subject to U.S. federal income taxation regardless of its source; or </w:t>
      </w:r>
      <w:r>
        <mc:AlternateContent>
          <mc:Choice Requires="wps">
            <w:drawing>
              <wp:anchor behindDoc="0" distT="0" distB="0" distL="254000" distR="0" simplePos="0" locked="0" layoutInCell="1" allowOverlap="1" relativeHeight="60">
                <wp:simplePos x="0" y="0"/>
                <wp:positionH relativeFrom="column">
                  <wp:align>left</wp:align>
                </wp:positionH>
                <wp:positionV relativeFrom="line">
                  <wp:posOffset>635</wp:posOffset>
                </wp:positionV>
                <wp:extent cx="127000" cy="350520"/>
                <wp:effectExtent l="0" t="0" r="0" b="0"/>
                <wp:wrapSquare wrapText="right"/>
                <wp:docPr id="59"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if it (i) is subject to the primary supervision of a court within the United States and one or more United States persons have the authority to control all substantial decisions of the trust or (ii) has a valid election in effect under applicable U.S. Treasury regulations to be treated as a United States person. </w:t>
      </w:r>
      <w:r>
        <mc:AlternateContent>
          <mc:Choice Requires="wps">
            <w:drawing>
              <wp:anchor behindDoc="0" distT="7366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60"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 “non-U.S. holder” means a beneficial owner of the notes (other than an entity or arrangement treated as a partnership for U.S. federal income tax purposes) that is not a U.S. holder.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partnership (or other entity or arrangement treated as a partnership for U.S. federal income tax purposes) holds the notes, the tax treatment of a partner will generally depend upon the status of the partner and the activities of the partnership. If you are a partnership or a partner in a partnership considering an investment in the notes, you should consult your own tax advisors.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If you are considering the purchase of notes, you should consult your own tax advisors concerning the particular U.S. federal income tax consequences to you of the ownership and disposition of the notes, as well as the consequences to you arising under other U.S. federal tax laws and the laws of any other taxing jurisdiction.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Classification of the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determination of whether a security should be classified as indebtedness or equity for U.S. federal income tax purposes requires a judgment based on all relevant facts and circumstances. There is no statutory, judicial or administrative authority that directly addresses the U.S. federal income tax treatment of securities similar to the notes, and no rulings have been sought, or will be sought, from the IRS in this regard.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issuance of the notes, Baker Botts L.L.P. will render its opinion that, while the matter is not completely free from doubt, under applicable law as of the issue date of the notes, the notes will be properly characterized as indebtedness for U.S. federal income tax purposes. This opinion is based upon an analysis of the relevant facts and circumstances, including certain representations relied upon in rendering the opinion, and assumes that the transactions related to the issuance of the notes are consummated in accordance with the terms of the relevant transaction documents.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opinion is not, however, binding on the IRS. If, contrary to the opinion described herein, the IRS were to assert successfully that the notes were not properly characterized as indebtedness for U.S. federal income tax purposes, interest payments on the notes would generally be treated for U.S. federal income tax purposes as dividends to the extent paid out of our current or accumulated earnings and profits (as determined for U.S. federal income tax purposes). In the case of non-U.S. holders, payments treated as dividends would generally be subject to withholding of U.S. federal income tax, except to the extent such withholding is reduced by an applicable income tax treaty or except to the extent effectively connected with a non-U.S. holder’s U.S. trade or business (and, if required by an applicable income tax treaty, attributable to a U.S. fixed base or permanent establishment), in which case such effectively connected payments generally would be subject to U.S. federal income tax on a net income basis.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agree, and by acquiring an interest in a note each holder and beneficial owner of a note agrees, to treat the notes as indebtedness for U.S. federal, state and local tax purposes, and the remainder of this discussion assumes such treatment.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Possible Alternative Treatments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be obligated to pay amounts in excess of the stated interest or principal on the notes, including upon an optional redemption of the notes following the occurrence of a rating agency event or a tax credit event (each as described under “Description of Notes — Redemption”). These potential payments may implicate the provisions of U.S. Treasury regulations relating to “contingent payment debt instruments.” We intend to take the position that the possibility of any such payments does not result in the notes being treated as contingent payment debt instruments under the applicable U.S. Treasury regulations because the likelihood of any such payments and the likelihood of (i) an early redemption of the notes upon the occurrence of a rating agency event or a tax credit event (each as described under “Description of Notes — Redemption”) and (ii) the interest deferrals discussed below under “Tax Consequences to U.S. Holders — Original Issue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Discount” are, individually and in the aggregate, remote. Our position is binding on you, unless you disclose your contrary position in the manner required by applicable U.S. Treasury regulations. Our position is not, however, binding on the IRS, and if the IRS were to successfully challenge this position, you might be required to accrue ordinary interest income on the notes at a rate in excess of the stated interest rate, and to treat as ordinary interest income (rather than capital gain) any gain realized on the taxable disposition of a note. The remainder of this discussion assumes that the notes will not be treated as contingent payment debt instruments. You are urged to consult your own tax advisors regarding the possible application of the contingent payment debt instrument rules to the notes.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 Consequences to U.S.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summary of certain U.S. federal income tax consequences that will apply if you are a U.S. holder of the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Stated Interest</w:t>
      </w:r>
      <w:r>
        <w:rPr>
          <w:rFonts w:ascii="Times New Roman;Times;serif" w:hAnsi="Times New Roman;Times;serif"/>
          <w:b w:val="false"/>
          <w:i w:val="false"/>
          <w:caps w:val="false"/>
          <w:smallCaps w:val="false"/>
          <w:color w:val="000000"/>
          <w:spacing w:val="4"/>
          <w:sz w:val="20"/>
        </w:rPr>
        <w:t xml:space="preserve">.   Stated interest on the notes will generally be taxable to you as ordinary income at the time the interest is received or accrued, depending on your regular method of accounting for U.S. federal income tax purposes.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Original Issue Discount</w:t>
      </w:r>
      <w:r>
        <w:rPr>
          <w:rFonts w:ascii="Times New Roman;Times;serif" w:hAnsi="Times New Roman;Times;serif"/>
          <w:b w:val="false"/>
          <w:i w:val="false"/>
          <w:caps w:val="false"/>
          <w:smallCaps w:val="false"/>
          <w:color w:val="000000"/>
          <w:spacing w:val="4"/>
          <w:sz w:val="20"/>
        </w:rPr>
        <w:t xml:space="preserve">.   Subject to the discussion below, it is expected and assumed for purposes of this discussion that the notes will not be issued with original issue discount (“OID”) for U.S. federal income tax purposes. U.S. Treasury regulations provide that the possibility that interest on the notes might be deferred would generally result in the notes being treated as issued with OID, unless the likelihood of such deferral is remote. We believe that the likelihood of our exercising the option to defer payment of stated interest is remote within the meaning of the U.S. Treasury regulations, and therefore that the possibility of such deferral will not result in the notes being treated as issued with OID. Accordingly, interest paid on the notes should be taxable to you as described above under “— Stated Interest.”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no rulings or other interpretations have been issued by the IRS that address the meaning of the term “remote,” as used in the applicable U.S. Treasury regulations, and there can be no assurance that the IRS or a court will agree with our position. If, with respect to the notes, the possibility of interest deferral were determined not to be remote, or if interest were in fact deferred, such notes would be treated as issued with OID at the time of issuance, or reissued with OID at the time of such deferral, as the case may be, and all stated interest, or, if interest is in fact deferred, all stated interest due after such deferral, would be treated as OID. Under the OID rules, you will be required to include OID in taxable income (as ordinary income) as it accrues, using a constant yield method, regardless of your regular method of accounting for U.S. federal income tax purposes and in advance of the receipt of the cash to which such OID is attributable. Actual payments of stated interest would not be reported separately as taxable income. Consequently, you would be required to include OID in gross income even if we do not make any actual cash payments during an optional deferral period.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Sale, Exchange, Retirement or Other Taxable Disposition of the Notes</w:t>
      </w:r>
      <w:r>
        <w:rPr>
          <w:rFonts w:ascii="Times New Roman;Times;serif" w:hAnsi="Times New Roman;Times;serif"/>
          <w:b w:val="false"/>
          <w:i w:val="false"/>
          <w:caps w:val="false"/>
          <w:smallCaps w:val="false"/>
          <w:color w:val="000000"/>
          <w:spacing w:val="4"/>
          <w:sz w:val="20"/>
        </w:rPr>
        <w:t xml:space="preserve">.   You will generally recognize gain or loss on the sale, exchange, retirement or other taxable disposition of a note in an amount equal to the difference, if any, between the amount realized from such sale, exchange, retirement or other taxable disposition and your adjusted tax basis in the note. Assuming the notes are not treated as issued or reissued with OID (as described above), the amount realized will not include any amounts attributable to accrued but unpaid interest (which will be taxable as described above). Your adjusted tax basis in a note will, in general, be your cost for that note, and if the note is treated as having been issued or reissued with OID, such adjusted tax basis will also be increased by the amount of any OID previously included in your gross income with respect to the note and decreased by any payments received on the note since and including the date that the note was deemed to be issued or reissued with OID. Any gain or loss will generally be capital gain or loss, and will be long-term capital gain or loss if the holding period for the note exceeds one year at the time of disposition. Long-term capital gain of non-corporate U.S. holders (including individuals) is eligible for reduced rates of taxation. The deductibility of capital losses is subject to limitations.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sell or otherwise dispose of a note before the record date for the payment of interest at the end of an optional deferral period, you will not receive such interest. Instead, the accrued interest will be paid to the holder of record on the record date regardless of who the holder of record may have been on any other date during the optional deferral period. Moreover, the accrued OID will be added to your adjusted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 basis in the note but may not be reflected in the amount you realize on the sale or other disposition. To the extent the amount realized on a sale or other taxable disposition of a note is less than your adjusted tax basis, you will generally recognize a capital loss for U.S. federal income tax purposes.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 Consequences to Non-U.S.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summary of certain U.S. federal income tax consequences that will apply if you are a non-U.S. holder of the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U.S. Federal Withholding Tax.</w:t>
      </w:r>
      <w:r>
        <w:rPr>
          <w:rFonts w:ascii="Times New Roman;Times;serif" w:hAnsi="Times New Roman;Times;serif"/>
          <w:b w:val="false"/>
          <w:i w:val="false"/>
          <w:caps w:val="false"/>
          <w:smallCaps w:val="false"/>
          <w:color w:val="000000"/>
          <w:spacing w:val="4"/>
          <w:sz w:val="20"/>
        </w:rPr>
        <w:t xml:space="preserve">   Subject to the discussions of backup withholding and FATCA below, U.S. federal withholding tax will not apply to any payment of interest (which, for purposes of the discussion of non-U.S. holders, includes any OID) on the notes under the “portfolio interest rule,” provided that: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paid on the notes is not effectively connected with your conduct of a trade or business in the United States; </w:t>
      </w:r>
      <w:r>
        <mc:AlternateContent>
          <mc:Choice Requires="wps">
            <w:drawing>
              <wp:anchor behindDoc="0" distT="7239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61"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do not actually or constructively own 10% or more of the total combined voting power of all classes of our voting stock (within the meaning of Section 871(h) of the Code and applicable U.S. Treasury regulations); </w:t>
      </w:r>
      <w:r>
        <mc:AlternateContent>
          <mc:Choice Requires="wps">
            <w:drawing>
              <wp:anchor behindDoc="0" distT="7239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62"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not a controlled foreign corporation that is actually or constructively related to us through stock ownership; </w:t>
      </w:r>
      <w:r>
        <mc:AlternateContent>
          <mc:Choice Requires="wps">
            <w:drawing>
              <wp:anchor behindDoc="0" distT="7239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63"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not a bank whose receipt of interest on the notes is described in Section 881(c)(3)(A) of the Code; and </w:t>
      </w:r>
      <w:r>
        <mc:AlternateContent>
          <mc:Choice Requires="wps">
            <w:drawing>
              <wp:anchor behindDoc="0" distT="7239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64"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either (a) you provide your name and address on an applicable IRS Form W-8, and certify, under penalties of perjury, that you are not a United States person as defined under the Code or (b) you hold your notes through certain foreign intermediaries and satisfy the certification requirements of applicable U.S. Treasury regulations. Special certification rules apply to non-U.S. holders that are pass-through entities rather than corporations or individuals. </w:t>
      </w:r>
      <w:r>
        <mc:AlternateContent>
          <mc:Choice Requires="wps">
            <w:drawing>
              <wp:anchor behindDoc="0" distT="7239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5"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cannot satisfy the requirements described above, payments of interest made to you will be subject to a 30% U.S. federal withholding tax, unless you provide the applicable withholding agent with a properly executed: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IRS Form W-8BEN or Form W-8BEN-E (or other applicable form) claiming an exemption from or reduction in withholding under the benefit of an applicable income tax treaty; or </w:t>
      </w:r>
      <w:r>
        <mc:AlternateContent>
          <mc:Choice Requires="wps">
            <w:drawing>
              <wp:anchor behindDoc="0" distT="7366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6"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IRS Form W-8ECI (or other applicable form) certifying that interest paid on the notes is not subject to withholding tax because it is effectively connected with your conduct of a trade or business in the United States (as discussed below under “— U.S. Federal Income Tax”). </w:t>
      </w:r>
      <w:r>
        <mc:AlternateContent>
          <mc:Choice Requires="wps">
            <w:drawing>
              <wp:anchor behindDoc="0" distT="7366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7"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U.S. Federal Income Tax.</w:t>
      </w:r>
      <w:r>
        <w:rPr>
          <w:rFonts w:ascii="Times New Roman;Times;serif" w:hAnsi="Times New Roman;Times;serif"/>
          <w:b w:val="false"/>
          <w:i w:val="false"/>
          <w:caps w:val="false"/>
          <w:smallCaps w:val="false"/>
          <w:color w:val="000000"/>
          <w:spacing w:val="4"/>
          <w:sz w:val="20"/>
        </w:rPr>
        <w:t xml:space="preserve">   If you are engaged in a trade or business in the United States and interest on the notes is effectively connected with the conduct of that trade or business (and, if required by an applicable income tax treaty, is attributable to a U.S. fixed base or permanent establishment), then you generally will be subject to U.S. federal income tax on that interest on a net income basis in the same manner as if you were a U.S. holder (although you will be exempt from the 30% U.S. federal withholding tax described above, provided the certification requirements discussed above in “— U.S. Federal Withholding Tax” are satisfied). In addition, if you are a foreign corporation, you may be subject to a branch profits tax equal to 30% (or a lower applicable income tax treaty rate) of your effectively connected earnings and profits, subject to adjustments.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Sale, Exchange, Retirement or Other Taxable Disposition of the Notes</w:t>
      </w:r>
      <w:r>
        <w:rPr>
          <w:rFonts w:ascii="Times New Roman;Times;serif" w:hAnsi="Times New Roman;Times;serif"/>
          <w:b w:val="false"/>
          <w:i w:val="false"/>
          <w:caps w:val="false"/>
          <w:smallCaps w:val="false"/>
          <w:color w:val="000000"/>
          <w:spacing w:val="4"/>
          <w:sz w:val="20"/>
        </w:rPr>
        <w:t xml:space="preserve">.   Subject to the discussion of backup withholding below, any gain realized on the sale, exchange, retirement or other taxable disposition of a note generally will not be subject to U.S. federal income tax unless: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gain is effectively connected with your conduct of a trade or business in the United States (and, if required by an applicable income tax treaty, is attributable to a U.S. fixed base or permanent establishment), in which case such gain generally will be subject to U.S. federal income tax (and possibly branch profits tax) in the same manner as effectively connected interest as described above; or </w:t>
      </w:r>
      <w:r>
        <mc:AlternateContent>
          <mc:Choice Requires="wps">
            <w:drawing>
              <wp:anchor behindDoc="0" distT="7366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8"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an individual who is present in the United States for 183 days or more in the taxable year of that disposition and certain other conditions are met, in which case, unless an applicable income tax treaty provides otherwise, you will generally be subject to a 30% U.S. federal income tax on any gain recognized, which may be offset by certain U.S.-source losses. </w:t>
      </w:r>
      <w:r>
        <mc:AlternateContent>
          <mc:Choice Requires="wps">
            <w:drawing>
              <wp:anchor behindDoc="0" distT="0" distB="0" distL="254000" distR="0" simplePos="0" locked="0" layoutInCell="1" allowOverlap="1" relativeHeight="70">
                <wp:simplePos x="0" y="0"/>
                <wp:positionH relativeFrom="column">
                  <wp:align>left</wp:align>
                </wp:positionH>
                <wp:positionV relativeFrom="line">
                  <wp:posOffset>635</wp:posOffset>
                </wp:positionV>
                <wp:extent cx="127000" cy="350520"/>
                <wp:effectExtent l="0" t="0" r="0" b="0"/>
                <wp:wrapSquare wrapText="right"/>
                <wp:docPr id="69"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 realized on the sale, exchange, retirement or other taxable disposition of a note will not include any amounts attributable to accrued but unpaid interest (which will be taxable as described above).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Reporting and Backup Withholding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U.S. Holders</w:t>
      </w:r>
      <w:r>
        <w:rPr>
          <w:rFonts w:ascii="Times New Roman;Times;serif" w:hAnsi="Times New Roman;Times;serif"/>
          <w:b w:val="false"/>
          <w:i w:val="false"/>
          <w:caps w:val="false"/>
          <w:smallCaps w:val="false"/>
          <w:color w:val="000000"/>
          <w:spacing w:val="4"/>
          <w:sz w:val="20"/>
        </w:rPr>
        <w:t xml:space="preserve">.   In general, information reporting requirements will apply to payments of stated interest on the notes, accruals of OID (if any) and the proceeds from a sale or other taxable disposition (including a retirement or redemption) of a note paid to you, unless you establish that you are an exempt recipient. Backup withholding may apply to any payments described in the preceding sentence if you fail to provide a correct taxpayer identification number and a certification that you are not subject to backup withholding, or if you fail to report in full dividend and interest income.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Backup withholding is not an additional tax and any amounts withheld under the backup withholding rules may be allowed as a refund or a credit against your U.S. federal income tax liability, provided the required information is timely furnished to the IRS.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Non-U.S. Holders</w:t>
      </w:r>
      <w:r>
        <w:rPr>
          <w:rFonts w:ascii="Times New Roman;Times;serif" w:hAnsi="Times New Roman;Times;serif"/>
          <w:b w:val="false"/>
          <w:i w:val="false"/>
          <w:caps w:val="false"/>
          <w:smallCaps w:val="false"/>
          <w:color w:val="000000"/>
          <w:spacing w:val="4"/>
          <w:sz w:val="20"/>
        </w:rPr>
        <w:t xml:space="preserve">.   Generally, the amount of interest (including any OID) paid to you and the amount of tax, if any, withheld with respect to those payments will be reported to the IRS. Copies of the information returns reporting such interest payments and any withholding may also be made available to the tax authorities in the country in which you reside under the provisions of an applicable income tax treaty.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you will not be subject to backup withholding with respect to payments of interest (including any OID) on the notes that we make to you, provided that the applicable withholding agent does not have actual knowledge or reason to know that you are a United States person as defined under the Code, and such withholding agent has received from you the statement described above in the fifth bullet point under “— Tax Consequences to Non-U.S. Holders — U.S. Federal Withholding Tax.”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reporting and, depending on the circumstances, backup withholding will apply to the proceeds of a sale or other taxable disposition (including a retirement or redemption) of a note within the United States or conducted through certain U.S.-related financial intermediaries, unless you certify to the payor under penalties of perjury that you are a non-U.S. holder (and the payor does not have actual knowledge or reason to know that you are a United States person as defined under the Code), or you otherwise establish an exemption.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Backup withholding is not an additional tax and any amounts withheld under the backup withholding rules may be allowed as a refund or a credit against your U.S. federal income tax liability, provided the required information is timely furnished to the IRS.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Additional Withholding Requirements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Sections 1471 through 1474 of the Code (such Sections commonly referred to as “FATCA”), a 30% U.S. federal withholding tax may apply to any interest (including any OID) paid on the notes to (i) a “foreign financial institution” ​(as specifically defined in the Code and whether such foreign financial institution is the beneficial owner or an intermediary) which does not provide sufficient documentation, typically on IRS Form W-8BEN-E, evidencing either (x) an exemption from FATCA, or (y) its compliance (or deemed compliance) with FATCA (which may alternatively be in the form of compliance with an intergovernmental agreement with the United States) in a manner which avoids withholding, or (ii) a “non-financial foreign entity” ​(as specifically defined in the Code and whether such non-financial foreign entity is the beneficial owner or an intermediary) which does not provide sufficient documentation, typically on IRS Form W-8BEN-E, evidencing either (x) an exemption from FATCA, or (y) adequate information regarding certain substantial U.S. beneficial owners of such entity (if any). If an interest payment is both subject to withholding under FATCA and subject to the withholding tax discussed above under “— Tax Consequences to Non-U.S. Holders — U.S. Federal Withholding Tax,” an applicable withholding agent may credit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120"/>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withholding under FATCA against, and therefore reduce, such other withholding tax. While withholding under FATCA would also have applied to payments of gross proceeds from the sale or other taxable disposition of the notes, proposed U.S. Treasury regulations (upon which taxpayers may rely until final regulations are issued) eliminate FATCA withholding on payments of gross proceeds entirely. You should consult your own tax advisors regarding these rules and whether they may be relevant to your ownership and disposition of the notes.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UCOI"/>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UNDERWRITING (CONFLICTS OF INTEREST)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terms and conditions set forth in an underwriting agreement between us and the underwriters named below for the notes, for whom Mizuho Securities USA LLC, PNC Capital Markets LLC, Scotia Capital (USA) Inc., TD Securities (USA) LLC and U.S. Bancorp Investments, Inc. are acting as representatives, we have agreed to sell to each of the underwriters, and each of the underwriters has severally agreed to purchase from us, the principal amount of notes set forth opposite its name below. </w:t>
      </w:r>
    </w:p>
    <w:tbl>
      <w:tblPr>
        <w:tblW w:w="5420" w:type="dxa"/>
        <w:jc w:val="left"/>
        <w:tblInd w:w="1393" w:type="dxa"/>
        <w:tblLayout w:type="fixed"/>
        <w:tblCellMar>
          <w:top w:w="0" w:type="dxa"/>
          <w:left w:w="0" w:type="dxa"/>
          <w:bottom w:w="43" w:type="dxa"/>
          <w:right w:w="0" w:type="dxa"/>
        </w:tblCellMar>
      </w:tblPr>
      <w:tblGrid>
        <w:gridCol w:w="3243"/>
        <w:gridCol w:w="109"/>
        <w:gridCol w:w="109"/>
        <w:gridCol w:w="157"/>
        <w:gridCol w:w="326"/>
        <w:gridCol w:w="1165"/>
        <w:gridCol w:w="157"/>
        <w:gridCol w:w="154"/>
      </w:tblGrid>
      <w:tr>
        <w:trPr/>
        <w:tc>
          <w:tcPr>
            <w:tcW w:w="3243" w:type="dxa"/>
            <w:tcBorders>
              <w:bottom w:val="single" w:sz="2" w:space="0" w:color="000000"/>
            </w:tcBorders>
            <w:vAlign w:val="center"/>
          </w:tcPr>
          <w:p>
            <w:pPr>
              <w:pStyle w:val="TableContents"/>
              <w:bidi w:val="0"/>
              <w:spacing w:before="0" w:after="0"/>
              <w:jc w:val="left"/>
              <w:rPr>
                <w:spacing w:val="-3"/>
              </w:rPr>
            </w:pPr>
            <w:r>
              <w:rPr>
                <w:spacing w:val="-3"/>
              </w:rPr>
              <w:t xml:space="preserve">Underwriter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05" w:type="dxa"/>
            <w:gridSpan w:val="4"/>
            <w:tcBorders>
              <w:bottom w:val="single" w:sz="2" w:space="0" w:color="000000"/>
            </w:tcBorders>
            <w:vAlign w:val="center"/>
          </w:tcPr>
          <w:p>
            <w:pPr>
              <w:pStyle w:val="TableContents"/>
              <w:bidi w:val="0"/>
              <w:spacing w:before="0" w:after="0"/>
              <w:jc w:val="center"/>
              <w:rPr/>
            </w:pPr>
            <w:r>
              <w:rPr>
                <w:spacing w:val="-3"/>
              </w:rPr>
              <w:t>Principal Amount</w:t>
            </w:r>
            <w:r>
              <w:rPr/>
              <w:t xml:space="preserve"> </w:t>
              <w:br/>
            </w:r>
            <w:r>
              <w:rPr>
                <w:spacing w:val="-3"/>
              </w:rPr>
              <w:t xml:space="preserve">of Notes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243" w:type="dxa"/>
            <w:tcBorders/>
            <w:shd w:fill="CCEEFF" w:val="clear"/>
            <w:tcMar>
              <w:bottom w:w="0" w:type="dxa"/>
            </w:tcMar>
            <w:vAlign w:val="center"/>
          </w:tcPr>
          <w:p>
            <w:pPr>
              <w:pStyle w:val="TableContents"/>
              <w:bidi w:val="0"/>
              <w:spacing w:before="0" w:after="0"/>
              <w:jc w:val="left"/>
              <w:rPr>
                <w:spacing w:val="4"/>
              </w:rPr>
            </w:pPr>
            <w:r>
              <w:rPr>
                <w:spacing w:val="4"/>
              </w:rPr>
              <w:t xml:space="preserve">Mizuho Securities USA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326" w:type="dxa"/>
            <w:tcBorders/>
            <w:shd w:fill="CCEEFF" w:val="clear"/>
            <w:tcMar>
              <w:bottom w:w="0" w:type="dxa"/>
            </w:tcMar>
            <w:vAlign w:val="center"/>
          </w:tcPr>
          <w:p>
            <w:pPr>
              <w:pStyle w:val="TableContents"/>
              <w:bidi w:val="0"/>
              <w:spacing w:before="0" w:after="283"/>
              <w:jc w:val="right"/>
              <w:rPr/>
            </w:pPr>
            <w:r>
              <w:rPr/>
              <w:t>$</w:t>
            </w:r>
          </w:p>
        </w:tc>
        <w:tc>
          <w:tcPr>
            <w:tcW w:w="1165" w:type="dxa"/>
            <w:tcBorders/>
            <w:shd w:fill="CCEEFF" w:val="clear"/>
            <w:tcMar>
              <w:bottom w:w="0" w:type="dxa"/>
            </w:tcMar>
            <w:vAlign w:val="center"/>
          </w:tcPr>
          <w:p>
            <w:pPr>
              <w:pStyle w:val="TableContents"/>
              <w:bidi w:val="0"/>
              <w:spacing w:before="0" w:after="283"/>
              <w:jc w:val="right"/>
              <w:rPr/>
            </w:pPr>
            <w:r>
              <w:rPr/>
              <w:t>            </w:t>
            </w:r>
          </w:p>
        </w:tc>
        <w:tc>
          <w:tcPr>
            <w:tcW w:w="15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243" w:type="dxa"/>
            <w:tcBorders/>
            <w:tcMar>
              <w:bottom w:w="0" w:type="dxa"/>
            </w:tcMar>
            <w:vAlign w:val="center"/>
          </w:tcPr>
          <w:p>
            <w:pPr>
              <w:pStyle w:val="TableContents"/>
              <w:bidi w:val="0"/>
              <w:spacing w:before="0" w:after="0"/>
              <w:jc w:val="left"/>
              <w:rPr>
                <w:spacing w:val="4"/>
              </w:rPr>
            </w:pPr>
            <w:r>
              <w:rPr>
                <w:spacing w:val="4"/>
              </w:rPr>
              <w:t xml:space="preserve">PNC Capital Markets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c>
          <w:tcPr>
            <w:tcW w:w="326" w:type="dxa"/>
            <w:tcBorders/>
            <w:tcMar>
              <w:bottom w:w="0" w:type="dxa"/>
            </w:tcMar>
            <w:vAlign w:val="center"/>
          </w:tcPr>
          <w:p>
            <w:pPr>
              <w:pStyle w:val="TableContents"/>
              <w:bidi w:val="0"/>
              <w:spacing w:before="0" w:after="283"/>
              <w:jc w:val="right"/>
              <w:rPr/>
            </w:pPr>
            <w:r>
              <w:rPr/>
              <w:t>​</w:t>
            </w:r>
          </w:p>
        </w:tc>
        <w:tc>
          <w:tcPr>
            <w:tcW w:w="1165" w:type="dxa"/>
            <w:tcBorders/>
            <w:tcMar>
              <w:bottom w:w="0" w:type="dxa"/>
            </w:tcMar>
            <w:vAlign w:val="center"/>
          </w:tcPr>
          <w:p>
            <w:pPr>
              <w:pStyle w:val="TableContents"/>
              <w:bidi w:val="0"/>
              <w:spacing w:before="0" w:after="283"/>
              <w:jc w:val="right"/>
              <w:rPr/>
            </w:pPr>
            <w:r>
              <w:rPr/>
              <w:t>​</w:t>
            </w:r>
          </w:p>
        </w:tc>
        <w:tc>
          <w:tcPr>
            <w:tcW w:w="15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243" w:type="dxa"/>
            <w:tcBorders/>
            <w:shd w:fill="CCEEFF" w:val="clear"/>
            <w:tcMar>
              <w:bottom w:w="0" w:type="dxa"/>
            </w:tcMar>
            <w:vAlign w:val="center"/>
          </w:tcPr>
          <w:p>
            <w:pPr>
              <w:pStyle w:val="TableContents"/>
              <w:bidi w:val="0"/>
              <w:spacing w:before="0" w:after="0"/>
              <w:jc w:val="left"/>
              <w:rPr>
                <w:spacing w:val="4"/>
              </w:rPr>
            </w:pPr>
            <w:r>
              <w:rPr>
                <w:spacing w:val="4"/>
              </w:rPr>
              <w:t xml:space="preserve">Scotia Capital (USA)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326" w:type="dxa"/>
            <w:tcBorders/>
            <w:shd w:fill="CCEEFF" w:val="clear"/>
            <w:tcMar>
              <w:bottom w:w="0" w:type="dxa"/>
            </w:tcMar>
            <w:vAlign w:val="center"/>
          </w:tcPr>
          <w:p>
            <w:pPr>
              <w:pStyle w:val="TableContents"/>
              <w:bidi w:val="0"/>
              <w:spacing w:before="0" w:after="283"/>
              <w:jc w:val="right"/>
              <w:rPr/>
            </w:pPr>
            <w:r>
              <w:rPr/>
              <w:t>​</w:t>
            </w:r>
          </w:p>
        </w:tc>
        <w:tc>
          <w:tcPr>
            <w:tcW w:w="1165" w:type="dxa"/>
            <w:tcBorders/>
            <w:shd w:fill="CCEEFF" w:val="clear"/>
            <w:tcMar>
              <w:bottom w:w="0" w:type="dxa"/>
            </w:tcMar>
            <w:vAlign w:val="center"/>
          </w:tcPr>
          <w:p>
            <w:pPr>
              <w:pStyle w:val="TableContents"/>
              <w:bidi w:val="0"/>
              <w:spacing w:before="0" w:after="283"/>
              <w:jc w:val="righ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243" w:type="dxa"/>
            <w:tcBorders/>
            <w:tcMar>
              <w:bottom w:w="0" w:type="dxa"/>
            </w:tcMar>
            <w:vAlign w:val="center"/>
          </w:tcPr>
          <w:p>
            <w:pPr>
              <w:pStyle w:val="TableContents"/>
              <w:bidi w:val="0"/>
              <w:spacing w:before="0" w:after="0"/>
              <w:jc w:val="left"/>
              <w:rPr>
                <w:spacing w:val="4"/>
              </w:rPr>
            </w:pPr>
            <w:r>
              <w:rPr>
                <w:spacing w:val="4"/>
              </w:rPr>
              <w:t xml:space="preserve">TD Securities (USA)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c>
          <w:tcPr>
            <w:tcW w:w="326" w:type="dxa"/>
            <w:tcBorders/>
            <w:tcMar>
              <w:bottom w:w="0" w:type="dxa"/>
            </w:tcMar>
            <w:vAlign w:val="center"/>
          </w:tcPr>
          <w:p>
            <w:pPr>
              <w:pStyle w:val="TableContents"/>
              <w:bidi w:val="0"/>
              <w:spacing w:before="0" w:after="283"/>
              <w:jc w:val="right"/>
              <w:rPr/>
            </w:pPr>
            <w:r>
              <w:rPr/>
              <w:t>​</w:t>
            </w:r>
          </w:p>
        </w:tc>
        <w:tc>
          <w:tcPr>
            <w:tcW w:w="1165" w:type="dxa"/>
            <w:tcBorders/>
            <w:tcMar>
              <w:bottom w:w="0" w:type="dxa"/>
            </w:tcMar>
            <w:vAlign w:val="center"/>
          </w:tcPr>
          <w:p>
            <w:pPr>
              <w:pStyle w:val="TableContents"/>
              <w:bidi w:val="0"/>
              <w:spacing w:before="0" w:after="283"/>
              <w:jc w:val="right"/>
              <w:rPr/>
            </w:pPr>
            <w:r>
              <w:rPr/>
              <w:t>​</w:t>
            </w:r>
          </w:p>
        </w:tc>
        <w:tc>
          <w:tcPr>
            <w:tcW w:w="15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243" w:type="dxa"/>
            <w:tcBorders/>
            <w:shd w:fill="CCEEFF" w:val="clear"/>
            <w:tcMar>
              <w:bottom w:w="0" w:type="dxa"/>
            </w:tcMar>
            <w:vAlign w:val="center"/>
          </w:tcPr>
          <w:p>
            <w:pPr>
              <w:pStyle w:val="TableContents"/>
              <w:bidi w:val="0"/>
              <w:spacing w:before="0" w:after="0"/>
              <w:jc w:val="left"/>
              <w:rPr>
                <w:spacing w:val="4"/>
              </w:rPr>
            </w:pPr>
            <w:r>
              <w:rPr>
                <w:spacing w:val="4"/>
              </w:rPr>
              <w:t xml:space="preserve">U.S. Bancorp Investments,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326" w:type="dxa"/>
            <w:tcBorders/>
            <w:shd w:fill="CCEEFF" w:val="clear"/>
            <w:tcMar>
              <w:bottom w:w="0" w:type="dxa"/>
            </w:tcMar>
            <w:vAlign w:val="center"/>
          </w:tcPr>
          <w:p>
            <w:pPr>
              <w:pStyle w:val="TableContents"/>
              <w:bidi w:val="0"/>
              <w:spacing w:before="0" w:after="283"/>
              <w:jc w:val="right"/>
              <w:rPr/>
            </w:pPr>
            <w:r>
              <w:rPr/>
              <w:t>​</w:t>
            </w:r>
          </w:p>
        </w:tc>
        <w:tc>
          <w:tcPr>
            <w:tcW w:w="1165" w:type="dxa"/>
            <w:tcBorders/>
            <w:shd w:fill="CCEEFF" w:val="clear"/>
            <w:tcMar>
              <w:bottom w:w="0" w:type="dxa"/>
            </w:tcMar>
            <w:vAlign w:val="center"/>
          </w:tcPr>
          <w:p>
            <w:pPr>
              <w:pStyle w:val="TableContents"/>
              <w:bidi w:val="0"/>
              <w:spacing w:before="0" w:after="283"/>
              <w:jc w:val="righ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243" w:type="dxa"/>
            <w:tcBorders/>
            <w:tcMar>
              <w:bottom w:w="0" w:type="dxa"/>
            </w:tcMar>
            <w:vAlign w:val="center"/>
          </w:tcPr>
          <w:p>
            <w:pPr>
              <w:pStyle w:val="TableContents"/>
              <w:bidi w:val="0"/>
              <w:spacing w:before="0" w:after="0"/>
              <w:jc w:val="left"/>
              <w:rPr>
                <w:spacing w:val="4"/>
              </w:rPr>
            </w:pPr>
            <w:r>
              <w:rPr>
                <w:spacing w:val="4"/>
              </w:rPr>
              <w:t xml:space="preserve">BMO Capital Markets Corp.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c>
          <w:tcPr>
            <w:tcW w:w="326" w:type="dxa"/>
            <w:tcBorders/>
            <w:tcMar>
              <w:bottom w:w="0" w:type="dxa"/>
            </w:tcMar>
            <w:vAlign w:val="center"/>
          </w:tcPr>
          <w:p>
            <w:pPr>
              <w:pStyle w:val="TableContents"/>
              <w:bidi w:val="0"/>
              <w:spacing w:before="0" w:after="283"/>
              <w:jc w:val="right"/>
              <w:rPr/>
            </w:pPr>
            <w:r>
              <w:rPr/>
              <w:t>​</w:t>
            </w:r>
          </w:p>
        </w:tc>
        <w:tc>
          <w:tcPr>
            <w:tcW w:w="1165" w:type="dxa"/>
            <w:tcBorders/>
            <w:tcMar>
              <w:bottom w:w="0" w:type="dxa"/>
            </w:tcMar>
            <w:vAlign w:val="center"/>
          </w:tcPr>
          <w:p>
            <w:pPr>
              <w:pStyle w:val="TableContents"/>
              <w:bidi w:val="0"/>
              <w:spacing w:before="0" w:after="283"/>
              <w:jc w:val="right"/>
              <w:rPr/>
            </w:pPr>
            <w:r>
              <w:rPr/>
              <w:t>​</w:t>
            </w:r>
          </w:p>
        </w:tc>
        <w:tc>
          <w:tcPr>
            <w:tcW w:w="15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243" w:type="dxa"/>
            <w:tcBorders/>
            <w:shd w:fill="CCEEFF" w:val="clear"/>
            <w:tcMar>
              <w:bottom w:w="0" w:type="dxa"/>
            </w:tcMar>
            <w:vAlign w:val="center"/>
          </w:tcPr>
          <w:p>
            <w:pPr>
              <w:pStyle w:val="TableContents"/>
              <w:bidi w:val="0"/>
              <w:spacing w:before="0" w:after="0"/>
              <w:jc w:val="left"/>
              <w:rPr>
                <w:spacing w:val="4"/>
              </w:rPr>
            </w:pPr>
            <w:r>
              <w:rPr>
                <w:spacing w:val="4"/>
              </w:rPr>
              <w:t xml:space="preserve">BNP Paribas Securities Corp.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326" w:type="dxa"/>
            <w:tcBorders/>
            <w:shd w:fill="CCEEFF" w:val="clear"/>
            <w:tcMar>
              <w:bottom w:w="0" w:type="dxa"/>
            </w:tcMar>
            <w:vAlign w:val="center"/>
          </w:tcPr>
          <w:p>
            <w:pPr>
              <w:pStyle w:val="TableContents"/>
              <w:bidi w:val="0"/>
              <w:spacing w:before="0" w:after="283"/>
              <w:jc w:val="right"/>
              <w:rPr/>
            </w:pPr>
            <w:r>
              <w:rPr/>
              <w:t>​</w:t>
            </w:r>
          </w:p>
        </w:tc>
        <w:tc>
          <w:tcPr>
            <w:tcW w:w="1165" w:type="dxa"/>
            <w:tcBorders/>
            <w:shd w:fill="CCEEFF" w:val="clear"/>
            <w:tcMar>
              <w:bottom w:w="0" w:type="dxa"/>
            </w:tcMar>
            <w:vAlign w:val="center"/>
          </w:tcPr>
          <w:p>
            <w:pPr>
              <w:pStyle w:val="TableContents"/>
              <w:bidi w:val="0"/>
              <w:spacing w:before="0" w:after="283"/>
              <w:jc w:val="righ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243" w:type="dxa"/>
            <w:tcBorders/>
            <w:tcMar>
              <w:bottom w:w="0" w:type="dxa"/>
            </w:tcMar>
            <w:vAlign w:val="center"/>
          </w:tcPr>
          <w:p>
            <w:pPr>
              <w:pStyle w:val="TableContents"/>
              <w:bidi w:val="0"/>
              <w:spacing w:before="0" w:after="0"/>
              <w:jc w:val="left"/>
              <w:rPr>
                <w:spacing w:val="4"/>
              </w:rPr>
            </w:pPr>
            <w:r>
              <w:rPr>
                <w:spacing w:val="4"/>
              </w:rPr>
              <w:t xml:space="preserve">Wells Fargo Securities,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c>
          <w:tcPr>
            <w:tcW w:w="326" w:type="dxa"/>
            <w:tcBorders/>
            <w:tcMar>
              <w:bottom w:w="0" w:type="dxa"/>
            </w:tcMar>
            <w:vAlign w:val="center"/>
          </w:tcPr>
          <w:p>
            <w:pPr>
              <w:pStyle w:val="TableContents"/>
              <w:bidi w:val="0"/>
              <w:spacing w:before="0" w:after="283"/>
              <w:jc w:val="right"/>
              <w:rPr/>
            </w:pPr>
            <w:r>
              <w:rPr/>
              <w:t>​</w:t>
            </w:r>
          </w:p>
        </w:tc>
        <w:tc>
          <w:tcPr>
            <w:tcW w:w="1165" w:type="dxa"/>
            <w:tcBorders/>
            <w:tcMar>
              <w:bottom w:w="0" w:type="dxa"/>
            </w:tcMar>
            <w:vAlign w:val="center"/>
          </w:tcPr>
          <w:p>
            <w:pPr>
              <w:pStyle w:val="TableContents"/>
              <w:bidi w:val="0"/>
              <w:spacing w:before="0" w:after="283"/>
              <w:jc w:val="right"/>
              <w:rPr/>
            </w:pPr>
            <w:r>
              <w:rPr/>
              <w:t>​</w:t>
            </w:r>
          </w:p>
        </w:tc>
        <w:tc>
          <w:tcPr>
            <w:tcW w:w="15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243" w:type="dxa"/>
            <w:tcBorders/>
            <w:shd w:fill="CCEEFF" w:val="clear"/>
            <w:tcMar>
              <w:bottom w:w="0" w:type="dxa"/>
            </w:tcMar>
            <w:vAlign w:val="center"/>
          </w:tcPr>
          <w:p>
            <w:pPr>
              <w:pStyle w:val="TableContents"/>
              <w:bidi w:val="0"/>
              <w:spacing w:before="0" w:after="0"/>
              <w:jc w:val="left"/>
              <w:rPr>
                <w:spacing w:val="4"/>
              </w:rPr>
            </w:pPr>
            <w:r>
              <w:rPr>
                <w:spacing w:val="4"/>
              </w:rPr>
              <w:t xml:space="preserve">Academy Securities,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326" w:type="dxa"/>
            <w:tcBorders/>
            <w:shd w:fill="CCEEFF" w:val="clear"/>
            <w:tcMar>
              <w:bottom w:w="0" w:type="dxa"/>
            </w:tcMar>
            <w:vAlign w:val="center"/>
          </w:tcPr>
          <w:p>
            <w:pPr>
              <w:pStyle w:val="TableContents"/>
              <w:bidi w:val="0"/>
              <w:spacing w:before="0" w:after="283"/>
              <w:jc w:val="right"/>
              <w:rPr/>
            </w:pPr>
            <w:r>
              <w:rPr/>
              <w:t>​</w:t>
            </w:r>
          </w:p>
        </w:tc>
        <w:tc>
          <w:tcPr>
            <w:tcW w:w="1165" w:type="dxa"/>
            <w:tcBorders/>
            <w:shd w:fill="CCEEFF" w:val="clear"/>
            <w:tcMar>
              <w:bottom w:w="0" w:type="dxa"/>
            </w:tcMar>
            <w:vAlign w:val="center"/>
          </w:tcPr>
          <w:p>
            <w:pPr>
              <w:pStyle w:val="TableContents"/>
              <w:bidi w:val="0"/>
              <w:spacing w:before="0" w:after="283"/>
              <w:jc w:val="righ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243" w:type="dxa"/>
            <w:tcBorders>
              <w:bottom w:val="single" w:sz="2" w:space="0" w:color="FFFFFF"/>
            </w:tcBorders>
            <w:tcMar>
              <w:bottom w:w="50" w:type="dxa"/>
            </w:tcMar>
            <w:vAlign w:val="center"/>
          </w:tcPr>
          <w:p>
            <w:pPr>
              <w:pStyle w:val="TableContents"/>
              <w:bidi w:val="0"/>
              <w:spacing w:before="0" w:after="0"/>
              <w:jc w:val="left"/>
              <w:rPr/>
            </w:pPr>
            <w:r>
              <w:rPr>
                <w:spacing w:val="4"/>
              </w:rPr>
              <w:t>Fifth Third Securities, Inc.</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c>
          <w:tcPr>
            <w:tcW w:w="326" w:type="dxa"/>
            <w:tcBorders>
              <w:bottom w:val="single" w:sz="2" w:space="0" w:color="000000"/>
            </w:tcBorders>
            <w:tcMar>
              <w:bottom w:w="50" w:type="dxa"/>
            </w:tcMar>
            <w:vAlign w:val="center"/>
          </w:tcPr>
          <w:p>
            <w:pPr>
              <w:pStyle w:val="TableContents"/>
              <w:bidi w:val="0"/>
              <w:spacing w:before="0" w:after="283"/>
              <w:jc w:val="right"/>
              <w:rPr/>
            </w:pPr>
            <w:r>
              <w:rPr/>
              <w:t>​</w:t>
            </w:r>
          </w:p>
        </w:tc>
        <w:tc>
          <w:tcPr>
            <w:tcW w:w="1165" w:type="dxa"/>
            <w:tcBorders>
              <w:bottom w:val="single" w:sz="2" w:space="0" w:color="000000"/>
            </w:tcBorders>
            <w:tcMar>
              <w:bottom w:w="50" w:type="dxa"/>
            </w:tcMar>
            <w:vAlign w:val="center"/>
          </w:tcPr>
          <w:p>
            <w:pPr>
              <w:pStyle w:val="TableContents"/>
              <w:bidi w:val="0"/>
              <w:spacing w:before="0" w:after="283"/>
              <w:jc w:val="righ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243" w:type="dxa"/>
            <w:tcBorders/>
            <w:shd w:fill="CCEEFF" w:val="clear"/>
            <w:tcMar>
              <w:bottom w:w="0" w:type="dxa"/>
            </w:tcMar>
            <w:vAlign w:val="center"/>
          </w:tcPr>
          <w:p>
            <w:pPr>
              <w:pStyle w:val="TableContents"/>
              <w:bidi w:val="0"/>
              <w:spacing w:before="0" w:after="0"/>
              <w:jc w:val="left"/>
              <w:rPr>
                <w:spacing w:val="4"/>
              </w:rPr>
            </w:pPr>
            <w:r>
              <w:rPr>
                <w:spacing w:val="4"/>
              </w:rPr>
              <w:t xml:space="preserve">Total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3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165"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25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are offering the notes, subject to prior sale, when, as and if issued to and accepted by them, subject to approval of legal matters by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have advised us that they propose to initially offer the notes to the public at the offering price appearing on the cover page of this prospectus supplement and may also offer the notes to dealers at a price that represents a concession not in excess of      % per note. Any underwriter may allow, and any of these dealers may re-allow, a concession not in excess of      % per note to certain other dealers. After the initial offering of the notes, the underwriters may from time to time vary the offering pricing and other selling terms.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obligations of the underwriters, including their agreement to purchase the notes from us, are several and not joint. The underwriting agreement provides that the obligations of the underwriters are subject to certain conditions. The underwriters must purchase all of the notes if they purchase any of the notes. The underwriting agreement also provides that if an underwriter defaults, the purchase commitments of the non-defaulting underwriters under the agreement may be increased or the offering of the notes may be terminated.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a new issue of securities for which currently there is no established trading market. We do not intend to apply for listing of the notes on any securities exchange or for quotation of the notes on any dealer quotation system. The underwriters have advised us that they intend to make a market in the notes after the offering, although they are under no obligation to do so. The underwriters may discontinue any market-making activities at any time without any notice. We can give no assurance as to the liquidity of the trading market for the notes or that a public trading market for the notes will develop.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offering of the notes, the underwriters may engage in transactions that stabilize, maintain or otherwise affect the price of the notes. Specifically, the underwriters may overallot in connection with the offering of the notes, creating a syndicate short position. In addition, the underwriters may bid for, and purchase, the notes in the open market to cover short positions or to stabilize the price of the notes. Finally, the underwriters may reclaim selling concessions allowed for distributing the notes in the offering, if the underwriters repurchase previously distributed notes in transactions to cover short positions, 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stabilization transactions or otherwise. Any of these activities may stabilize or maintain the market prices of the notes above independent market levels. The underwriters are not required to engage in any of these activities, and may end any of them at any time without notice.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may also impose a penalty bid. This occurs when a particular underwriter repays to the underwriters a portion of the underwriting discount recovered by it because the representatives have repurchased notes sold by or for the account of such underwriter in stabilizing or short covering transactions.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estimate that our share of the total expenses of the offering, excluding the underwriting discount, will be approximately $      million.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that delivery of the notes will be made against payment therefor on or about August   , 2026, which will be the second business day following the date of pricing of the notes (this settlement cycle being referred to as “T+2”). Under Rule 15c6-1 of the Securities Exchange Act, trades in the secondary market generally are required to settle in one business day, unless the parties to a trade expressly agree otherwise. Accordingly, purchasers who wish to trade the notes on the initial pricing date of the notes will be required, by virtue of the fact that the notes initially will settle in T+2, to specify alternative settlement arrangements at the time of any such trade to prevent a failed settlement and should consult their own advisors.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agreed to indemnify the several underwriters against, or contribute to payments that the underwriters may be required to make in respect of, certain liabilities, including liabilities under the Securities Act of 1933, as amended.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and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In the ordinary course of their respective businesses, certain of the underwriters and/or their affiliates have engaged, and may in the future engage, in commercial banking, investment banking, trust or investment management transactions with us and our affiliates for which they have received, and will in the future receive, customary compensation.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in the ordinary course of their various business activities, the underwriters and their respective affiliates may make or hold a broad array of investments and actively trade debt and equity securities (or related derivative instruments) and financial instruments (including bank loans) for their own account and for the accounts of their customers, and such investment and securities activities may involve securities and instruments of ours or our affiliates. If any of the underwriters and their affiliates has a lending relationship with us, certain of these underwriters or their affiliates routinely hedge and certain of these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credit default swaps or short positions could adversely affect future trading prices of the notes offered hereby. The underwriters and their respective affiliates may also make investment recommendations or publish or express independent research views in respect of such securities or financial instruments and may at any time hold, or recommend to clients that they acquire, long or short positions in such securities and instruments.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Conflicts of Interest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of the underwriters and/or their affiliates may hold a portion of our commercial paper or the Convertible Notes that we intend to repay using a portion of the net proceeds from this offering. Accordingly, it is possible that one or more of the underwriters or their affiliates could receive at least 5% of the net proceeds of this offering, and in that case, such underwriter would be deemed to have a conflict of interest under FINRA Rule 5121 (Public Offerings of Securities with Conflicts of Interest). In the event of any such conflict of interest, such underwriter would be required to conduct the distribution of the notes in accordance with FINRA Rule 5121. If FINRA Rule 5121 is applicable, such underwriter would not be permitted to confirm a sale to an account over which it exercises discretionary authority without first receiving specific written approval from the account holder.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Selling Restrictions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the European Economic Area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not intended to be offered, sold or otherwise made available to and should not be offered, sold or otherwise made available to any retail investor in the European Economic Area (the “EEA”). For these purposes, a retail investor means a person who is one (or more) of: (i) a retail client as defined in point (11) of Article 4(1) of Directive 2014/65/EU (as amended, the “MiFID II”); or (ii) a customer within the meaning of Directive (EU) 2016/97 (as amended),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the accompanying prospectus have been prepared on the basis that any offer of the notes in any Member State of the EEA will be made pursuant to an exemption under the Prospectus Regulation from the requirement to publish a prospectus for offers of the notes. Neither this prospectus supplement nor the accompanying prospectus are prospectuses for purposes of the Prospectus Regulation.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the United Kingdom</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not intended to be offered, sold or otherwise made available to and should not be offered, sold or otherwise made available to any retail investor in the United Kingdom (the “UK”). For these purposes, a retail investor means a person who is neither: (i) a professional client, as defined in point (8) of Article 2(1) of Regulation (EU) No 600/2014 as it forms part of domestic law by virtue of the European Union (Withdrawal) Act 2018 (the “EUWA”); nor (ii) a qualified investor as defined in paragraph 15 of Schedule 1 to the Public Offers and Admissions to Trading Regulations 2024 (“POATRs”). Consequently, no key information document required by Regulation (EU) No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the accompanying prospectus have been prepared on the basis that the offering of the notes falls within one of the exceptions specified in Part 1 of Schedule 1 of the POATRs. Accordingly, there will not be a prospectus prepared or published for the purposes of the POATRs. Neither this prospectus supplement nor the accompanying prospectus is a prospectus for the purposes of the POATRs or the Financial Services and Markets Act 2000 (the “FSMA”), and any offer of the notes in the United Kingdom is made pursuant to an exemption under the POATRs or the FSMA.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the accompanying prospectus have not been approved by an authorized person for the purposes of section 21 of the FSMA and accordingly, are only being distributed to, and must not be passed on to, the general public in the UK. In the UK, such documents are only directed at, persons who are (i) investment professionals falling within Article 19(5) of the Financial Services and Markets Act 2000 (Financial Promotion) Order 2005 (the “Order”), (ii) high net worth entities or other persons falling within Article 49(2)(a) to (d) of the Order, or (iii) other persons to whom they may otherwise lawfully be communicated (each such person being referred to as a “relevant person”). This prospectus supplement, the accompanying prospectus and their contents are confidential and should not be distributed, published or reproduced (in whole or in part) or disclosed by recipients to any other persons in the United Kingdom. Any investment or investment activity to which this prospectus supplement and the accompanying prospectus relate is available only to and will be engaged in only with relevant persons. Any person in the United Kingdom who is not a relevant person should not act or rely on this prospectus supplement and the accompanying prospectus or any of their contents.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Australia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placement document, offering memorandum, product disclosure statement or other disclosure document has been lodged with the Australian Securities and Investments Commission (“ASIC”), in relation to the offering. This prospectus supplement does not constitute a prospectus, product disclosure statement or other disclosure document under the Corporations Act 2001 (Cth) of Australia (the “Corporations Act”), and does not purport to include the information required for a prospectus, product disclosure statement or other disclosure document under the Corporations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offer in Australia of the notes may only be made to persons (the “Exempt Investors”) who are “sophisticated investors” ​(within the meaning of section 708(8) of the Corporations Act), “professional investors” ​(within the meaning of 708(11) of the Corporations Act) or otherwise pursuant to one or more exemptions contained in section 708 of the Corporations Act so that it is lawful to offer the notes without disclosure to investors under Chapter 6D of the Corporations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person acquiring securities must observe such Australian on-sale restrictions. 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Canada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legislation in certain provinces or territories of Canada may provide a purchaser with remedies for rescission or damages if this prospectus supplement or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Switzerland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the accompanying prospectus is not intended to constitute an offer or solicitation to purchase or invest in the notes. 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and the accompanying prospectus nor any other offering or marketing material relating to the notes constitutes a prospectus pursuant to the FinSA, and neither this prospectus supplement and the accompanying prospectus nor any other offering or marketing material relating to the notes may be publicly distributed or otherwise made publicly available in Switzerland.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Japan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offered hereby have not been and will not be registered pursuant to Article 4, Paragraph 1 of the Financial Instruments and Exchange Act of Japan (Act No. 25 of April 13, 1948, as amended, the “FIEA”). Accordingly the notes may not be offered or sold and will not be offered or sold, directly or indirectly, in Japan or to, or for the account or benefit of, any “resident” of Japan (which term as used herein means any person resident in Japan, including any corporation or other entity organized under the laws of Japan), or to, or for the account or benefit of, others for re-offering or resale, directly or indirectly, in Japan or to, or for the account or benefit of, any resident of Japan, except pursuant to an exemption from the registration requirements of, and otherwise in compliance with, the FIEA any other applicable laws, regulations and ministerial guidelines of Japan in effect at the relevant time.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Singapore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the accompanying prospectus have not been and will not be registered as a prospectus under the Securities and Futures Act 2001 (the “SFA”) by the Monetary Authority of Singapore. Accordingly, this prospectus supplement, the accompanying prospectus or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any person in Singapore other than (i) to an institutional investor as defined in Section 4A of the SFA (an “Institutional Investor”) pursuant to Section 274 of the SFA, (ii) to an accredited investor as defined in Section 4A of the SFA (an “Accredited Investor”) or other relevant person as defined in Section 275(2) of the SFA (a “Relevant Person”) and pursuant to Section 275(1) of the SFA, or to any person pursuant to an offer referred to in Section 275(1A) of the SFA, and in accordance with the conditions specified in Section 275 of the SFA and (where applicable) Regulation 3 of the Securities and Futures (Classes of Investors) Regulations 2018 or (iii) otherwise pursuant to, and in accordance with, the conditions of any other applicable exemption or provision of the SFA.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the notes are subscribed or purchased pursuant to an offer made in reliance on Section 275 of the SFA by a relevant person which is: </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(which is not an Accredited Investor), the sole business of which is to hold investments and the entire share capital of which is owned by one or more individuals, each of whom is an Accredited Investor; or </w:t>
      </w:r>
      <w:r>
        <mc:AlternateContent>
          <mc:Choice Requires="wps">
            <w:drawing>
              <wp:anchor behindDoc="0" distT="99060" distB="0" distL="254000" distR="0" simplePos="0" locked="0" layoutInCell="1" allowOverlap="1" relativeHeight="71">
                <wp:simplePos x="0" y="0"/>
                <wp:positionH relativeFrom="column">
                  <wp:align>left</wp:align>
                </wp:positionH>
                <wp:positionV relativeFrom="line">
                  <wp:align>top</wp:align>
                </wp:positionV>
                <wp:extent cx="254000" cy="350520"/>
                <wp:effectExtent l="0" t="0" r="0" b="0"/>
                <wp:wrapSquare wrapText="right"/>
                <wp:docPr id="70" name="Frame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(where the Trustee is not an Accredited Investor), the sole purpose of which is to hold investments and each beneficiary of the trust is an individual who is an Accredited Investor, </w:t>
      </w:r>
      <w:r>
        <mc:AlternateContent>
          <mc:Choice Requires="wps">
            <w:drawing>
              <wp:anchor behindDoc="0" distT="100330" distB="0" distL="254000" distR="0" simplePos="0" locked="0" layoutInCell="1" allowOverlap="1" relativeHeight="72">
                <wp:simplePos x="0" y="0"/>
                <wp:positionH relativeFrom="column">
                  <wp:align>left</wp:align>
                </wp:positionH>
                <wp:positionV relativeFrom="line">
                  <wp:align>top</wp:align>
                </wp:positionV>
                <wp:extent cx="254000" cy="350520"/>
                <wp:effectExtent l="0" t="0" r="0" b="0"/>
                <wp:wrapSquare wrapText="right"/>
                <wp:docPr id="71" name="Frame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or securities-based derivatives contracts (each term as defined in Section 2(1) of the SFA) of that corporation, and the beneficiaries’ rights and interest (howsoever described) in that trust, shall not be transferred within six months after that corporation or that trust has subscribed for or acquired the notes except: </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an Institutional Investor, or an Accredited Investor or Relevant Person, or which arises from an offer referred to in Section 275(1A) of the SFA (in the case of that corporation) or Section 276(4)(c)(ii) of the SFA (in the case of that trust); </w:t>
      </w:r>
      <w:r>
        <mc:AlternateContent>
          <mc:Choice Requires="wps">
            <w:drawing>
              <wp:anchor behindDoc="0" distT="100330" distB="0" distL="254000" distR="0" simplePos="0" locked="0" layoutInCell="1" allowOverlap="1" relativeHeight="73">
                <wp:simplePos x="0" y="0"/>
                <wp:positionH relativeFrom="column">
                  <wp:align>left</wp:align>
                </wp:positionH>
                <wp:positionV relativeFrom="line">
                  <wp:align>top</wp:align>
                </wp:positionV>
                <wp:extent cx="254000" cy="350520"/>
                <wp:effectExtent l="0" t="0" r="0" b="0"/>
                <wp:wrapSquare wrapText="right"/>
                <wp:docPr id="72" name="Frame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no consideration is or will be given for the transfer; </w:t>
      </w:r>
      <w:r>
        <mc:AlternateContent>
          <mc:Choice Requires="wps">
            <w:drawing>
              <wp:anchor behindDoc="0" distT="100330" distB="0" distL="254000" distR="0" simplePos="0" locked="0" layoutInCell="1" allowOverlap="1" relativeHeight="74">
                <wp:simplePos x="0" y="0"/>
                <wp:positionH relativeFrom="column">
                  <wp:align>left</wp:align>
                </wp:positionH>
                <wp:positionV relativeFrom="line">
                  <wp:align>top</wp:align>
                </wp:positionV>
                <wp:extent cx="254000" cy="350520"/>
                <wp:effectExtent l="0" t="0" r="0" b="0"/>
                <wp:wrapSquare wrapText="right"/>
                <wp:docPr id="73" name="Frame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the transfer is by operation of law; </w:t>
      </w:r>
      <w:r>
        <mc:AlternateContent>
          <mc:Choice Requires="wps">
            <w:drawing>
              <wp:anchor behindDoc="0" distT="100330" distB="0" distL="254000" distR="0" simplePos="0" locked="0" layoutInCell="1" allowOverlap="1" relativeHeight="75">
                <wp:simplePos x="0" y="0"/>
                <wp:positionH relativeFrom="column">
                  <wp:align>left</wp:align>
                </wp:positionH>
                <wp:positionV relativeFrom="line">
                  <wp:align>top</wp:align>
                </wp:positionV>
                <wp:extent cx="254000" cy="350520"/>
                <wp:effectExtent l="0" t="0" r="0" b="0"/>
                <wp:wrapSquare wrapText="right"/>
                <wp:docPr id="74" name="Frame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specified in Section 276(7) of the SFA; or </w:t>
      </w:r>
      <w:r>
        <mc:AlternateContent>
          <mc:Choice Requires="wps">
            <w:drawing>
              <wp:anchor behindDoc="0" distT="100330" distB="0" distL="254000" distR="0" simplePos="0" locked="0" layoutInCell="1" allowOverlap="1" relativeHeight="76">
                <wp:simplePos x="0" y="0"/>
                <wp:positionH relativeFrom="column">
                  <wp:align>left</wp:align>
                </wp:positionH>
                <wp:positionV relativeFrom="line">
                  <wp:align>top</wp:align>
                </wp:positionV>
                <wp:extent cx="254000" cy="350520"/>
                <wp:effectExtent l="0" t="0" r="0" b="0"/>
                <wp:wrapSquare wrapText="right"/>
                <wp:docPr id="75" name="Frame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specified in Regulation 37A of the Securities and Futures (Offers of Investments) (Securities and Securities-based Derivatives Contracts) Regulations 2018. </w:t>
      </w:r>
      <w:r>
        <mc:AlternateContent>
          <mc:Choice Requires="wps">
            <w:drawing>
              <wp:anchor behindDoc="0" distT="100330" distB="0" distL="254000" distR="0" simplePos="0" locked="0" layoutInCell="1" allowOverlap="1" relativeHeight="77">
                <wp:simplePos x="0" y="0"/>
                <wp:positionH relativeFrom="column">
                  <wp:align>left</wp:align>
                </wp:positionH>
                <wp:positionV relativeFrom="line">
                  <wp:align>top</wp:align>
                </wp:positionV>
                <wp:extent cx="254000" cy="350520"/>
                <wp:effectExtent l="0" t="0" r="0" b="0"/>
                <wp:wrapSquare wrapText="right"/>
                <wp:docPr id="76" name="Frame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Singapore Securities and Futures Act Product Classification — Solely for the purposes of obligations pursuant to Sections 309B(1)(a) and 309B(1)(c) of the SFA, we have determined, and hereby notify all relevant persons (as defined in Section 309A of the SFA), that the notes are “prescribed capital markets products” ​(as defined in the Securities and Futures (Capital Markets Products) Regulations 2018)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680"/>
        <w:ind w:left="13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Excluded Investment Products” ​(as defined in MAS Notice SFA 04-N12: Notice on the Sale of Investment Products and MAS Notice FAA-N16: Notice on Recommendations on Investment Products).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Taiwan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have not been and will not be registered or filed with, or approved by, the Financial Supervisory Commission of Taiwan and/or any other regulatory authority of Taiwan pursuant to relevant securities laws and regulations and may not be sold, issued or offered within Taiwan through a public offering or in circumstances which could constitute an offer within the meaning of the Securities and Exchange Act of Taiwan or relevant laws and regulations that requires a registration, filing or approval of the Financial Supervisory Commission of Taiwan and/or other regulatory authority of Taiwan. No person or entity in Taiwan has been authorized to offer or sell the notes in Taiwan.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the Republic of Korea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may not be offered, sold and delivered directly or indirectly, or offered or sold to any person for reoffering or resale, directly or indirectly, in the Republic of Korea or to any resident of the Republic of Korea except pursuant to the applicable laws and regulations of the Republic of Korea, including, without limitation, the Financial Investment Services and Capital Markets Act and the Foreign Exchange Transaction Law and the decrees and regulations thereunder. The notes have not been and will not be registered with the Financial Services Commission of Korea for public offering in the Republic of Korea. Furthermore, the notes may not be resold to residents of the Republic of Korea unless the purchaser of the notes complies with all applicable regulatory requirements (including but not limited to government approval requirements under the Foreign Exchange Transaction Law and its subordinate decrees and regulations) in connection with the purchase of the notes.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the United Arab Emirates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have not been, and are not being, publicly offered, sold, promoted or advertised in the United Arab Emirates (including the Dubai International Financial Centre or the Abu Dhabi Global Market) other than in compliance with the laws of the United Arab Emirates (and the Dubai International Financial Centre and the Abu Dhabi Global Market) governing the issue, offering and sale of securities. Further, this prospectus supplement and the accompanying prospectus do not constitute a public offer of securities in the United Arab Emirates (including the Dubai International Financial Centre and the Abu Dhabi Global Market) and is not intended to be a public offer. The prospectus supplement and the accompanying prospectus have not been approved by or filed with the Central Bank of the United Arab Emirates, the Securities and Commodities Authority, the Dubai Financial Services Authority or the Abu Dhabi Global Market’s Financial Services Regulatory Authority (FSRA).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LEMA"/>
      <w:bookmarkEnd w:id="11"/>
      <w:r>
        <w:rPr>
          <w:rFonts w:ascii="calibri;arial;sans-serif" w:hAnsi="calibri;arial;sans-serif"/>
          <w:b w:val="false"/>
          <w:i w:val="false"/>
          <w:caps w:val="false"/>
          <w:smallCaps w:val="false"/>
          <w:color w:val="000000"/>
          <w:sz w:val="16"/>
        </w:rPr>
        <w:t>​</w:t>
      </w:r>
      <w:bookmarkStart w:id="12" w:name="tEXP"/>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6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Baker Botts L.L.P., Houston, Texas will pass on the validity of the notes offered in this prospectus supplement. Monica Karuturi, our Executive Vice President and General Counsel, may pass on other legal matters for us. Hunton Andrews Kurth LLP, New York, New York will pass on certain legal matters for the underwriters. From time to time, Hunton Andrews Kurth LLP acts as counsel to CenterPoint Energy and its affiliates on certain matters.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financial statements of CenterPoint Energy, Inc. as of December 31, 2025 and 2024, and for each of the three years in the period ended December 31, 2025, incorporated by reference in this prospectus supplement by reference to CenterPoint Energy, Inc.’s </w:t>
      </w:r>
      <w:hyperlink r:id="rId6">
        <w:r>
          <w:rPr>
            <w:rStyle w:val="InternetLink"/>
          </w:rPr>
          <w:t>Annual Report on Form 10-K for the year ended December 31, 2025</w:t>
        </w:r>
      </w:hyperlink>
      <w:r>
        <w:rPr>
          <w:rFonts w:ascii="Times New Roman;Times;serif" w:hAnsi="Times New Roman;Times;serif"/>
          <w:b w:val="false"/>
          <w:i w:val="false"/>
          <w:caps w:val="false"/>
          <w:smallCaps w:val="false"/>
          <w:color w:val="000000"/>
          <w:spacing w:val="4"/>
          <w:sz w:val="20"/>
        </w:rPr>
        <w:t>, and the effectiveness of CenterPoint Energy, Inc.’s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CSRF"/>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STATEMENT REGARDING FORWARD-LOOKING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this prospectus supplement, including the information we incorporate by reference, we make statements concerning our expectations, beliefs, plans, objectives, goals, strategies, future events or performance and underlying assumptions and other statements that are not historical facts. These statements are “forward-looking statements” within the meaning of the Private Securities Litigation Reform Act of 1995. Actual results may differ materially from those expressed or implied by these statements. You can generally identify forward-looking statements by the words “anticipate,” “believe,” “continue,” “could,” “estimate,” “expect,” “forecast,” “goal,” “intend,” “may,” “objective,” “plan,” “potential,” “predict,” “projection,” “should,” “target,” “will” or other similar words.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based our forward-looking statements on our management’s beliefs and assumptions based on information reasonably available to our management at the time the statements are made. We caution you that assumptions, beliefs, expectations, intentions and projections about future events may and often do vary materially from actual results. Therefore, we cannot assure you that actual results will not differ materially from those expressed or implied by our forward-looking statements.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are some of the factors that could cause actual results to differ from those expressed or implied by our forward-looking statements: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business strategies and strategic initiatives, restructurings, joint ventures and acquisitions or dispositions of assets or businesses involving us or our industry, including the ability to successfully complete such strategies, initiatives, transactions or plans on the timelines we expect or at all, such as the announced sale of our Ohio natural gas local distribution company business, which we cannot assure will have the anticipated benefits to us; </w:t>
      </w:r>
      <w:r>
        <mc:AlternateContent>
          <mc:Choice Requires="wps">
            <w:drawing>
              <wp:anchor behindDoc="0" distT="7366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7"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industrial, commercial and residential growth in our service territories and changes in market demand and energy consumption, including in relation to the expansion of data centers (associated with, among other things, increasing demand for artificial intelligence (“AI”)), energy refining and exports, advanced manufacturing and logistics, as well as the effects of energy efficiency measures, technological advances and demographic patterns, and our ability to appropriately estimate/forecast and effectively manage such demand and the business opportunities and projects relating to such matters (including the receipt of timely large-load interconnection regulatory approvals) as well as obtain the anticipated benefits, including relating to customer affordability, associated with such demand; </w:t>
      </w:r>
      <w:r>
        <mc:AlternateContent>
          <mc:Choice Requires="wps">
            <w:drawing>
              <wp:anchor behindDoc="0" distT="7366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8"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 of gigawatts projected to be connected to the Houston Electric system and the timing of such additional large-load customer connections and associated energization; </w:t>
      </w:r>
      <w:r>
        <mc:AlternateContent>
          <mc:Choice Requires="wps">
            <w:drawing>
              <wp:anchor behindDoc="0" distT="7493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9"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fund and invest planned capital and the timely recovery of our investments, including the timing of and amounts sought for those related to our 10-year capital plan; </w:t>
      </w:r>
      <w:r>
        <mc:AlternateContent>
          <mc:Choice Requires="wps">
            <w:drawing>
              <wp:anchor behindDoc="0" distT="7493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80"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execute and complete our planned capital projects and programs, including those within our 10-year capital plan, in a timely and cost-effective manner and within budget, obtain the anticipated benefits of such projects, and manage costs and impacts of such projects on customer affordability; </w:t>
      </w:r>
      <w:r>
        <mc:AlternateContent>
          <mc:Choice Requires="wps">
            <w:drawing>
              <wp:anchor behindDoc="0" distT="7493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81"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successfully construct, operate, repair, maintain, replace and restart electric generating facilities, natural gas facilities, temporary emergency electric energy facilities (“TEEEF”) and electric transmission facilities, as applicable, including in the event of an outage and in relation to complying with applicable environmental, reliability and safety standards; </w:t>
      </w:r>
      <w:r>
        <mc:AlternateContent>
          <mc:Choice Requires="wps">
            <w:drawing>
              <wp:anchor behindDoc="0" distT="7493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82"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timely and appropriate rate actions that allow and authorize timely recovery of costs and a reasonable return on investment, including the timing of and amounts sought for recovery of Houston Electric’s applicable TEEEF leases and restoration costs relating to, among other things, Hurricane Beryl, and requested or favorable adjustments to rates and approval of other requested items as part of base rate proceedings or interim rate mechanisms; </w:t>
      </w:r>
      <w:r>
        <mc:AlternateContent>
          <mc:Choice Requires="wps">
            <w:drawing>
              <wp:anchor behindDoc="0" distT="7493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83"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timing and success of, and our ability to obtain approval for matters relating to, Houston Electric’s release of its large TEEEF units to the San Antonio area, proposed removal of its medium TEEEF units, reduction of its TEEEF fleet capacity and reduction of rates to reflect the removal </w:t>
      </w:r>
      <w:r>
        <mc:AlternateContent>
          <mc:Choice Requires="wps">
            <w:drawing>
              <wp:anchor behindDoc="0" distT="7493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84"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the large and medium TEEEF units from Houston Electric’s TEEEF fleet, as well as Houston Electric’s ability to complete one or more other future transactions involving the large and medium TEEEF units on acceptable terms and conditions within the anticipated timeframe;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economic conditions in regional and national markets, including economic uncertainty and volatility, potential for recession, changes to and increases in inflation and interest rates, and their effect on sales, prices and costs; </w:t>
      </w:r>
      <w:r>
        <mc:AlternateContent>
          <mc:Choice Requires="wps">
            <w:drawing>
              <wp:anchor behindDoc="0" distT="7366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5"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severe weather events, natural disasters and other climate-related impacts, including the impact of severe weather events on operations, capital, legislation and/or regulations, such as seen in connection with the extreme and unprecedented winter weather event in February 2021 (also known as Winter Storm Uri) resulting in electricity generation supply shortages, including in Texas, and natural gas supply shortages and increased wholesale prices of natural gas in the United States, primarily due to prolonged freezing temperatures (“February 2021 Winter Storm Event”), the sudden and destructive severe weather events that Houston Electric’s service territory experienced in May 2024 that included hurricane-like winds and tornadoes and Hurricane Beryl; </w:t>
      </w:r>
      <w:r>
        <mc:AlternateContent>
          <mc:Choice Requires="wps">
            <w:drawing>
              <wp:anchor behindDoc="0" distT="7366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6"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volatility in the markets for natural gas as a result of, among other factors, inflation, adverse weather conditions, supply and demand changes, availability of competitively priced alternative energy sources, political and geopolitical instability, commodity production levels and storage capacity, energy and environmental legislation and regulation and economic and financial market conditions; </w:t>
      </w:r>
      <w:r>
        <mc:AlternateContent>
          <mc:Choice Requires="wps">
            <w:drawing>
              <wp:anchor behindDoc="0" distT="7366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7"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non-payment for our services due to financial distress of our customers and the ability of our customers, including REPs, to satisfy their obligations to CenterPoint Energy, Houston Electric and CERC, and the negative impact on such ability related to adverse economic conditions and severe weather events; </w:t>
      </w:r>
      <w:r>
        <mc:AlternateContent>
          <mc:Choice Requires="wps">
            <w:drawing>
              <wp:anchor behindDoc="0" distT="7366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8"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public health threats, and their effect on our operations, business and financial condition, our industries and the communities we serve, U.S. and world financial markets and supply chains, potential regulatory actions and changes in customer and stakeholder behavior relating thereto; </w:t>
      </w:r>
      <w:r>
        <mc:AlternateContent>
          <mc:Choice Requires="wps">
            <w:drawing>
              <wp:anchor behindDoc="0" distT="7493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9"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federal, state and local legislative, executive and regulatory actions or developments affecting various aspects of our businesses, including, among others, any actions resulting from Hurricane Beryl, energy deregulation or re-regulation, pipeline integrity and safety, actions relating to our facilities and changes in regulation, legislation and governmental action pertaining to the utility model, trade (including tariffs, bans, retaliatory trade measures taken against the United States or related governmental action), the implementation of budget and spending cuts to federal government agencies and programs, effects of government shutdowns, policies incentivizing or disincentivizing the development or utilization of alternative sources of generation (including distributed generation), health care, finance, actions regarding the rates charged by our regulated businesses and actions relating to base rate proceedings or interim rate mechanisms (including the required timing thereof); </w:t>
      </w:r>
      <w:r>
        <mc:AlternateContent>
          <mc:Choice Requires="wps">
            <w:drawing>
              <wp:anchor behindDoc="0" distT="7493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90"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disruptions to the global supply chain, inflation, labor shortages and scarcity of certain materials, including as a result of changes in U.S. and foreign trade policy, economic uncertainty, regulatory and policy instability, political and geopolitical uncertainty and instability, including the conflict involving Iran, severe weather and other catastrophic events, changes in laws, executive orders, legislation and other governmental action, increased competition for skilled labor and increases in demand for electricity, that could prevent us from securing the resources and labor needed to, among other things, fully execute on our strategy and 10-year capital plan, and otherwise impact the affordability of our rates for our customers; </w:t>
      </w:r>
      <w:r>
        <mc:AlternateContent>
          <mc:Choice Requires="wps">
            <w:drawing>
              <wp:anchor behindDoc="0" distT="7493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91"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operations and maintenance costs, our ability to control such costs and cost-related impacts on the affordability of our rates for our customers; </w:t>
      </w:r>
      <w:r>
        <mc:AlternateContent>
          <mc:Choice Requires="wps">
            <w:drawing>
              <wp:anchor behindDoc="0" distT="7493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92"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timely obtain and maintain necessary land rights, licenses, permits, easements and approvals from landowners and local, state, federal and other regulatory authorities on acceptable terms and resolve disputes or third-party challenges to such licenses, permits or approvals as applicable; </w:t>
      </w:r>
      <w:r>
        <mc:AlternateContent>
          <mc:Choice Requires="wps">
            <w:drawing>
              <wp:anchor behindDoc="0" distT="7493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93"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 or indirect effects on our facilities, resources, operations, reputation and financial condition resulting from terrorism, vandalism, cyberattacks or intrusions, data security breaches or other security incidents, threats or attempts to disrupt our businesses or the businesses of supply chain stakeholders </w:t>
      </w:r>
      <w:r>
        <mc:AlternateContent>
          <mc:Choice Requires="wps">
            <w:drawing>
              <wp:anchor behindDoc="0" distT="7493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94"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(including by foreign actors), or other catastrophic events such as fires, earthquakes, explosions, leaks, floods, droughts, hurricanes, tornadoes, derecho events, ice storms and other severe weather events, wildfires, pandemic health events, geopolitical conflict, civil unrest or other occurrences;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negative opinions of us or our utility services that our customers, investors, legislators, regulators, creditors, rating agencies or other stakeholders may have or develop, which could result from a variety of factors, including actual or perceived failures in system reliability and safety, the speed of our response to service interruptions, rates and customer affordability, our ability to successfully execute our capital plan, media coverage and actions by third parties; </w:t>
      </w:r>
      <w:r>
        <mc:AlternateContent>
          <mc:Choice Requires="wps">
            <w:drawing>
              <wp:anchor behindDoc="0" distT="7239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95"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damages to our network, facilities and systems, including as a result of wildfires, as well as to third-party property resulting in outages or shortages in our service territories, and losses in excess of insurance liability coverage; </w:t>
      </w:r>
      <w:r>
        <mc:AlternateContent>
          <mc:Choice Requires="wps">
            <w:drawing>
              <wp:anchor behindDoc="0" distT="7239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96"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 legislation and guidance and any changes in tax laws under the current or future administrations, including any further changes to or clarification of the Inflation Reduction Act of 2022 or the One Big Beautiful Act of 2025, and any potential changes to tax rates, corporate alternative minimum tax imposed, tax credits and/or interest deductibility, as well as uncertainties involving state commissions’ and local municipalities’ regulatory requirements and determinations regarding the treatment of excess deferred income taxes and our rates; </w:t>
      </w:r>
      <w:r>
        <mc:AlternateContent>
          <mc:Choice Requires="wps">
            <w:drawing>
              <wp:anchor behindDoc="0" distT="7239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7"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mitigate weather impacts through normalization or rate mechanisms, and the effectiveness of such mechanisms; </w:t>
      </w:r>
      <w:r>
        <mc:AlternateContent>
          <mc:Choice Requires="wps">
            <w:drawing>
              <wp:anchor behindDoc="0" distT="7239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8"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actions by credit rating agencies, including any potential downgrades to credit ratings; </w:t>
      </w:r>
      <w:r>
        <mc:AlternateContent>
          <mc:Choice Requires="wps">
            <w:drawing>
              <wp:anchor behindDoc="0" distT="7239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9"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local, state and federal legislative, executive and regulatory actions or developments relating to the environment, including, among others, those related to global climate risk, air emissions, greenhouse gas emissions, carbon emissions, wastewater discharges and the handling and disposal of coal combustion residuals that could impact operations, cost recovery of generation plant costs and related assets, and our energy transition goals; </w:t>
      </w:r>
      <w:r>
        <mc:AlternateContent>
          <mc:Choice Requires="wps">
            <w:drawing>
              <wp:anchor behindDoc="0" distT="7239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100"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unplanned facility outages or other closures; </w:t>
      </w:r>
      <w:r>
        <mc:AlternateContent>
          <mc:Choice Requires="wps">
            <w:drawing>
              <wp:anchor behindDoc="0" distT="7239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101"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sufficiency of our insurance coverage, including availability, cost, coverage and terms and ability to recover claims; </w:t>
      </w:r>
      <w:r>
        <mc:AlternateContent>
          <mc:Choice Requires="wps">
            <w:drawing>
              <wp:anchor behindDoc="0" distT="7239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102"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impacts from our pension and postretirement benefit plans, such as the investment performance and increases to net periodic costs as a result of plan settlements and changes in assumptions, including discount rates; </w:t>
      </w:r>
      <w:r>
        <mc:AlternateContent>
          <mc:Choice Requires="wps">
            <w:drawing>
              <wp:anchor behindDoc="0" distT="7239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103"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interest rates and their impact on costs of borrowing and the valuation of our pension benefit obligation; </w:t>
      </w:r>
      <w:r>
        <mc:AlternateContent>
          <mc:Choice Requires="wps">
            <w:drawing>
              <wp:anchor behindDoc="0" distT="7239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104"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commercial bank and financial market conditions, including disruptions in the banking industry, our access to capital, the cost of such capital, the results of our financing and refinancing efforts, including availability of funds in the capital markets, and impacts on our vendors, customers and suppliers; </w:t>
      </w:r>
      <w:r>
        <mc:AlternateContent>
          <mc:Choice Requires="wps">
            <w:drawing>
              <wp:anchor behindDoc="0" distT="7239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105"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inability of various counterparties to meet their obligations to us; </w:t>
      </w:r>
      <w:r>
        <mc:AlternateContent>
          <mc:Choice Requires="wps">
            <w:drawing>
              <wp:anchor behindDoc="0" distT="7366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106"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extent and effectiveness of our risk management activities; </w:t>
      </w:r>
      <w:r>
        <mc:AlternateContent>
          <mc:Choice Requires="wps">
            <w:drawing>
              <wp:anchor behindDoc="0" distT="7366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107"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timely and appropriate regulatory actions, which include actions allowing requested securitization for any hurricanes or other severe weather events, such as Hurricane Beryl, or natural disasters or other amounts sought for recovery of costs, including stranded coal-fired generation asset costs; </w:t>
      </w:r>
      <w:r>
        <mc:AlternateContent>
          <mc:Choice Requires="wps">
            <w:drawing>
              <wp:anchor behindDoc="0" distT="7366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8"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attract, effectively transition, motivate and retain an appropriately qualified workforce, identify and develop top talent to succeed management and maintain good labor relations; </w:t>
      </w:r>
      <w:r>
        <mc:AlternateContent>
          <mc:Choice Requires="wps">
            <w:drawing>
              <wp:anchor behindDoc="0" distT="7366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9"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technology, including with respect to efficient battery storage or the emergence or growth of new, developing or alternative sources of generation, and their adoption by consumers, and our ability to anticipate, adapt to and implement technological changes; </w:t>
      </w:r>
      <w:r>
        <mc:AlternateContent>
          <mc:Choice Requires="wps">
            <w:drawing>
              <wp:anchor behindDoc="0" distT="7366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10"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advances in AI and our success in timely adopting, developing and deploying AI; </w:t>
      </w:r>
      <w:r>
        <mc:AlternateContent>
          <mc:Choice Requires="wps">
            <w:drawing>
              <wp:anchor behindDoc="0" distT="7366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11"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WYCF"/>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00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timing and outcome of any audits, disputes and other proceedings related to taxes; </w:t>
      </w:r>
      <w:r>
        <mc:AlternateContent>
          <mc:Choice Requires="wps">
            <w:drawing>
              <wp:anchor behindDoc="0" distT="0" distB="0" distL="254000" distR="0" simplePos="0" locked="0" layoutInCell="1" allowOverlap="1" relativeHeight="113">
                <wp:simplePos x="0" y="0"/>
                <wp:positionH relativeFrom="column">
                  <wp:align>left</wp:align>
                </wp:positionH>
                <wp:positionV relativeFrom="line">
                  <wp:posOffset>635</wp:posOffset>
                </wp:positionV>
                <wp:extent cx="127000" cy="350520"/>
                <wp:effectExtent l="0" t="0" r="0" b="0"/>
                <wp:wrapSquare wrapText="right"/>
                <wp:docPr id="112"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recording of impairment charges; </w:t>
      </w:r>
      <w:r>
        <mc:AlternateContent>
          <mc:Choice Requires="wps">
            <w:drawing>
              <wp:anchor behindDoc="0" distT="7620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13"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political and economic developments and actions, including energy and environmental policies under the current administration; </w:t>
      </w:r>
      <w:r>
        <mc:AlternateContent>
          <mc:Choice Requires="wps">
            <w:drawing>
              <wp:anchor behindDoc="0" distT="7620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14"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execute on our strategy, initiatives, targets and goals, including our energy transition goals and our operations and maintenance expenditure goals; </w:t>
      </w:r>
      <w:r>
        <mc:AlternateContent>
          <mc:Choice Requires="wps">
            <w:drawing>
              <wp:anchor behindDoc="0" distT="7620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15"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outcome of litigation, including litigation related to the February 2021 Winter Storm Event and Hurricane Beryl; </w:t>
      </w:r>
      <w:r>
        <mc:AlternateContent>
          <mc:Choice Requires="wps">
            <w:drawing>
              <wp:anchor behindDoc="0" distT="7620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16"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 of changes in and application of accounting standards and pronouncements; and </w:t>
      </w:r>
      <w:r>
        <mc:AlternateContent>
          <mc:Choice Requires="wps">
            <w:drawing>
              <wp:anchor behindDoc="0" distT="7620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7"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other factors discussed in “Risk Factors” beginning on page </w:t>
      </w:r>
      <w:hyperlink w:anchor="tRIFA">
        <w:r>
          <w:rPr>
            <w:rStyle w:val="InternetLink"/>
          </w:rPr>
          <w:t>S-9</w:t>
        </w:r>
      </w:hyperlink>
      <w:r>
        <w:rPr>
          <w:rFonts w:ascii="Times New Roman;Times;serif" w:hAnsi="Times New Roman;Times;serif"/>
          <w:b w:val="false"/>
          <w:i w:val="false"/>
          <w:caps w:val="false"/>
          <w:smallCaps w:val="false"/>
          <w:color w:val="000000"/>
          <w:spacing w:val="4"/>
          <w:sz w:val="20"/>
        </w:rPr>
        <w:t xml:space="preserve"> of this prospectus supplement. </w:t>
      </w:r>
      <w:r>
        <mc:AlternateContent>
          <mc:Choice Requires="wps">
            <w:drawing>
              <wp:anchor behindDoc="0" distT="7620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8"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not place undue reliance on forward-looking statements. Each forward-looking statement speaks only as of the date of the particular statement, and other than as required under applicable securities laws, we undertake no obligation to update or revise any forward-looking statements.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file annual, quarterly and current reports, proxy statements and other information with the SEC. The SEC maintains a Web site that contains information we file electronically with the SEC, which you can access at </w:t>
      </w:r>
      <w:r>
        <w:rPr>
          <w:rFonts w:ascii="Times New Roman;Times;serif" w:hAnsi="Times New Roman;Times;serif"/>
          <w:b w:val="false"/>
          <w:i/>
          <w:caps w:val="false"/>
          <w:smallCaps w:val="false"/>
          <w:color w:val="000000"/>
          <w:spacing w:val="4"/>
          <w:sz w:val="20"/>
        </w:rPr>
        <w:t>http://www.sec.gov</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Web site is located at http://investors.centerpointenergy.com. Our Annual Reports on Form 10-K, Quarterly Reports on Form 10-Q, Current Reports on Form 8-K and other filings with the SEC are available, free of charge, through our Web site, as soon as reasonably practicable after those reports or filings are electronically filed with or furnished to the SEC. Information on our Web site or any other website is not incorporated by reference in this prospectus and does not constitute a part of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which includes information incorporated by reference (see “Incorporation By Reference” below), is part of a registration statement we have filed with the SEC relating to the securities we may offer. As permitted by SEC rules, this prospectus supplement does not contain all of the information we have included in the registration statement and the accompanying exhibits and schedules we file with the SEC. You may refer to the registration statement, the exhibits and the schedules for more information about us and our securities. The registration statement, exhibits and schedules are available through the SEC’s Web site.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IBR"/>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8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“incorporating by reference” into this prospectus supplement certain information we file with the SEC. This means we are disclosing important information to you by referring you to the documents containing the information. The information we incorporate by reference is considered to be part of this prospectus supplement. Information that we file later with the SEC that is deemed incorporated by reference into this prospectus supplement (but not information deemed to be furnished to and not filed with the SEC) will automatically update and supersede information previously included.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incorporating by reference into this prospectus supplement the documents listed below and any subsequent filings we make with the SEC under Sections 13(a), 13(c), 14 or 15(d) of the Exchange Act, as amended (excluding information deemed to be furnished and not filed with the SEC), until all the notes offered hereby are sold: </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w:t>
      </w:r>
      <w:hyperlink r:id="rId7">
        <w:r>
          <w:rPr>
            <w:rStyle w:val="InternetLink"/>
          </w:rPr>
          <w:t>Annual Report on Form 10-K for the fiscal year ended December 31, 2025</w:t>
        </w:r>
      </w:hyperlink>
      <w:r>
        <w:rPr>
          <w:rFonts w:ascii="Times New Roman;Times;serif" w:hAnsi="Times New Roman;Times;serif"/>
          <w:b w:val="false"/>
          <w:i w:val="false"/>
          <w:caps w:val="false"/>
          <w:smallCaps w:val="false"/>
          <w:color w:val="000000"/>
          <w:spacing w:val="4"/>
          <w:sz w:val="20"/>
        </w:rPr>
        <w:t xml:space="preserve">, including the portions of our </w:t>
      </w:r>
      <w:hyperlink r:id="rId8">
        <w:r>
          <w:rPr>
            <w:rStyle w:val="InternetLink"/>
          </w:rPr>
          <w:t>definitive proxy statement on Schedule 14A filed with the SEC on March 4, 2026</w:t>
        </w:r>
      </w:hyperlink>
      <w:r>
        <w:rPr>
          <w:rFonts w:ascii="Times New Roman;Times;serif" w:hAnsi="Times New Roman;Times;serif"/>
          <w:b w:val="false"/>
          <w:i w:val="false"/>
          <w:caps w:val="false"/>
          <w:smallCaps w:val="false"/>
          <w:color w:val="000000"/>
          <w:spacing w:val="4"/>
          <w:sz w:val="20"/>
        </w:rPr>
        <w:t xml:space="preserve"> that are incorporated by reference therein; </w:t>
      </w:r>
      <w:r>
        <mc:AlternateContent>
          <mc:Choice Requires="wps">
            <w:drawing>
              <wp:anchor behindDoc="0" distT="7620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9"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Quarterly Reports on Form 10-Q for the quarters ended </w:t>
      </w:r>
      <w:hyperlink r:id="rId9">
        <w:r>
          <w:rPr>
            <w:rStyle w:val="InternetLink"/>
          </w:rPr>
          <w:t>March 31, 2026</w:t>
        </w:r>
      </w:hyperlink>
      <w:r>
        <w:rPr>
          <w:rFonts w:ascii="Times New Roman;Times;serif" w:hAnsi="Times New Roman;Times;serif"/>
          <w:b w:val="false"/>
          <w:i w:val="false"/>
          <w:caps w:val="false"/>
          <w:smallCaps w:val="false"/>
          <w:color w:val="000000"/>
          <w:spacing w:val="4"/>
          <w:sz w:val="20"/>
        </w:rPr>
        <w:t xml:space="preserve"> and </w:t>
      </w:r>
      <w:hyperlink r:id="rId10">
        <w:r>
          <w:rPr>
            <w:rStyle w:val="InternetLink"/>
          </w:rPr>
          <w:t>June 30, 2026</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620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20"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Current Reports on Form 8-K filed with the SEC on </w:t>
      </w:r>
      <w:hyperlink r:id="rId11">
        <w:r>
          <w:rPr>
            <w:rStyle w:val="InternetLink"/>
          </w:rPr>
          <w:t>February 12, 2026</w:t>
        </w:r>
      </w:hyperlink>
      <w:r>
        <w:rPr>
          <w:rFonts w:ascii="Times New Roman;Times;serif" w:hAnsi="Times New Roman;Times;serif"/>
          <w:b w:val="false"/>
          <w:i w:val="false"/>
          <w:caps w:val="false"/>
          <w:smallCaps w:val="false"/>
          <w:color w:val="000000"/>
          <w:spacing w:val="4"/>
          <w:sz w:val="20"/>
        </w:rPr>
        <w:t xml:space="preserve">, </w:t>
      </w:r>
      <w:hyperlink r:id="rId12">
        <w:r>
          <w:rPr>
            <w:rStyle w:val="InternetLink"/>
          </w:rPr>
          <w:t>February 23, 2026</w:t>
        </w:r>
      </w:hyperlink>
      <w:r>
        <w:rPr>
          <w:rFonts w:ascii="Times New Roman;Times;serif" w:hAnsi="Times New Roman;Times;serif"/>
          <w:b w:val="false"/>
          <w:i w:val="false"/>
          <w:caps w:val="false"/>
          <w:smallCaps w:val="false"/>
          <w:color w:val="000000"/>
          <w:spacing w:val="4"/>
          <w:sz w:val="20"/>
        </w:rPr>
        <w:t xml:space="preserve">, </w:t>
      </w:r>
      <w:hyperlink r:id="rId13">
        <w:r>
          <w:rPr>
            <w:rStyle w:val="InternetLink"/>
          </w:rPr>
          <w:t>February 26, 2026</w:t>
        </w:r>
      </w:hyperlink>
      <w:r>
        <w:rPr>
          <w:rFonts w:ascii="Times New Roman;Times;serif" w:hAnsi="Times New Roman;Times;serif"/>
          <w:b w:val="false"/>
          <w:i w:val="false"/>
          <w:caps w:val="false"/>
          <w:smallCaps w:val="false"/>
          <w:color w:val="000000"/>
          <w:spacing w:val="4"/>
          <w:sz w:val="20"/>
        </w:rPr>
        <w:t xml:space="preserve">, </w:t>
      </w:r>
      <w:hyperlink r:id="rId14">
        <w:r>
          <w:rPr>
            <w:rStyle w:val="InternetLink"/>
          </w:rPr>
          <w:t>April 17, 2026</w:t>
        </w:r>
      </w:hyperlink>
      <w:r>
        <w:rPr>
          <w:rFonts w:ascii="Times New Roman;Times;serif" w:hAnsi="Times New Roman;Times;serif"/>
          <w:b w:val="false"/>
          <w:i w:val="false"/>
          <w:caps w:val="false"/>
          <w:smallCaps w:val="false"/>
          <w:color w:val="000000"/>
          <w:spacing w:val="4"/>
          <w:sz w:val="20"/>
        </w:rPr>
        <w:t xml:space="preserve">, and </w:t>
      </w:r>
      <w:hyperlink r:id="rId15">
        <w:r>
          <w:rPr>
            <w:rStyle w:val="InternetLink"/>
          </w:rPr>
          <w:t>May 15,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21"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also obtain a copy of our filings with the SEC at no cost by writing to or telephoning us at the following address: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CenterPoint Energy, Inc.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Attn: Investor Relations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P.O. Box 4567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Houston, Texas 77210-4567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(713) 207-6500</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437"/>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CenterPoint Energy, Inc.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1111 Louisiana Street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Houston, Texas 77002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(713) 207-1111</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360" w:before="24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CENTERPOINT ENERGY, INC.</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320" w:before="8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xml:space="preserve">SENIOR DEBT SECURITIES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JUNIOR SUBORDINATED DEBT SECURITIES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COMMON STOCK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PREFERRED STOCK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STOCK PURCHASE CONTRACTS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EQUITY UNITS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DEPOSITARY SHARES</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provide additional terms of our securities in one or more supplements to this prospectus. You should read this prospectus and the related prospectus supplement carefully before you invest in our securities. No person may use this prospectus to offer and sell our securities unless a prospectus supplement accompanies this 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Offering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from time to time: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senior debt securities; </w:t>
      </w:r>
      <w:r>
        <mc:AlternateContent>
          <mc:Choice Requires="wps">
            <w:drawing>
              <wp:anchor behindDoc="0" distT="7620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22"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junior subordinated debt securities; </w:t>
      </w:r>
      <w:r>
        <mc:AlternateContent>
          <mc:Choice Requires="wps">
            <w:drawing>
              <wp:anchor behindDoc="0" distT="7620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23"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common stock; </w:t>
      </w:r>
      <w:r>
        <mc:AlternateContent>
          <mc:Choice Requires="wps">
            <w:drawing>
              <wp:anchor behindDoc="0" distT="7620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24"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preferred stock; </w:t>
      </w:r>
      <w:r>
        <mc:AlternateContent>
          <mc:Choice Requires="wps">
            <w:drawing>
              <wp:anchor behindDoc="0" distT="7620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25"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 purchase contracts; </w:t>
      </w:r>
      <w:r>
        <mc:AlternateContent>
          <mc:Choice Requires="wps">
            <w:drawing>
              <wp:anchor behindDoc="0" distT="7620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26"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equity units; and </w:t>
      </w:r>
      <w:r>
        <mc:AlternateContent>
          <mc:Choice Requires="wps">
            <w:drawing>
              <wp:anchor behindDoc="0" distT="7620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27"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depositary shares. </w:t>
      </w:r>
      <w:r>
        <mc:AlternateContent>
          <mc:Choice Requires="wps">
            <w:drawing>
              <wp:anchor behindDoc="0" distT="7620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8"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listed on the New York Stock Exchange and the NYSE Texas under the symbol “CNP.” </w:t>
      </w:r>
    </w:p>
    <w:p>
      <w:pPr>
        <w:pStyle w:val="TextBody"/>
        <w:bidi w:val="0"/>
        <w:spacing w:lineRule="atLeast" w:line="240" w:before="160" w:after="283"/>
        <w:ind w:left="1793" w:right="0" w:hanging="0"/>
        <w:jc w:val="left"/>
        <w:rPr/>
      </w:pPr>
      <w:r>
        <w:rPr>
          <w:rFonts w:ascii="Times New Roman;Times;serif" w:hAnsi="Times New Roman;Times;serif"/>
          <w:b/>
          <w:i w:val="false"/>
          <w:caps w:val="false"/>
          <w:smallCaps w:val="false"/>
          <w:color w:val="000000"/>
          <w:spacing w:val="-4"/>
          <w:sz w:val="20"/>
        </w:rPr>
        <w:t xml:space="preserve">Investing in our securities involves risks. See “Risk Factors” on page </w:t>
      </w:r>
      <w:hyperlink w:anchor="tRIFA1">
        <w:r>
          <w:rPr>
            <w:rStyle w:val="InternetLink"/>
          </w:rPr>
          <w:t>4</w:t>
        </w:r>
      </w:hyperlink>
      <w:r>
        <w:rPr>
          <w:rFonts w:ascii="Times New Roman;Times;serif" w:hAnsi="Times New Roman;Times;serif"/>
          <w:b/>
          <w:i w:val="false"/>
          <w:caps w:val="false"/>
          <w:smallCaps w:val="false"/>
          <w:color w:val="000000"/>
          <w:spacing w:val="-4"/>
          <w:sz w:val="20"/>
        </w:rPr>
        <w:t xml:space="preserve"> of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4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Securities and Exchange Commission nor any state securities commission has approved or disapproved of these securities or determined if this prospectus is truthful or complete.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24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date of this prospectus is May 15, 2026.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OC3"/>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7610" w:type="dxa"/>
        <w:jc w:val="left"/>
        <w:tblInd w:w="1393" w:type="dxa"/>
        <w:tblLayout w:type="fixed"/>
        <w:tblCellMar>
          <w:top w:w="0" w:type="dxa"/>
          <w:left w:w="0" w:type="dxa"/>
          <w:bottom w:w="0" w:type="dxa"/>
          <w:right w:w="0" w:type="dxa"/>
        </w:tblCellMar>
      </w:tblPr>
      <w:tblGrid>
        <w:gridCol w:w="124"/>
        <w:gridCol w:w="6377"/>
        <w:gridCol w:w="109"/>
        <w:gridCol w:w="109"/>
        <w:gridCol w:w="109"/>
        <w:gridCol w:w="109"/>
        <w:gridCol w:w="410"/>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6377" w:type="dxa"/>
            <w:tcBorders/>
            <w:shd w:fill="CCEEFF" w:val="clear"/>
            <w:vAlign w:val="center"/>
          </w:tcPr>
          <w:p>
            <w:pPr>
              <w:pStyle w:val="TableContents"/>
              <w:bidi w:val="0"/>
              <w:spacing w:before="0" w:after="0"/>
              <w:jc w:val="left"/>
              <w:rPr/>
            </w:pPr>
            <w:hyperlink w:anchor="tATP1">
              <w:r>
                <w:rPr>
                  <w:rStyle w:val="InternetLink"/>
                  <w:spacing w:val="4"/>
                </w:rPr>
                <w:t xml:space="preserve">About This 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ATP1">
              <w:r>
                <w:rPr>
                  <w:rStyle w:val="InternetLink"/>
                  <w:spacing w:val="4"/>
                </w:rPr>
                <w:t>1</w:t>
              </w:r>
            </w:hyperlink>
            <w:hyperlink w:anchor="tATP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377" w:type="dxa"/>
            <w:tcBorders/>
            <w:vAlign w:val="center"/>
          </w:tcPr>
          <w:p>
            <w:pPr>
              <w:pStyle w:val="TableContents"/>
              <w:bidi w:val="0"/>
              <w:spacing w:before="0" w:after="0"/>
              <w:jc w:val="left"/>
              <w:rPr/>
            </w:pPr>
            <w:hyperlink w:anchor="tWYCF1">
              <w:r>
                <w:rPr>
                  <w:rStyle w:val="InternetLink"/>
                  <w:spacing w:val="4"/>
                </w:rPr>
                <w:t xml:space="preserve">Where You Can Find More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WYCF1">
              <w:r>
                <w:rPr>
                  <w:rStyle w:val="InternetLink"/>
                  <w:spacing w:val="4"/>
                </w:rPr>
                <w:t>1</w:t>
              </w:r>
            </w:hyperlink>
            <w:hyperlink w:anchor="tWYCF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377" w:type="dxa"/>
            <w:tcBorders/>
            <w:shd w:fill="CCEEFF" w:val="clear"/>
            <w:vAlign w:val="center"/>
          </w:tcPr>
          <w:p>
            <w:pPr>
              <w:pStyle w:val="TableContents"/>
              <w:bidi w:val="0"/>
              <w:spacing w:before="0" w:after="0"/>
              <w:jc w:val="left"/>
              <w:rPr/>
            </w:pPr>
            <w:hyperlink w:anchor="tIBR1">
              <w:r>
                <w:rPr>
                  <w:rStyle w:val="InternetLink"/>
                  <w:spacing w:val="4"/>
                </w:rPr>
                <w:t xml:space="preserve">Incorporation By Reference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IBR1">
              <w:r>
                <w:rPr>
                  <w:rStyle w:val="InternetLink"/>
                  <w:spacing w:val="4"/>
                </w:rPr>
                <w:t>1</w:t>
              </w:r>
            </w:hyperlink>
            <w:hyperlink w:anchor="tIBR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377" w:type="dxa"/>
            <w:tcBorders/>
            <w:vAlign w:val="center"/>
          </w:tcPr>
          <w:p>
            <w:pPr>
              <w:pStyle w:val="TableContents"/>
              <w:bidi w:val="0"/>
              <w:spacing w:before="0" w:after="0"/>
              <w:jc w:val="left"/>
              <w:rPr/>
            </w:pPr>
            <w:hyperlink w:anchor="tACEI1">
              <w:r>
                <w:rPr>
                  <w:rStyle w:val="InternetLink"/>
                  <w:spacing w:val="4"/>
                </w:rPr>
                <w:t xml:space="preserve">About CenterPoint Energy, Inc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ACEI1">
              <w:r>
                <w:rPr>
                  <w:rStyle w:val="InternetLink"/>
                  <w:spacing w:val="4"/>
                </w:rPr>
                <w:t>3</w:t>
              </w:r>
            </w:hyperlink>
            <w:hyperlink w:anchor="tACEI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377" w:type="dxa"/>
            <w:tcBorders/>
            <w:shd w:fill="CCEEFF" w:val="clear"/>
            <w:vAlign w:val="center"/>
          </w:tcPr>
          <w:p>
            <w:pPr>
              <w:pStyle w:val="TableContents"/>
              <w:bidi w:val="0"/>
              <w:spacing w:before="0" w:after="0"/>
              <w:jc w:val="left"/>
              <w:rPr/>
            </w:pPr>
            <w:hyperlink w:anchor="tRIFA1">
              <w:r>
                <w:rPr>
                  <w:rStyle w:val="InternetLink"/>
                  <w:spacing w:val="4"/>
                </w:rPr>
                <w:t xml:space="preserve">Risk Factors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RIFA1">
              <w:r>
                <w:rPr>
                  <w:rStyle w:val="InternetLink"/>
                  <w:spacing w:val="4"/>
                </w:rPr>
                <w:t>4</w:t>
              </w:r>
            </w:hyperlink>
            <w:hyperlink w:anchor="tRIFA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377" w:type="dxa"/>
            <w:tcBorders/>
            <w:vAlign w:val="center"/>
          </w:tcPr>
          <w:p>
            <w:pPr>
              <w:pStyle w:val="TableContents"/>
              <w:bidi w:val="0"/>
              <w:spacing w:before="0" w:after="0"/>
              <w:jc w:val="left"/>
              <w:rPr/>
            </w:pPr>
            <w:hyperlink w:anchor="tCSRF1">
              <w:r>
                <w:rPr>
                  <w:rStyle w:val="InternetLink"/>
                  <w:spacing w:val="4"/>
                </w:rPr>
                <w:t xml:space="preserve">Cautionary Statement Regarding Forward-Looking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CSRF1">
              <w:r>
                <w:rPr>
                  <w:rStyle w:val="InternetLink"/>
                  <w:spacing w:val="4"/>
                </w:rPr>
                <w:t>4</w:t>
              </w:r>
            </w:hyperlink>
            <w:hyperlink w:anchor="tCSRF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377" w:type="dxa"/>
            <w:tcBorders/>
            <w:shd w:fill="CCEEFF" w:val="clear"/>
            <w:vAlign w:val="center"/>
          </w:tcPr>
          <w:p>
            <w:pPr>
              <w:pStyle w:val="TableContents"/>
              <w:bidi w:val="0"/>
              <w:spacing w:before="0" w:after="0"/>
              <w:jc w:val="left"/>
              <w:rPr/>
            </w:pPr>
            <w:hyperlink w:anchor="tUOP1">
              <w:r>
                <w:rPr>
                  <w:rStyle w:val="InternetLink"/>
                  <w:spacing w:val="4"/>
                </w:rPr>
                <w:t xml:space="preserve">Use of Proceeds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UOP1">
              <w:r>
                <w:rPr>
                  <w:rStyle w:val="InternetLink"/>
                  <w:spacing w:val="4"/>
                </w:rPr>
                <w:t>8</w:t>
              </w:r>
            </w:hyperlink>
            <w:hyperlink w:anchor="tUOP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377" w:type="dxa"/>
            <w:tcBorders/>
            <w:vAlign w:val="center"/>
          </w:tcPr>
          <w:p>
            <w:pPr>
              <w:pStyle w:val="TableContents"/>
              <w:bidi w:val="0"/>
              <w:spacing w:before="0" w:after="0"/>
              <w:jc w:val="left"/>
              <w:rPr/>
            </w:pPr>
            <w:hyperlink w:anchor="tDOOD1">
              <w:r>
                <w:rPr>
                  <w:rStyle w:val="InternetLink"/>
                  <w:spacing w:val="4"/>
                </w:rPr>
                <w:t xml:space="preserve">Description of Our Debt Securities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DOOD1">
              <w:r>
                <w:rPr>
                  <w:rStyle w:val="InternetLink"/>
                  <w:spacing w:val="4"/>
                </w:rPr>
                <w:t>9</w:t>
              </w:r>
            </w:hyperlink>
            <w:hyperlink w:anchor="tDOOD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377" w:type="dxa"/>
            <w:tcBorders/>
            <w:shd w:fill="CCEEFF" w:val="clear"/>
            <w:vAlign w:val="center"/>
          </w:tcPr>
          <w:p>
            <w:pPr>
              <w:pStyle w:val="TableContents"/>
              <w:bidi w:val="0"/>
              <w:spacing w:before="0" w:after="0"/>
              <w:jc w:val="left"/>
              <w:rPr/>
            </w:pPr>
            <w:hyperlink w:anchor="tDOOC1">
              <w:r>
                <w:rPr>
                  <w:rStyle w:val="InternetLink"/>
                  <w:spacing w:val="4"/>
                </w:rPr>
                <w:t xml:space="preserve">Description of Our Capital Stock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DOOC1">
              <w:r>
                <w:rPr>
                  <w:rStyle w:val="InternetLink"/>
                  <w:spacing w:val="4"/>
                </w:rPr>
                <w:t>18</w:t>
              </w:r>
            </w:hyperlink>
            <w:hyperlink w:anchor="tDOOC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377" w:type="dxa"/>
            <w:tcBorders/>
            <w:vAlign w:val="center"/>
          </w:tcPr>
          <w:p>
            <w:pPr>
              <w:pStyle w:val="TableContents"/>
              <w:bidi w:val="0"/>
              <w:spacing w:before="0" w:after="0"/>
              <w:jc w:val="left"/>
              <w:rPr/>
            </w:pPr>
            <w:hyperlink w:anchor="tDOSP1">
              <w:r>
                <w:rPr>
                  <w:rStyle w:val="InternetLink"/>
                  <w:spacing w:val="4"/>
                </w:rPr>
                <w:t xml:space="preserve">Description of Stock Purchase Contracts and Equity Units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DOSP1">
              <w:r>
                <w:rPr>
                  <w:rStyle w:val="InternetLink"/>
                  <w:spacing w:val="4"/>
                </w:rPr>
                <w:t>23</w:t>
              </w:r>
            </w:hyperlink>
            <w:hyperlink w:anchor="tDOSP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377" w:type="dxa"/>
            <w:tcBorders/>
            <w:shd w:fill="CCEEFF" w:val="clear"/>
            <w:vAlign w:val="center"/>
          </w:tcPr>
          <w:p>
            <w:pPr>
              <w:pStyle w:val="TableContents"/>
              <w:bidi w:val="0"/>
              <w:spacing w:before="0" w:after="0"/>
              <w:jc w:val="left"/>
              <w:rPr/>
            </w:pPr>
            <w:hyperlink w:anchor="tDODS1">
              <w:r>
                <w:rPr>
                  <w:rStyle w:val="InternetLink"/>
                  <w:spacing w:val="4"/>
                </w:rPr>
                <w:t xml:space="preserve">Description of Depositary Shares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DODS1">
              <w:r>
                <w:rPr>
                  <w:rStyle w:val="InternetLink"/>
                  <w:spacing w:val="4"/>
                </w:rPr>
                <w:t>23</w:t>
              </w:r>
            </w:hyperlink>
            <w:hyperlink w:anchor="tDODS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377" w:type="dxa"/>
            <w:tcBorders/>
            <w:vAlign w:val="center"/>
          </w:tcPr>
          <w:p>
            <w:pPr>
              <w:pStyle w:val="TableContents"/>
              <w:bidi w:val="0"/>
              <w:spacing w:before="0" w:after="0"/>
              <w:jc w:val="left"/>
              <w:rPr/>
            </w:pPr>
            <w:hyperlink w:anchor="tHCS1">
              <w:r>
                <w:rPr>
                  <w:rStyle w:val="InternetLink"/>
                  <w:spacing w:val="4"/>
                </w:rPr>
                <w:t xml:space="preserve">Holding Company Structure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HCS1">
              <w:r>
                <w:rPr>
                  <w:rStyle w:val="InternetLink"/>
                  <w:spacing w:val="4"/>
                </w:rPr>
                <w:t>24</w:t>
              </w:r>
            </w:hyperlink>
            <w:hyperlink w:anchor="tHCS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377" w:type="dxa"/>
            <w:tcBorders/>
            <w:shd w:fill="CCEEFF" w:val="clear"/>
            <w:vAlign w:val="center"/>
          </w:tcPr>
          <w:p>
            <w:pPr>
              <w:pStyle w:val="TableContents"/>
              <w:bidi w:val="0"/>
              <w:spacing w:before="0" w:after="0"/>
              <w:jc w:val="left"/>
              <w:rPr/>
            </w:pPr>
            <w:hyperlink w:anchor="tPOD1">
              <w:r>
                <w:rPr>
                  <w:rStyle w:val="InternetLink"/>
                  <w:spacing w:val="4"/>
                </w:rPr>
                <w:t xml:space="preserve">Plan of Distribution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POD1">
              <w:r>
                <w:rPr>
                  <w:rStyle w:val="InternetLink"/>
                  <w:spacing w:val="4"/>
                </w:rPr>
                <w:t>24</w:t>
              </w:r>
            </w:hyperlink>
            <w:hyperlink w:anchor="tPOD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377" w:type="dxa"/>
            <w:tcBorders/>
            <w:vAlign w:val="center"/>
          </w:tcPr>
          <w:p>
            <w:pPr>
              <w:pStyle w:val="TableContents"/>
              <w:bidi w:val="0"/>
              <w:spacing w:before="0" w:after="0"/>
              <w:jc w:val="left"/>
              <w:rPr/>
            </w:pPr>
            <w:hyperlink w:anchor="tLEMA1">
              <w:r>
                <w:rPr>
                  <w:rStyle w:val="InternetLink"/>
                  <w:spacing w:val="4"/>
                </w:rPr>
                <w:t xml:space="preserve">Legal Matters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LEMA1">
              <w:r>
                <w:rPr>
                  <w:rStyle w:val="InternetLink"/>
                  <w:spacing w:val="4"/>
                </w:rPr>
                <w:t>26</w:t>
              </w:r>
            </w:hyperlink>
            <w:hyperlink w:anchor="tLEMA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377" w:type="dxa"/>
            <w:tcBorders/>
            <w:shd w:fill="CCEEFF" w:val="clear"/>
            <w:vAlign w:val="center"/>
          </w:tcPr>
          <w:p>
            <w:pPr>
              <w:pStyle w:val="TableContents"/>
              <w:bidi w:val="0"/>
              <w:spacing w:before="0" w:after="0"/>
              <w:jc w:val="left"/>
              <w:rPr/>
            </w:pPr>
            <w:hyperlink w:anchor="tEXP1">
              <w:r>
                <w:rPr>
                  <w:rStyle w:val="InternetLink"/>
                  <w:spacing w:val="4"/>
                </w:rPr>
                <w:t xml:space="preserve">Experts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EXP1">
              <w:r>
                <w:rPr>
                  <w:rStyle w:val="InternetLink"/>
                  <w:spacing w:val="4"/>
                </w:rPr>
                <w:t>26</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ATP1"/>
      <w:bookmarkEnd w:id="17"/>
      <w:r>
        <w:rPr>
          <w:rFonts w:ascii="calibri;arial;sans-serif" w:hAnsi="calibri;arial;sans-serif"/>
          <w:b w:val="false"/>
          <w:i w:val="false"/>
          <w:caps w:val="false"/>
          <w:smallCaps w:val="false"/>
          <w:color w:val="000000"/>
          <w:sz w:val="16"/>
        </w:rPr>
        <w:t>​</w:t>
      </w:r>
      <w:bookmarkStart w:id="18" w:name="tWYCF1"/>
      <w:bookmarkEnd w:id="18"/>
      <w:r>
        <w:rPr>
          <w:rFonts w:ascii="calibri;arial;sans-serif" w:hAnsi="calibri;arial;sans-serif"/>
          <w:b w:val="false"/>
          <w:i w:val="false"/>
          <w:caps w:val="false"/>
          <w:smallCaps w:val="false"/>
          <w:color w:val="000000"/>
          <w:sz w:val="16"/>
        </w:rPr>
        <w:t>​</w:t>
      </w:r>
      <w:bookmarkStart w:id="19" w:name="tIBR1"/>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we have filed with the U.S. Securities and Exchange Commission (the “SEC”) using a “shelf” registration process. Using this process, we may offer any combination of the securities described in this prospectus in one or more offerings. This prospectus provides you with a general description of the securities we may offer. Each time we use this prospectus to offer securities, we will file a supplement to this prospectus with the SEC that will describe the specific terms of the offering. The prospectus supplement may also add to, update or change the information contained in this prospectus. Before you invest, you should carefully read this prospectus, the applicable prospectus supplement and the information contained in the documents we refer to under the heading “Where You Can Find More Information.”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We have not authorized anyone to provide any information or make any representations other than those contained in this prospectus, any prospectus supplement and any communication from us or any underwriter specifying the final terms of a particular offering. We take no responsibility for, and can provide no assurance as to the reliability of, any other information that others may give you. We are not making an offer of these securities in any jurisdiction where the offer is not permitted. You should not assume that the information contained in this prospectus, any prospectus supplement or any communication from us or any underwriter specifying the final terms of a particular offering is accurate as of any date other than the date on the front of that document. Any information we have incorporated by reference is accurate only as of the date of the document incorporated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References in this prospectus to the terms “we,” “us,” “our” or other similar terms mean CenterPoint Energy, Inc. and its subsidiaries, unless the context clearly indicates otherwise.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Bank of New York Mellon Trust Company, National Association, in each of its capacities referenced herein, including, but not limited to, trustee, purchase contract agent, collateral agent, custodial agent, securities intermediary and paying agent, has not participated in the preparation of this prospectus and assumes no responsibility for its content.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file annual, quarterly and current reports, proxy statements and other information with the SEC. The SEC maintains a website that contains information we file electronically with the SEC, which you can access at </w:t>
      </w:r>
      <w:r>
        <w:rPr>
          <w:rFonts w:ascii="Times New Roman;Times;serif" w:hAnsi="Times New Roman;Times;serif"/>
          <w:b w:val="false"/>
          <w:i/>
          <w:caps w:val="false"/>
          <w:smallCaps w:val="false"/>
          <w:color w:val="000000"/>
          <w:spacing w:val="4"/>
          <w:sz w:val="20"/>
        </w:rPr>
        <w:t>http://www.sec.gov</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Our website is located at </w:t>
      </w:r>
      <w:r>
        <w:rPr>
          <w:rFonts w:ascii="Times New Roman;Times;serif" w:hAnsi="Times New Roman;Times;serif"/>
          <w:b w:val="false"/>
          <w:i/>
          <w:caps w:val="false"/>
          <w:smallCaps w:val="false"/>
          <w:color w:val="000000"/>
          <w:spacing w:val="4"/>
          <w:sz w:val="20"/>
        </w:rPr>
        <w:t>http://investors.centerpointenergy.com</w:t>
      </w:r>
      <w:r>
        <w:rPr>
          <w:rFonts w:ascii="Times New Roman;Times;serif" w:hAnsi="Times New Roman;Times;serif"/>
          <w:b w:val="false"/>
          <w:i w:val="false"/>
          <w:caps w:val="false"/>
          <w:smallCaps w:val="false"/>
          <w:color w:val="000000"/>
          <w:spacing w:val="4"/>
          <w:sz w:val="20"/>
        </w:rPr>
        <w:t xml:space="preserve">. Our Annual Reports on Form 10-K, Quarterly Reports on Form 10-Q, Current Reports on Form 8-K and other filings with the SEC are available, free of charge, through our website, as soon as reasonably practicable after those reports or filings are electronically filed with or furnished to the SEC. Information on our website or any other website is not incorporated by reference in this prospectus and does not constitute a part of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which includes information incorporated by reference (see “Incorporation by Reference” below), is part of a registration statement we have filed with the SEC relating to the securities we may offer. As permitted by SEC rules, this prospectus does not contain all of the information we have included in the registration statement and the accompanying exhibits and schedules we file with the SEC. You may refer to the registration statement, the exhibits and the schedules for more information about us and our securities. The registration statement, exhibits and schedules are available through the SEC’s website.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“incorporating by reference” into this prospectus certain information we file with the SEC. This means we are disclosing important information to you by referring you to the documents containing the information. The information we incorporate by reference is considered to be part of this prospectus. Information that we file later with the SEC that is deemed incorporated by reference into this prospectus (which does not include information deemed pursuant to the SEC’s rules to be furnished to and not filed with the SEC) will automatically update and supersede information previously included.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96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incorporating by reference into this prospectus the documents listed below and any subsequent filings we make with the SEC under Sections 13(a), 13(c), 14 or 15(d) of the Securities Exchange Act of 1934, as amended, (excluding information deemed pursuant to the SEC’s rules to be furnished and not filed with the SEC) until all the securities are sold: </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Annual Report on </w:t>
      </w:r>
      <w:hyperlink r:id="rId16">
        <w:r>
          <w:rPr>
            <w:rStyle w:val="InternetLink"/>
          </w:rPr>
          <w:t>Form 10-K</w:t>
        </w:r>
      </w:hyperlink>
      <w:r>
        <w:rPr>
          <w:rFonts w:ascii="Times New Roman;Times;serif" w:hAnsi="Times New Roman;Times;serif"/>
          <w:b w:val="false"/>
          <w:i w:val="false"/>
          <w:caps w:val="false"/>
          <w:smallCaps w:val="false"/>
          <w:color w:val="000000"/>
          <w:spacing w:val="4"/>
          <w:sz w:val="20"/>
        </w:rPr>
        <w:t xml:space="preserve"> for the fiscal year ended December 31, 2025, including the portions of our definitive proxy statement filed on </w:t>
      </w:r>
      <w:hyperlink r:id="rId17">
        <w:r>
          <w:rPr>
            <w:rStyle w:val="InternetLink"/>
          </w:rPr>
          <w:t>Schedule 14A</w:t>
        </w:r>
      </w:hyperlink>
      <w:r>
        <w:rPr>
          <w:rFonts w:ascii="Times New Roman;Times;serif" w:hAnsi="Times New Roman;Times;serif"/>
          <w:b w:val="false"/>
          <w:i w:val="false"/>
          <w:caps w:val="false"/>
          <w:smallCaps w:val="false"/>
          <w:color w:val="000000"/>
          <w:spacing w:val="4"/>
          <w:sz w:val="20"/>
        </w:rPr>
        <w:t xml:space="preserve"> on March 4, 2026 that are specifically incorporated by reference therein; </w:t>
      </w:r>
      <w:r>
        <mc:AlternateContent>
          <mc:Choice Requires="wps">
            <w:drawing>
              <wp:anchor behindDoc="0" distT="7620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29"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Quarterly Report on </w:t>
      </w:r>
      <w:hyperlink r:id="rId18">
        <w:r>
          <w:rPr>
            <w:rStyle w:val="InternetLink"/>
          </w:rPr>
          <w:t>Form 10-Q</w:t>
        </w:r>
      </w:hyperlink>
      <w:r>
        <w:rPr>
          <w:rFonts w:ascii="Times New Roman;Times;serif" w:hAnsi="Times New Roman;Times;serif"/>
          <w:b w:val="false"/>
          <w:i w:val="false"/>
          <w:caps w:val="false"/>
          <w:smallCaps w:val="false"/>
          <w:color w:val="000000"/>
          <w:spacing w:val="4"/>
          <w:sz w:val="20"/>
        </w:rPr>
        <w:t xml:space="preserve"> for the quarter ended March 31, 2026; </w:t>
      </w:r>
      <w:r>
        <mc:AlternateContent>
          <mc:Choice Requires="wps">
            <w:drawing>
              <wp:anchor behindDoc="0" distT="7620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30"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Current Reports on Form 8-K filed with the SEC on </w:t>
      </w:r>
      <w:hyperlink r:id="rId19">
        <w:r>
          <w:rPr>
            <w:rStyle w:val="InternetLink"/>
          </w:rPr>
          <w:t>February 12, 2026</w:t>
        </w:r>
      </w:hyperlink>
      <w:r>
        <w:rPr>
          <w:rFonts w:ascii="Times New Roman;Times;serif" w:hAnsi="Times New Roman;Times;serif"/>
          <w:b w:val="false"/>
          <w:i w:val="false"/>
          <w:caps w:val="false"/>
          <w:smallCaps w:val="false"/>
          <w:color w:val="000000"/>
          <w:spacing w:val="4"/>
          <w:sz w:val="20"/>
        </w:rPr>
        <w:t xml:space="preserve">, </w:t>
      </w:r>
      <w:hyperlink r:id="rId20">
        <w:r>
          <w:rPr>
            <w:rStyle w:val="InternetLink"/>
          </w:rPr>
          <w:t>February 23, 2026</w:t>
        </w:r>
      </w:hyperlink>
      <w:r>
        <w:rPr>
          <w:rFonts w:ascii="Times New Roman;Times;serif" w:hAnsi="Times New Roman;Times;serif"/>
          <w:b w:val="false"/>
          <w:i w:val="false"/>
          <w:caps w:val="false"/>
          <w:smallCaps w:val="false"/>
          <w:color w:val="000000"/>
          <w:spacing w:val="4"/>
          <w:sz w:val="20"/>
        </w:rPr>
        <w:t xml:space="preserve">, </w:t>
      </w:r>
      <w:hyperlink r:id="rId21">
        <w:r>
          <w:rPr>
            <w:rStyle w:val="InternetLink"/>
          </w:rPr>
          <w:t>February 26, 2026</w:t>
        </w:r>
      </w:hyperlink>
      <w:r>
        <w:rPr>
          <w:rFonts w:ascii="Times New Roman;Times;serif" w:hAnsi="Times New Roman;Times;serif"/>
          <w:b w:val="false"/>
          <w:i w:val="false"/>
          <w:caps w:val="false"/>
          <w:smallCaps w:val="false"/>
          <w:color w:val="000000"/>
          <w:spacing w:val="4"/>
          <w:sz w:val="20"/>
        </w:rPr>
        <w:t xml:space="preserve"> and </w:t>
      </w:r>
      <w:hyperlink r:id="rId22">
        <w:r>
          <w:rPr>
            <w:rStyle w:val="InternetLink"/>
          </w:rPr>
          <w:t>April 17, 2026</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620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31"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description of our common stock contained in </w:t>
      </w:r>
      <w:hyperlink r:id="rId23">
        <w:r>
          <w:rPr>
            <w:rStyle w:val="InternetLink"/>
          </w:rPr>
          <w:t>Exhibit 4(t)</w:t>
        </w:r>
      </w:hyperlink>
      <w:r>
        <w:rPr>
          <w:rFonts w:ascii="Times New Roman;Times;serif" w:hAnsi="Times New Roman;Times;serif"/>
          <w:b w:val="false"/>
          <w:i w:val="false"/>
          <w:caps w:val="false"/>
          <w:smallCaps w:val="false"/>
          <w:color w:val="000000"/>
          <w:spacing w:val="4"/>
          <w:sz w:val="20"/>
        </w:rPr>
        <w:t xml:space="preserve"> to our Annual Report on Form 10-K for the fiscal year ended December 31, 2025, including any amendments or reports filed for the purpose of updating such description. </w:t>
      </w:r>
      <w:r>
        <mc:AlternateContent>
          <mc:Choice Requires="wps">
            <w:drawing>
              <wp:anchor behindDoc="0" distT="7620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32"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also obtain a copy of our filings with the SEC at no cost by writing to or telephoning us at the following address: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CenterPoint Energy, Inc.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Attn: Investor Relations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P.O. Box 4567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Houston, Texas 77210-4567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(713) 207-6500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ACEI1"/>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2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CENTERPOINT ENERGY,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public utility holding company. Our operating subsidiaries own and operate electric transmission, distribution and generation facilities and natural gas distribution systems. As of the date of this prospectus, our indirect, wholly-owned operating subsidiaries include: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CenterPoint Energy Houston Electric, LLC (“Houston Electric”), which provides electric transmission service to transmission service customers in the Electric Reliability Council of Texas region and distribution service to retail electric providers (“REPs”) serving the Texas Gulf Coast area that includes the city of Houston. Houston Electric has variable interest entities (“VIEs”), including CenterPoint Energy Transition Bond Company IV, LLC (“Transition Bond Company IV”), Restoration Bond Company II, LLC and Restoration Bond Company III, LLC, which are consolidated. The consolidated VIEs are wholly-owned bankruptcy-remote, special purpose entities that were formed solely for the purpose of securitizing transition property or system restoration property through the issuance of transition bonds or system restoration bonds and conducting activities incidental thereto. On October 15, 2024, Transition Bond Company IV repaid in full its last outstanding transition bonds at maturity. </w:t>
      </w:r>
      <w:r>
        <mc:AlternateContent>
          <mc:Choice Requires="wps">
            <w:drawing>
              <wp:anchor behindDoc="0" distT="7620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33"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CenterPoint Energy Resources Corp. (“CERC Corp.”), which (i) directly owns and operates natural gas distribution systems in Minnesota and Texas; (ii) indirectly, through Indiana Gas Company, Inc. and Vectren Energy Delivery of Ohio, LLC (“CEOH”), owns and operates natural gas distribution systems in Indiana and Ohio, respectively, and (iii) owns and operates permanent pipeline connections through interconnects with various interstate and intrastate pipeline companies through CenterPoint Energy Intrastate Pipelines, LLC. On October 20, 2025, CERC Corp. entered into a purchase agreement to sell all of the issued and outstanding equity interests of CEOH. The transaction is expected to close in the fourth quarter of 2026, subject to the satisfaction of customary closing conditions. </w:t>
      </w:r>
      <w:r>
        <mc:AlternateContent>
          <mc:Choice Requires="wps">
            <w:drawing>
              <wp:anchor behindDoc="0" distT="7620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34"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Southern Indiana Gas and Electric Company (“SIGECO”), which provides energy delivery services to electric and natural gas customers located in and near Evansville in southwestern Indiana and owns and operates electric generation assets to serve its electric customers and optimizes those assets in the wholesale power market. SIGECO has a VIE, SIGECO Securitization I, LLC, which is consolidated. This consolidated VIE is a wholly-owned bankruptcy-remote, special purpose entity that was formed solely for the purpose of facilitating the securitization financing of qualified costs. </w:t>
      </w:r>
      <w:r>
        <mc:AlternateContent>
          <mc:Choice Requires="wps">
            <w:drawing>
              <wp:anchor behindDoc="0" distT="7620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35"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principal executive offices are located at 1111 Louisiana Street, Houston, Texas 77002 (telephone number: (713) 207-1111).</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RIFA1"/>
      <w:bookmarkEnd w:id="21"/>
      <w:r>
        <w:rPr>
          <w:rFonts w:ascii="calibri;arial;sans-serif" w:hAnsi="calibri;arial;sans-serif"/>
          <w:b w:val="false"/>
          <w:i w:val="false"/>
          <w:caps w:val="false"/>
          <w:smallCaps w:val="false"/>
          <w:color w:val="000000"/>
          <w:sz w:val="16"/>
        </w:rPr>
        <w:t>​</w:t>
      </w:r>
      <w:bookmarkStart w:id="22" w:name="tCSRF1"/>
      <w:bookmarkEnd w:id="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businesses are influenced by many factors that are difficult to predict and that involve uncertainties that may materially affect actual operating results, cash flows and financial condition. These risk factors include those described as such in the documents that are incorporated by reference in this prospectus (which risk factors are incorporated herein by reference), and could include additional uncertainties not presently known to us or that we currently do not consider material. Before making an investment decision, you should carefully consider these risks as well as any other information we include or incorporate by reference in this prospectus or include in any applicable prospectus supplement.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STATEMENT REGARDING FORWARD-LOOKING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this prospectus, including the information we incorporate by reference, we make statements concerning our expectations, beliefs, plans, objectives, goals, strategies, future events or performance and underlying assumptions and other statements that are not historical facts. These statements are “forward-looking statements” within the meaning of the Private Securities Litigation Reform Act of 1995. Actual results may differ materially from those expressed or implied by these statements. You can generally identify our forward-looking statements by the words “anticipate,” “believe,” “continue,” “could,” “estimate,” “expect,” “forecast,” “goal,” “intend,” “may,” “objective,” “plan,” “potential,” “predict,” “projection,” “should,” “target,” “will” or other similar words.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based our forward-looking statements on our management’s beliefs and assumptions based on information reasonably available to our management at the time the statements are made. We caution you that assumptions, beliefs, expectations, intentions and projections about future events may and often do vary materially from actual results. Therefore, we cannot assure you that actual results will not differ materially from those expressed or implied by our forward-looking statements.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are some of the factors that could cause actual results to differ from those expressed or implied by our forward-looking statements: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business strategies and strategic initiatives, restructurings, joint ventures and acquisitions or dispositions of assets or businesses involving us or our industry, including the ability to successfully complete such strategies, initiatives, transactions or plans on the timelines we expect or at all, such as the announced sale of our Ohio natural gas local distribution company business, which we cannot assure will have the anticipated benefits to us; </w:t>
      </w:r>
      <w:r>
        <mc:AlternateContent>
          <mc:Choice Requires="wps">
            <w:drawing>
              <wp:anchor behindDoc="0" distT="7493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36"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industrial, commercial and residential growth in our service territories and changes in market demand and energy consumption, including in relation to the expansion of data centers (associated with, among other things, increasing demand for artificial intelligence (“AI”)), energy refining and exports, advanced manufacturing and logistics, as well as the effects of energy efficiency measures, technological advances and demographic patterns, and our ability to appropriately estimate/forecast and effectively manage such demand and the business opportunities and projects relating to such matters as well as obtain the anticipated benefits, including relating to customer affordability, associated with such growth; </w:t>
      </w:r>
      <w:r>
        <mc:AlternateContent>
          <mc:Choice Requires="wps">
            <w:drawing>
              <wp:anchor behindDoc="0" distT="74930" distB="0" distL="254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37"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fund and invest planned capital and the timely recovery of our investments, including the timing of and amounts sought for those related to our 10-year capital plan; </w:t>
      </w:r>
      <w:r>
        <mc:AlternateContent>
          <mc:Choice Requires="wps">
            <w:drawing>
              <wp:anchor behindDoc="0" distT="7620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138"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execute and complete our planned capital projects and programs, including those within our 10-year capital plan, in a timely and cost-effective manner and within budget, obtain the anticipated benefits of such projects, and manage costs and impacts of such projects on customer affordability; </w:t>
      </w:r>
      <w:r>
        <mc:AlternateContent>
          <mc:Choice Requires="wps">
            <w:drawing>
              <wp:anchor behindDoc="0" distT="76200" distB="0" distL="254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139"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successfully construct, operate, repair, maintain, replace and restart electric generating facilities, natural gas facilities, temporary emergency electric energy facilities (“TEEEF”) and electric transmission facilities, as applicable, including in the event of an outage and in relation to complying with applicable environmental, reliability and safety standards; </w:t>
      </w:r>
      <w:r>
        <mc:AlternateContent>
          <mc:Choice Requires="wps">
            <w:drawing>
              <wp:anchor behindDoc="0" distT="7620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40"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timely and appropriate rate actions that allow and authorize timely recovery of costs and a reasonable return on investment, including the timing of and amounts sought for recovery of Houston Electric’s </w:t>
      </w:r>
      <w:r>
        <mc:AlternateContent>
          <mc:Choice Requires="wps">
            <w:drawing>
              <wp:anchor behindDoc="0" distT="7620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41"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applicable TEEEF leases and restoration costs relating to, among other things, Hurricane Beryl, and requested or favorable adjustments to rates and approval of other requested items as part of base rate proceedings or interim rate mechanisms;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timing and success of, and our ability to obtain approval for matters relating to, Houston Electric’s release of its large TEEEF units to the San Antonio area, proposed removal of its medium TEEEF units, reduction of its TEEEF fleet capacity and reduction of rates to reflect the removal of the large and medium TEEEF units from Houston Electric’s TEEEF fleet, as well as Houston Electric’s ability to complete one or more other future transactions involving the large and medium TEEEF units on acceptable terms and conditions within the anticipated timeframe; </w:t>
      </w:r>
      <w:r>
        <mc:AlternateContent>
          <mc:Choice Requires="wps">
            <w:drawing>
              <wp:anchor behindDoc="0" distT="8001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42"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economic conditions in regional and national markets, including economic uncertainty and volatility, potential for recession, changes to and increases in inflation and interest rates, and their effect on sales, prices and costs; </w:t>
      </w:r>
      <w:r>
        <mc:AlternateContent>
          <mc:Choice Requires="wps">
            <w:drawing>
              <wp:anchor behindDoc="0" distT="8001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43"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severe weather events, natural disasters and other climate-related impacts, including the impact of severe weather events on operations, capital, legislation and/or regulations, such as seen in connection with the extreme and unprecedented winter weather event in February 2021 that resulted in electricity generation supply shortages, including in Texas, and natural gas supply shortages and increased wholesale prices of natural gas in the United States, primarily due to prolonged freezing temperatures (“February 2021 Winter Storm Event”), the sudden and destructive severe weather events in May 2024 that included hurricane-like winds and tornadoes and resulted in widespread damage to Houston Electric’s electric delivery system and Hurricane Beryl; </w:t>
      </w:r>
      <w:r>
        <mc:AlternateContent>
          <mc:Choice Requires="wps">
            <w:drawing>
              <wp:anchor behindDoc="0" distT="8001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44"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volatility in the markets for natural gas as a result of, among other factors, inflation, adverse weather conditions, supply and demand changes, availability of competitively priced alternative energy sources, political and geopolitical instability, commodity production levels and storage capacity, energy and environmental legislation and regulation and economic and financial market conditions; </w:t>
      </w:r>
      <w:r>
        <mc:AlternateContent>
          <mc:Choice Requires="wps">
            <w:drawing>
              <wp:anchor behindDoc="0" distT="7874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45"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non-payment for our services due to financial distress of our customers and the ability of our customers, including REPs, to satisfy their obligations to us, Houston Electric and CERC Corp., and the negative impact on such ability related to adverse economic conditions and severe weather events; </w:t>
      </w:r>
      <w:r>
        <mc:AlternateContent>
          <mc:Choice Requires="wps">
            <w:drawing>
              <wp:anchor behindDoc="0" distT="7874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46"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public health threats, and their effect on our operations, business and financial condition, our industries and the communities we serve, U.S. and world financial markets and supply chains, potential regulatory actions and changes in customer and stakeholder behavior relating thereto; </w:t>
      </w:r>
      <w:r>
        <mc:AlternateContent>
          <mc:Choice Requires="wps">
            <w:drawing>
              <wp:anchor behindDoc="0" distT="7874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47"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federal, state and local legislative, executive and regulatory actions or developments affecting various aspects of our businesses, including, among others, any actions resulting from Hurricane Beryl, energy deregulation or re-regulation, pipeline integrity and safety, actions relating to our facilities and changes in regulation, legislation and governmental action pertaining to the utility model, trade (including tariffs, bans, retaliatory trade measures taken against the United States or related governmental action), the implementation of budget and spending cuts to federal government agencies and programs, effects of government shutdowns, policies incentivizing or disincentivizing the development or utilization of alternative sources of generation (including distributed generation), health care, finance and actions regarding the rates charged by our regulated businesses; </w:t>
      </w:r>
      <w:r>
        <mc:AlternateContent>
          <mc:Choice Requires="wps">
            <w:drawing>
              <wp:anchor behindDoc="0" distT="78740" distB="0" distL="254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148" name="Frame1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disruptions to the global supply chain, inflation, labor shortages and scarcity of certain materials, including as a result of changes in U.S. and foreign trade policy, economic uncertainty, regulatory and policy instability, political and geopolitical uncertainty and instability, including the conflict involving Iran, severe weather and other catastrophic events, changes in laws, executive orders, legislation and other governmental action, increased competition for skilled labor and increases in demand for electricity, that could prevent us from securing the resources and labor needed to, among other things, fully execute on its strategy and 10-year capital plan, and otherwise impact the affordability of our rates for our customers; </w:t>
      </w:r>
      <w:r>
        <mc:AlternateContent>
          <mc:Choice Requires="wps">
            <w:drawing>
              <wp:anchor behindDoc="0" distT="78740" distB="0" distL="254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right"/>
                <wp:docPr id="149"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operations and maintenance costs, our ability to control such costs and cost-related impacts on the affordability of our rates for our customers; </w:t>
      </w:r>
      <w:r>
        <mc:AlternateContent>
          <mc:Choice Requires="wps">
            <w:drawing>
              <wp:anchor behindDoc="0" distT="78740" distB="0" distL="254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right"/>
                <wp:docPr id="150" name="Frame1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timely obtain and maintain necessary land rights, licenses, permits, easements and approvals from landowners and local, federal and other regulatory authorities on acceptable terms and resolve disputes or third-party challenges to such licenses, permits or approvals as applicable; </w:t>
      </w:r>
      <w:r>
        <mc:AlternateContent>
          <mc:Choice Requires="wps">
            <w:drawing>
              <wp:anchor behindDoc="0" distT="0" distB="0" distL="254000" distR="0" simplePos="0" locked="0" layoutInCell="1" allowOverlap="1" relativeHeight="152">
                <wp:simplePos x="0" y="0"/>
                <wp:positionH relativeFrom="column">
                  <wp:align>left</wp:align>
                </wp:positionH>
                <wp:positionV relativeFrom="line">
                  <wp:posOffset>635</wp:posOffset>
                </wp:positionV>
                <wp:extent cx="127000" cy="350520"/>
                <wp:effectExtent l="0" t="0" r="0" b="0"/>
                <wp:wrapSquare wrapText="right"/>
                <wp:docPr id="151"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 or indirect effects on our facilities, resources, operations, reputation and financial condition resulting from terrorism, vandalism, cyberattacks or intrusions, data security breaches or other security incidents, threats or attempts to disrupt our businesses or the businesses of supply chain stakeholders (including by foreign actors), or other catastrophic events such as fires, earthquakes, explosions, leaks, floods, droughts, hurricanes, tornadoes, derecho events, ice storms and other severe weather events, wildfires, pandemic health events, geopolitical conflict, civil unrest or other occurrences; </w:t>
      </w:r>
      <w:r>
        <mc:AlternateContent>
          <mc:Choice Requires="wps">
            <w:drawing>
              <wp:anchor behindDoc="0" distT="74930" distB="0" distL="254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152"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negative opinions of us or our utility services that our customers, investors, legislators, regulators, creditors, rating agencies or other stakeholders may have or develop, which could result from a variety of factors, including actual or perceived failures in system reliability and safety, the speed of our response to service interruptions, rates and customer affordability, our ability to successfully execute our capital plan, media coverage and actions by third parties; </w:t>
      </w:r>
      <w:r>
        <mc:AlternateContent>
          <mc:Choice Requires="wps">
            <w:drawing>
              <wp:anchor behindDoc="0" distT="7493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53"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damages to our network, facilities and systems, including as a result of wildfires, as well as to third-party property resulting in outages or shortages in our service territories, and losses in excess of insurance liability coverage; </w:t>
      </w:r>
      <w:r>
        <mc:AlternateContent>
          <mc:Choice Requires="wps">
            <w:drawing>
              <wp:anchor behindDoc="0" distT="76200" distB="0" distL="254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right"/>
                <wp:docPr id="154" name="Frame1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 legislation and guidance and any changes in tax laws under the current or future administrations, including any further changes to or clarification of the Inflation Reduction Act of 2022 or the One Big Beautiful Bill Act, and any potential changes to tax rates, Corporate Alternative Minimum Tax imposed, tax credits and/or interest deductibility, as well as uncertainties involving state commissions’ and local municipalities’ regulatory requirements and determinations regarding the treatment of excess deferred income taxes and our rates; </w:t>
      </w:r>
      <w:r>
        <mc:AlternateContent>
          <mc:Choice Requires="wps">
            <w:drawing>
              <wp:anchor behindDoc="0" distT="76200" distB="0" distL="254000" distR="0" simplePos="0" locked="0" layoutInCell="1" allowOverlap="1" relativeHeight="156">
                <wp:simplePos x="0" y="0"/>
                <wp:positionH relativeFrom="column">
                  <wp:align>left</wp:align>
                </wp:positionH>
                <wp:positionV relativeFrom="line">
                  <wp:align>top</wp:align>
                </wp:positionV>
                <wp:extent cx="127000" cy="350520"/>
                <wp:effectExtent l="0" t="0" r="0" b="0"/>
                <wp:wrapSquare wrapText="right"/>
                <wp:docPr id="155" name="Frame1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mitigate weather impacts through normalization or rate mechanisms, and the effectiveness of such mechanisms; </w:t>
      </w:r>
      <w:r>
        <mc:AlternateContent>
          <mc:Choice Requires="wps">
            <w:drawing>
              <wp:anchor behindDoc="0" distT="76200" distB="0" distL="254000" distR="0" simplePos="0" locked="0" layoutInCell="1" allowOverlap="1" relativeHeight="157">
                <wp:simplePos x="0" y="0"/>
                <wp:positionH relativeFrom="column">
                  <wp:align>left</wp:align>
                </wp:positionH>
                <wp:positionV relativeFrom="line">
                  <wp:align>top</wp:align>
                </wp:positionV>
                <wp:extent cx="127000" cy="350520"/>
                <wp:effectExtent l="0" t="0" r="0" b="0"/>
                <wp:wrapSquare wrapText="right"/>
                <wp:docPr id="156" name="Frame1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actions by credit rating agencies, including any potential downgrades to credit ratings; </w:t>
      </w:r>
      <w:r>
        <mc:AlternateContent>
          <mc:Choice Requires="wps">
            <w:drawing>
              <wp:anchor behindDoc="0" distT="76200" distB="0" distL="254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right"/>
                <wp:docPr id="157" name="Frame1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local, state and federal legislative, executive and regulatory actions or developments relating to the environment, including, among others, those related to global climate risk, air emissions, greenhouse gas emissions, carbon emissions, wastewater discharges and the handling and disposal of coal combustion residuals that could impact operations, cost recovery of generation plant costs and related assets, and our energy transition goals; </w:t>
      </w:r>
      <w:r>
        <mc:AlternateContent>
          <mc:Choice Requires="wps">
            <w:drawing>
              <wp:anchor behindDoc="0" distT="76200" distB="0" distL="254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right"/>
                <wp:docPr id="158" name="Frame1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unplanned facility outages or other closures; </w:t>
      </w:r>
      <w:r>
        <mc:AlternateContent>
          <mc:Choice Requires="wps">
            <w:drawing>
              <wp:anchor behindDoc="0" distT="76200" distB="0" distL="254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right"/>
                <wp:docPr id="159" name="Frame1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sufficiency of our insurance coverage, including availability, cost, coverage and terms and ability to recover claims; </w:t>
      </w:r>
      <w:r>
        <mc:AlternateContent>
          <mc:Choice Requires="wps">
            <w:drawing>
              <wp:anchor behindDoc="0" distT="76200" distB="0" distL="254000" distR="0" simplePos="0" locked="0" layoutInCell="1" allowOverlap="1" relativeHeight="161">
                <wp:simplePos x="0" y="0"/>
                <wp:positionH relativeFrom="column">
                  <wp:align>left</wp:align>
                </wp:positionH>
                <wp:positionV relativeFrom="line">
                  <wp:align>top</wp:align>
                </wp:positionV>
                <wp:extent cx="127000" cy="350520"/>
                <wp:effectExtent l="0" t="0" r="0" b="0"/>
                <wp:wrapSquare wrapText="right"/>
                <wp:docPr id="160" name="Frame1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impacts from our pension and postretirement benefit plans, such as the investment performance and increases to net periodic costs as a result of plan settlements and changes in assumptions, including discount rates; </w:t>
      </w:r>
      <w:r>
        <mc:AlternateContent>
          <mc:Choice Requires="wps">
            <w:drawing>
              <wp:anchor behindDoc="0" distT="76200" distB="0" distL="254000" distR="0" simplePos="0" locked="0" layoutInCell="1" allowOverlap="1" relativeHeight="162">
                <wp:simplePos x="0" y="0"/>
                <wp:positionH relativeFrom="column">
                  <wp:align>left</wp:align>
                </wp:positionH>
                <wp:positionV relativeFrom="line">
                  <wp:align>top</wp:align>
                </wp:positionV>
                <wp:extent cx="127000" cy="350520"/>
                <wp:effectExtent l="0" t="0" r="0" b="0"/>
                <wp:wrapSquare wrapText="right"/>
                <wp:docPr id="161" name="Frame1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interest rates and their impact on costs of borrowing and the valuation of our pension benefit obligation; </w:t>
      </w:r>
      <w:r>
        <mc:AlternateContent>
          <mc:Choice Requires="wps">
            <w:drawing>
              <wp:anchor behindDoc="0" distT="76200" distB="0" distL="254000" distR="0" simplePos="0" locked="0" layoutInCell="1" allowOverlap="1" relativeHeight="163">
                <wp:simplePos x="0" y="0"/>
                <wp:positionH relativeFrom="column">
                  <wp:align>left</wp:align>
                </wp:positionH>
                <wp:positionV relativeFrom="line">
                  <wp:align>top</wp:align>
                </wp:positionV>
                <wp:extent cx="127000" cy="350520"/>
                <wp:effectExtent l="0" t="0" r="0" b="0"/>
                <wp:wrapSquare wrapText="right"/>
                <wp:docPr id="162" name="Frame1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commercial bank and financial market conditions, including disruptions in the banking industry, our access to capital, the cost of such capital, the results of our financing and refinancing efforts, including availability of funds in the capital markets, and impacts on our vendors, customers and suppliers; </w:t>
      </w:r>
      <w:r>
        <mc:AlternateContent>
          <mc:Choice Requires="wps">
            <w:drawing>
              <wp:anchor behindDoc="0" distT="76200" distB="0" distL="254000" distR="0" simplePos="0" locked="0" layoutInCell="1" allowOverlap="1" relativeHeight="164">
                <wp:simplePos x="0" y="0"/>
                <wp:positionH relativeFrom="column">
                  <wp:align>left</wp:align>
                </wp:positionH>
                <wp:positionV relativeFrom="line">
                  <wp:align>top</wp:align>
                </wp:positionV>
                <wp:extent cx="127000" cy="350520"/>
                <wp:effectExtent l="0" t="0" r="0" b="0"/>
                <wp:wrapSquare wrapText="right"/>
                <wp:docPr id="163" name="Frame1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inability of various counterparties to meet their obligations to us; </w:t>
      </w:r>
      <w:r>
        <mc:AlternateContent>
          <mc:Choice Requires="wps">
            <w:drawing>
              <wp:anchor behindDoc="0" distT="76200" distB="0" distL="254000" distR="0" simplePos="0" locked="0" layoutInCell="1" allowOverlap="1" relativeHeight="165">
                <wp:simplePos x="0" y="0"/>
                <wp:positionH relativeFrom="column">
                  <wp:align>left</wp:align>
                </wp:positionH>
                <wp:positionV relativeFrom="line">
                  <wp:align>top</wp:align>
                </wp:positionV>
                <wp:extent cx="127000" cy="350520"/>
                <wp:effectExtent l="0" t="0" r="0" b="0"/>
                <wp:wrapSquare wrapText="right"/>
                <wp:docPr id="164" name="Frame1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extent and effectiveness of our risk management activities; </w:t>
      </w:r>
      <w:r>
        <mc:AlternateContent>
          <mc:Choice Requires="wps">
            <w:drawing>
              <wp:anchor behindDoc="0" distT="76200" distB="0" distL="254000" distR="0" simplePos="0" locked="0" layoutInCell="1" allowOverlap="1" relativeHeight="166">
                <wp:simplePos x="0" y="0"/>
                <wp:positionH relativeFrom="column">
                  <wp:align>left</wp:align>
                </wp:positionH>
                <wp:positionV relativeFrom="line">
                  <wp:align>top</wp:align>
                </wp:positionV>
                <wp:extent cx="127000" cy="350520"/>
                <wp:effectExtent l="0" t="0" r="0" b="0"/>
                <wp:wrapSquare wrapText="right"/>
                <wp:docPr id="165" name="Frame1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timely and appropriate regulatory actions, which include actions allowing requested securitization for any hurricanes or other severe weather events, such as Hurricane Beryl, or natural disasters or other amounts sought for recovery of costs, including stranded coal-fired generation asset costs; </w:t>
      </w:r>
      <w:r>
        <mc:AlternateContent>
          <mc:Choice Requires="wps">
            <w:drawing>
              <wp:anchor behindDoc="0" distT="76200" distB="0" distL="254000" distR="0" simplePos="0" locked="0" layoutInCell="1" allowOverlap="1" relativeHeight="167">
                <wp:simplePos x="0" y="0"/>
                <wp:positionH relativeFrom="column">
                  <wp:align>left</wp:align>
                </wp:positionH>
                <wp:positionV relativeFrom="line">
                  <wp:align>top</wp:align>
                </wp:positionV>
                <wp:extent cx="127000" cy="350520"/>
                <wp:effectExtent l="0" t="0" r="0" b="0"/>
                <wp:wrapSquare wrapText="right"/>
                <wp:docPr id="166" name="Frame1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28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attract, effectively transition, motivate and retain an appropriately qualified workforce, identify and develop top talent to succeed management and maintain good labor relations; </w:t>
      </w:r>
      <w:r>
        <mc:AlternateContent>
          <mc:Choice Requires="wps">
            <w:drawing>
              <wp:anchor behindDoc="0" distT="0" distB="0" distL="254000" distR="0" simplePos="0" locked="0" layoutInCell="1" allowOverlap="1" relativeHeight="168">
                <wp:simplePos x="0" y="0"/>
                <wp:positionH relativeFrom="column">
                  <wp:align>left</wp:align>
                </wp:positionH>
                <wp:positionV relativeFrom="line">
                  <wp:posOffset>635</wp:posOffset>
                </wp:positionV>
                <wp:extent cx="127000" cy="350520"/>
                <wp:effectExtent l="0" t="0" r="0" b="0"/>
                <wp:wrapSquare wrapText="right"/>
                <wp:docPr id="167" name="Frame1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technology, including with respect to efficient battery storage or the emergence or growth of new, developing or alternative sources of generation, and their adoption by consumers, and our ability to anticipate, adapt to and implement technological changes; </w:t>
      </w:r>
      <w:r>
        <mc:AlternateContent>
          <mc:Choice Requires="wps">
            <w:drawing>
              <wp:anchor behindDoc="0" distT="76200" distB="0" distL="254000" distR="0" simplePos="0" locked="0" layoutInCell="1" allowOverlap="1" relativeHeight="169">
                <wp:simplePos x="0" y="0"/>
                <wp:positionH relativeFrom="column">
                  <wp:align>left</wp:align>
                </wp:positionH>
                <wp:positionV relativeFrom="line">
                  <wp:align>top</wp:align>
                </wp:positionV>
                <wp:extent cx="127000" cy="350520"/>
                <wp:effectExtent l="0" t="0" r="0" b="0"/>
                <wp:wrapSquare wrapText="right"/>
                <wp:docPr id="168" name="Frame1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advances in AI and our success in timely adopting, developing and deploying AI; </w:t>
      </w:r>
      <w:r>
        <mc:AlternateContent>
          <mc:Choice Requires="wps">
            <w:drawing>
              <wp:anchor behindDoc="0" distT="76200" distB="0" distL="254000" distR="0" simplePos="0" locked="0" layoutInCell="1" allowOverlap="1" relativeHeight="170">
                <wp:simplePos x="0" y="0"/>
                <wp:positionH relativeFrom="column">
                  <wp:align>left</wp:align>
                </wp:positionH>
                <wp:positionV relativeFrom="line">
                  <wp:align>top</wp:align>
                </wp:positionV>
                <wp:extent cx="127000" cy="350520"/>
                <wp:effectExtent l="0" t="0" r="0" b="0"/>
                <wp:wrapSquare wrapText="right"/>
                <wp:docPr id="169" name="Frame1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timing and outcome of any audits, disputes and other proceedings related to taxes; </w:t>
      </w:r>
      <w:r>
        <mc:AlternateContent>
          <mc:Choice Requires="wps">
            <w:drawing>
              <wp:anchor behindDoc="0" distT="76200" distB="0" distL="254000" distR="0" simplePos="0" locked="0" layoutInCell="1" allowOverlap="1" relativeHeight="171">
                <wp:simplePos x="0" y="0"/>
                <wp:positionH relativeFrom="column">
                  <wp:align>left</wp:align>
                </wp:positionH>
                <wp:positionV relativeFrom="line">
                  <wp:align>top</wp:align>
                </wp:positionV>
                <wp:extent cx="127000" cy="350520"/>
                <wp:effectExtent l="0" t="0" r="0" b="0"/>
                <wp:wrapSquare wrapText="right"/>
                <wp:docPr id="170" name="Frame1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recording of impairment charges; </w:t>
      </w:r>
      <w:r>
        <mc:AlternateContent>
          <mc:Choice Requires="wps">
            <w:drawing>
              <wp:anchor behindDoc="0" distT="76200" distB="0" distL="254000" distR="0" simplePos="0" locked="0" layoutInCell="1" allowOverlap="1" relativeHeight="172">
                <wp:simplePos x="0" y="0"/>
                <wp:positionH relativeFrom="column">
                  <wp:align>left</wp:align>
                </wp:positionH>
                <wp:positionV relativeFrom="line">
                  <wp:align>top</wp:align>
                </wp:positionV>
                <wp:extent cx="127000" cy="350520"/>
                <wp:effectExtent l="0" t="0" r="0" b="0"/>
                <wp:wrapSquare wrapText="right"/>
                <wp:docPr id="171" name="Frame1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political and economic developments and actions, including energy and environmental policies under the current administration; </w:t>
      </w:r>
      <w:r>
        <mc:AlternateContent>
          <mc:Choice Requires="wps">
            <w:drawing>
              <wp:anchor behindDoc="0" distT="76200" distB="0" distL="254000" distR="0" simplePos="0" locked="0" layoutInCell="1" allowOverlap="1" relativeHeight="173">
                <wp:simplePos x="0" y="0"/>
                <wp:positionH relativeFrom="column">
                  <wp:align>left</wp:align>
                </wp:positionH>
                <wp:positionV relativeFrom="line">
                  <wp:align>top</wp:align>
                </wp:positionV>
                <wp:extent cx="127000" cy="350520"/>
                <wp:effectExtent l="0" t="0" r="0" b="0"/>
                <wp:wrapSquare wrapText="right"/>
                <wp:docPr id="172" name="Frame1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execute on our strategy, initiatives, targets and goals, including energy transition goals and operations and maintenance expenditure goals; </w:t>
      </w:r>
      <w:r>
        <mc:AlternateContent>
          <mc:Choice Requires="wps">
            <w:drawing>
              <wp:anchor behindDoc="0" distT="76200" distB="0" distL="254000" distR="0" simplePos="0" locked="0" layoutInCell="1" allowOverlap="1" relativeHeight="174">
                <wp:simplePos x="0" y="0"/>
                <wp:positionH relativeFrom="column">
                  <wp:align>left</wp:align>
                </wp:positionH>
                <wp:positionV relativeFrom="line">
                  <wp:align>top</wp:align>
                </wp:positionV>
                <wp:extent cx="127000" cy="350520"/>
                <wp:effectExtent l="0" t="0" r="0" b="0"/>
                <wp:wrapSquare wrapText="right"/>
                <wp:docPr id="173" name="Frame1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outcome of litigation, including litigation related to the February 2021 Winter Storm Event and Hurricane Beryl; </w:t>
      </w:r>
      <w:r>
        <mc:AlternateContent>
          <mc:Choice Requires="wps">
            <w:drawing>
              <wp:anchor behindDoc="0" distT="76200" distB="0" distL="254000" distR="0" simplePos="0" locked="0" layoutInCell="1" allowOverlap="1" relativeHeight="175">
                <wp:simplePos x="0" y="0"/>
                <wp:positionH relativeFrom="column">
                  <wp:align>left</wp:align>
                </wp:positionH>
                <wp:positionV relativeFrom="line">
                  <wp:align>top</wp:align>
                </wp:positionV>
                <wp:extent cx="127000" cy="350520"/>
                <wp:effectExtent l="0" t="0" r="0" b="0"/>
                <wp:wrapSquare wrapText="right"/>
                <wp:docPr id="174" name="Frame1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 of changes in and application of accounting standards and pronouncements; and </w:t>
      </w:r>
      <w:r>
        <mc:AlternateContent>
          <mc:Choice Requires="wps">
            <w:drawing>
              <wp:anchor behindDoc="0" distT="76200" distB="0" distL="254000" distR="0" simplePos="0" locked="0" layoutInCell="1" allowOverlap="1" relativeHeight="176">
                <wp:simplePos x="0" y="0"/>
                <wp:positionH relativeFrom="column">
                  <wp:align>left</wp:align>
                </wp:positionH>
                <wp:positionV relativeFrom="line">
                  <wp:align>top</wp:align>
                </wp:positionV>
                <wp:extent cx="127000" cy="350520"/>
                <wp:effectExtent l="0" t="0" r="0" b="0"/>
                <wp:wrapSquare wrapText="right"/>
                <wp:docPr id="175" name="Frame1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other factors discussed in “Risk Factors” in Item 1A of Part I of our </w:t>
      </w:r>
      <w:hyperlink r:id="rId24">
        <w:r>
          <w:rPr>
            <w:rStyle w:val="InternetLink"/>
          </w:rPr>
          <w:t>Annual Report on Form 10-K for the fiscal year ended December 31, 2025</w:t>
        </w:r>
      </w:hyperlink>
      <w:r>
        <w:rPr>
          <w:rFonts w:ascii="Times New Roman;Times;serif" w:hAnsi="Times New Roman;Times;serif"/>
          <w:b w:val="false"/>
          <w:i w:val="false"/>
          <w:caps w:val="false"/>
          <w:smallCaps w:val="false"/>
          <w:color w:val="000000"/>
          <w:spacing w:val="4"/>
          <w:sz w:val="20"/>
        </w:rPr>
        <w:t xml:space="preserve">, which are incorporated herein by reference, and in other reports we file from time to time with the SEC that are incorporated by reference. </w:t>
      </w:r>
      <w:r>
        <mc:AlternateContent>
          <mc:Choice Requires="wps">
            <w:drawing>
              <wp:anchor behindDoc="0" distT="76200" distB="0" distL="254000" distR="0" simplePos="0" locked="0" layoutInCell="1" allowOverlap="1" relativeHeight="177">
                <wp:simplePos x="0" y="0"/>
                <wp:positionH relativeFrom="column">
                  <wp:align>left</wp:align>
                </wp:positionH>
                <wp:positionV relativeFrom="line">
                  <wp:align>top</wp:align>
                </wp:positionV>
                <wp:extent cx="127000" cy="350520"/>
                <wp:effectExtent l="0" t="0" r="0" b="0"/>
                <wp:wrapSquare wrapText="right"/>
                <wp:docPr id="176" name="Frame1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not place undue reliance on forward-looking statements. Each forward-looking statement speaks only as of the date of the particular statement, and we undertake no obligation to update or revise any forward-looking statements.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tUOP1"/>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0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inform you otherwise in the prospectus supplement, we anticipate using any net proceeds from the sale of our securities offered by this prospectus for general corporate purposes. These purposes may include, but are not limited to: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working capital, </w:t>
      </w:r>
      <w:r>
        <mc:AlternateContent>
          <mc:Choice Requires="wps">
            <w:drawing>
              <wp:anchor behindDoc="0" distT="76200" distB="0" distL="254000" distR="0" simplePos="0" locked="0" layoutInCell="1" allowOverlap="1" relativeHeight="178">
                <wp:simplePos x="0" y="0"/>
                <wp:positionH relativeFrom="column">
                  <wp:align>left</wp:align>
                </wp:positionH>
                <wp:positionV relativeFrom="line">
                  <wp:align>top</wp:align>
                </wp:positionV>
                <wp:extent cx="127000" cy="350520"/>
                <wp:effectExtent l="0" t="0" r="0" b="0"/>
                <wp:wrapSquare wrapText="right"/>
                <wp:docPr id="177" name="Frame1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capital expenditures, </w:t>
      </w:r>
      <w:r>
        <mc:AlternateContent>
          <mc:Choice Requires="wps">
            <w:drawing>
              <wp:anchor behindDoc="0" distT="76200" distB="0" distL="254000" distR="0" simplePos="0" locked="0" layoutInCell="1" allowOverlap="1" relativeHeight="179">
                <wp:simplePos x="0" y="0"/>
                <wp:positionH relativeFrom="column">
                  <wp:align>left</wp:align>
                </wp:positionH>
                <wp:positionV relativeFrom="line">
                  <wp:align>top</wp:align>
                </wp:positionV>
                <wp:extent cx="127000" cy="350520"/>
                <wp:effectExtent l="0" t="0" r="0" b="0"/>
                <wp:wrapSquare wrapText="right"/>
                <wp:docPr id="178" name="Frame1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acquisitions, </w:t>
      </w:r>
      <w:r>
        <mc:AlternateContent>
          <mc:Choice Requires="wps">
            <w:drawing>
              <wp:anchor behindDoc="0" distT="76200" distB="0" distL="254000" distR="0" simplePos="0" locked="0" layoutInCell="1" allowOverlap="1" relativeHeight="180">
                <wp:simplePos x="0" y="0"/>
                <wp:positionH relativeFrom="column">
                  <wp:align>left</wp:align>
                </wp:positionH>
                <wp:positionV relativeFrom="line">
                  <wp:align>top</wp:align>
                </wp:positionV>
                <wp:extent cx="127000" cy="350520"/>
                <wp:effectExtent l="0" t="0" r="0" b="0"/>
                <wp:wrapSquare wrapText="right"/>
                <wp:docPr id="179" name="Frame1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repayment or refinancing of debt, and </w:t>
      </w:r>
      <w:r>
        <mc:AlternateContent>
          <mc:Choice Requires="wps">
            <w:drawing>
              <wp:anchor behindDoc="0" distT="76200" distB="0" distL="254000" distR="0" simplePos="0" locked="0" layoutInCell="1" allowOverlap="1" relativeHeight="181">
                <wp:simplePos x="0" y="0"/>
                <wp:positionH relativeFrom="column">
                  <wp:align>left</wp:align>
                </wp:positionH>
                <wp:positionV relativeFrom="line">
                  <wp:align>top</wp:align>
                </wp:positionV>
                <wp:extent cx="127000" cy="350520"/>
                <wp:effectExtent l="0" t="0" r="0" b="0"/>
                <wp:wrapSquare wrapText="right"/>
                <wp:docPr id="180" name="Frame1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loans or advances to subsidiaries. </w:t>
      </w:r>
      <w:r>
        <mc:AlternateContent>
          <mc:Choice Requires="wps">
            <w:drawing>
              <wp:anchor behindDoc="0" distT="76200" distB="0" distL="254000" distR="0" simplePos="0" locked="0" layoutInCell="1" allowOverlap="1" relativeHeight="182">
                <wp:simplePos x="0" y="0"/>
                <wp:positionH relativeFrom="column">
                  <wp:align>left</wp:align>
                </wp:positionH>
                <wp:positionV relativeFrom="line">
                  <wp:align>top</wp:align>
                </wp:positionV>
                <wp:extent cx="127000" cy="350520"/>
                <wp:effectExtent l="0" t="0" r="0" b="0"/>
                <wp:wrapSquare wrapText="right"/>
                <wp:docPr id="181" name="Frame1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Pending any specific application, we may initially invest funds, loan funds to affiliates or apply them to the reduction of short-term indebtedness, commercial paper or debt under our revolving credit facility.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tDOOD1"/>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OUR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debt securities offered by this prospectus will be CenterPoint Energy’s general unsecured obligations. CenterPoint Energy will issue senior debt securities (“senior debt securities”) under an indenture, dated as of May 19, 2003, between CenterPoint Energy and The Bank of New York Mellon Trust Company, National Association (successor in trust to JPMorgan Chase Bank), as trustee (as supplemented from time to time, the “senior indenture”) and junior subordinated debt securities (“junior subordinated debt securities”) under a separate indenture, dated as of August 14, 2024, between CenterPoint Energy and The Bank of New York Mellon Trust Company, National Association, as trustee (as supplemented from time to time, the “junior subordinated indenture”). We will refer to the senior indenture and the junior subordinated indenture together as the “indentures,” and each as an “indenture.” The indentures are substantially identical, except for provisions relating to subordination and covenants. We have filed, through incorporation by reference, the senior indenture and the junior subordinated indenture as exhibits to the registration statement of which this prospectus is a part. We have summarized selected provisions of the indentures and the debt securities below. This summary is not complete and is qualified in its entirety by reference to the indentures. References to section numbers in this description of our debt securities, unless otherwise indicated, are references to section numbers of the senior indenture and the junior subordinated indenture, respectively.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carefully read the summary below, the applicable prospectus supplement and the provisions of the applicable indenture that may be important to you before investing in our senior debt securities or junior subordinated debt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Provisions Applicable to Each Indenture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General.</w:t>
      </w:r>
      <w:r>
        <w:rPr>
          <w:rFonts w:ascii="Times New Roman;Times;serif" w:hAnsi="Times New Roman;Times;serif"/>
          <w:b w:val="false"/>
          <w:i w:val="false"/>
          <w:caps w:val="false"/>
          <w:smallCaps w:val="false"/>
          <w:color w:val="000000"/>
          <w:spacing w:val="4"/>
          <w:sz w:val="20"/>
        </w:rPr>
        <w:t xml:space="preserve">   We may issue debt securities from time to time in one or more series under the applicable indenture. There is no limitation on the amount of debt securities we may issue under either indenture. We will describe the particular terms of each series of debt securities we offer in a supplement to this prospectus. The terms of our debt securities will include those set forth in the applicable indenture and those made a part of such indenture by the Trust Indenture Act of 1939, as amended (the “Trust Indenture Act”).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exceptions, and subject to compliance with the applicable requirements set forth in the applicable indenture, we may discharge our obligations under the indentures with respect to our debt securities as described below under “— Defeasance.”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Terms.</w:t>
      </w:r>
      <w:r>
        <w:rPr>
          <w:rFonts w:ascii="Times New Roman;Times;serif" w:hAnsi="Times New Roman;Times;serif"/>
          <w:b w:val="false"/>
          <w:i w:val="false"/>
          <w:caps w:val="false"/>
          <w:smallCaps w:val="false"/>
          <w:color w:val="000000"/>
          <w:spacing w:val="4"/>
          <w:sz w:val="20"/>
        </w:rPr>
        <w:t xml:space="preserve">   We will describe the specific terms of the series of debt securities being offered in a supplement to this prospectus. These terms will include some or all of the following: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title of the debt securities, </w:t>
      </w:r>
      <w:r>
        <mc:AlternateContent>
          <mc:Choice Requires="wps">
            <w:drawing>
              <wp:anchor behindDoc="0" distT="73660" distB="0" distL="254000" distR="0" simplePos="0" locked="0" layoutInCell="1" allowOverlap="1" relativeHeight="183">
                <wp:simplePos x="0" y="0"/>
                <wp:positionH relativeFrom="column">
                  <wp:align>left</wp:align>
                </wp:positionH>
                <wp:positionV relativeFrom="line">
                  <wp:align>top</wp:align>
                </wp:positionV>
                <wp:extent cx="127000" cy="350520"/>
                <wp:effectExtent l="0" t="0" r="0" b="0"/>
                <wp:wrapSquare wrapText="right"/>
                <wp:docPr id="182" name="Frame1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are senior debt securities or junior subordinated debt securities, </w:t>
      </w:r>
      <w:r>
        <mc:AlternateContent>
          <mc:Choice Requires="wps">
            <w:drawing>
              <wp:anchor behindDoc="0" distT="63500" distB="0" distL="254000" distR="0" simplePos="0" locked="0" layoutInCell="1" allowOverlap="1" relativeHeight="184">
                <wp:simplePos x="0" y="0"/>
                <wp:positionH relativeFrom="column">
                  <wp:align>left</wp:align>
                </wp:positionH>
                <wp:positionV relativeFrom="line">
                  <wp:align>top</wp:align>
                </wp:positionV>
                <wp:extent cx="127000" cy="350520"/>
                <wp:effectExtent l="0" t="0" r="0" b="0"/>
                <wp:wrapSquare wrapText="right"/>
                <wp:docPr id="183" name="Frame1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limit on the total principal amount of the debt securities, </w:t>
      </w:r>
      <w:r>
        <mc:AlternateContent>
          <mc:Choice Requires="wps">
            <w:drawing>
              <wp:anchor behindDoc="0" distT="63500" distB="0" distL="254000" distR="0" simplePos="0" locked="0" layoutInCell="1" allowOverlap="1" relativeHeight="185">
                <wp:simplePos x="0" y="0"/>
                <wp:positionH relativeFrom="column">
                  <wp:align>left</wp:align>
                </wp:positionH>
                <wp:positionV relativeFrom="line">
                  <wp:align>top</wp:align>
                </wp:positionV>
                <wp:extent cx="127000" cy="350520"/>
                <wp:effectExtent l="0" t="0" r="0" b="0"/>
                <wp:wrapSquare wrapText="right"/>
                <wp:docPr id="184" name="Frame1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or dates on which the principal of the debt securities will be payable or the method used to determine or extend those dates, </w:t>
      </w:r>
      <w:r>
        <mc:AlternateContent>
          <mc:Choice Requires="wps">
            <w:drawing>
              <wp:anchor behindDoc="0" distT="63500" distB="0" distL="254000" distR="0" simplePos="0" locked="0" layoutInCell="1" allowOverlap="1" relativeHeight="186">
                <wp:simplePos x="0" y="0"/>
                <wp:positionH relativeFrom="column">
                  <wp:align>left</wp:align>
                </wp:positionH>
                <wp:positionV relativeFrom="line">
                  <wp:align>top</wp:align>
                </wp:positionV>
                <wp:extent cx="127000" cy="350520"/>
                <wp:effectExtent l="0" t="0" r="0" b="0"/>
                <wp:wrapSquare wrapText="right"/>
                <wp:docPr id="185" name="Frame1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interest rate on the debt securities, any date from which interest will accrue, any interest payment dates and regular record dates for interest payments, or the method used to determine any of the foregoing, the basis for calculating interest if other than a 360-day year of twelve 30-day months and any right to extend or defer interest payments and the duration of such extension or deferral, </w:t>
      </w:r>
      <w:r>
        <mc:AlternateContent>
          <mc:Choice Requires="wps">
            <w:drawing>
              <wp:anchor behindDoc="0" distT="63500" distB="0" distL="254000" distR="0" simplePos="0" locked="0" layoutInCell="1" allowOverlap="1" relativeHeight="187">
                <wp:simplePos x="0" y="0"/>
                <wp:positionH relativeFrom="column">
                  <wp:align>left</wp:align>
                </wp:positionH>
                <wp:positionV relativeFrom="line">
                  <wp:align>top</wp:align>
                </wp:positionV>
                <wp:extent cx="127000" cy="350520"/>
                <wp:effectExtent l="0" t="0" r="0" b="0"/>
                <wp:wrapSquare wrapText="right"/>
                <wp:docPr id="186" name="Frame1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place or places where payments on the debt securities will be payable, the debt securities may be presented for registration of transfer or exchange, and notices and demands to or upon us relating to the debt securities may be made, </w:t>
      </w:r>
      <w:r>
        <mc:AlternateContent>
          <mc:Choice Requires="wps">
            <w:drawing>
              <wp:anchor behindDoc="0" distT="63500" distB="0" distL="254000" distR="0" simplePos="0" locked="0" layoutInCell="1" allowOverlap="1" relativeHeight="188">
                <wp:simplePos x="0" y="0"/>
                <wp:positionH relativeFrom="column">
                  <wp:align>left</wp:align>
                </wp:positionH>
                <wp:positionV relativeFrom="line">
                  <wp:align>top</wp:align>
                </wp:positionV>
                <wp:extent cx="127000" cy="350520"/>
                <wp:effectExtent l="0" t="0" r="0" b="0"/>
                <wp:wrapSquare wrapText="right"/>
                <wp:docPr id="187" name="Frame1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provisions that would allow or obligate us to redeem or purchase the debt securities prior to their maturity, </w:t>
      </w:r>
      <w:r>
        <mc:AlternateContent>
          <mc:Choice Requires="wps">
            <w:drawing>
              <wp:anchor behindDoc="0" distT="63500" distB="0" distL="254000" distR="0" simplePos="0" locked="0" layoutInCell="1" allowOverlap="1" relativeHeight="189">
                <wp:simplePos x="0" y="0"/>
                <wp:positionH relativeFrom="column">
                  <wp:align>left</wp:align>
                </wp:positionH>
                <wp:positionV relativeFrom="line">
                  <wp:align>top</wp:align>
                </wp:positionV>
                <wp:extent cx="127000" cy="350520"/>
                <wp:effectExtent l="0" t="0" r="0" b="0"/>
                <wp:wrapSquare wrapText="right"/>
                <wp:docPr id="188" name="Frame1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denominations in which we will issue the debt securities, if other than denominations of an integral multiple of $1,000, </w:t>
      </w:r>
      <w:r>
        <mc:AlternateContent>
          <mc:Choice Requires="wps">
            <w:drawing>
              <wp:anchor behindDoc="0" distT="63500" distB="0" distL="254000" distR="0" simplePos="0" locked="0" layoutInCell="1" allowOverlap="1" relativeHeight="190">
                <wp:simplePos x="0" y="0"/>
                <wp:positionH relativeFrom="column">
                  <wp:align>left</wp:align>
                </wp:positionH>
                <wp:positionV relativeFrom="line">
                  <wp:align>top</wp:align>
                </wp:positionV>
                <wp:extent cx="127000" cy="350520"/>
                <wp:effectExtent l="0" t="0" r="0" b="0"/>
                <wp:wrapSquare wrapText="right"/>
                <wp:docPr id="189" name="Frame1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provisions that would determine payments on the debt securities by reference to an index or a formula, </w:t>
      </w:r>
      <w:r>
        <mc:AlternateContent>
          <mc:Choice Requires="wps">
            <w:drawing>
              <wp:anchor behindDoc="0" distT="63500" distB="0" distL="254000" distR="0" simplePos="0" locked="0" layoutInCell="1" allowOverlap="1" relativeHeight="191">
                <wp:simplePos x="0" y="0"/>
                <wp:positionH relativeFrom="column">
                  <wp:align>left</wp:align>
                </wp:positionH>
                <wp:positionV relativeFrom="line">
                  <wp:align>top</wp:align>
                </wp:positionV>
                <wp:extent cx="127000" cy="350520"/>
                <wp:effectExtent l="0" t="0" r="0" b="0"/>
                <wp:wrapSquare wrapText="right"/>
                <wp:docPr id="190" name="Frame1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foreign currency, currencies or currency units in which payments on the debt securities will be payable and the manner for determining the equivalent amount in U.S. dollars ($), </w:t>
      </w:r>
      <w:r>
        <mc:AlternateContent>
          <mc:Choice Requires="wps">
            <w:drawing>
              <wp:anchor behindDoc="0" distT="0" distB="0" distL="254000" distR="0" simplePos="0" locked="0" layoutInCell="1" allowOverlap="1" relativeHeight="192">
                <wp:simplePos x="0" y="0"/>
                <wp:positionH relativeFrom="column">
                  <wp:align>left</wp:align>
                </wp:positionH>
                <wp:positionV relativeFrom="line">
                  <wp:posOffset>635</wp:posOffset>
                </wp:positionV>
                <wp:extent cx="127000" cy="350520"/>
                <wp:effectExtent l="0" t="0" r="0" b="0"/>
                <wp:wrapSquare wrapText="right"/>
                <wp:docPr id="191" name="Frame1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provisions for payments on the debt securities in one or more currencies or currency units other than those in which the debt securities are stated to be payable, </w:t>
      </w:r>
      <w:r>
        <mc:AlternateContent>
          <mc:Choice Requires="wps">
            <w:drawing>
              <wp:anchor behindDoc="0" distT="78740" distB="0" distL="254000" distR="0" simplePos="0" locked="0" layoutInCell="1" allowOverlap="1" relativeHeight="193">
                <wp:simplePos x="0" y="0"/>
                <wp:positionH relativeFrom="column">
                  <wp:align>left</wp:align>
                </wp:positionH>
                <wp:positionV relativeFrom="line">
                  <wp:align>top</wp:align>
                </wp:positionV>
                <wp:extent cx="127000" cy="350520"/>
                <wp:effectExtent l="0" t="0" r="0" b="0"/>
                <wp:wrapSquare wrapText="right"/>
                <wp:docPr id="192" name="Frame1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percentage of the principal amount at which the debt securities will be issued and the portion of the principal amount of the debt securities that will be payable if the maturity of the debt securities is accelerated, if other than the entire principal amount, </w:t>
      </w:r>
      <w:r>
        <mc:AlternateContent>
          <mc:Choice Requires="wps">
            <w:drawing>
              <wp:anchor behindDoc="0" distT="78740" distB="0" distL="254000" distR="0" simplePos="0" locked="0" layoutInCell="1" allowOverlap="1" relativeHeight="194">
                <wp:simplePos x="0" y="0"/>
                <wp:positionH relativeFrom="column">
                  <wp:align>left</wp:align>
                </wp:positionH>
                <wp:positionV relativeFrom="line">
                  <wp:align>top</wp:align>
                </wp:positionV>
                <wp:extent cx="127000" cy="350520"/>
                <wp:effectExtent l="0" t="0" r="0" b="0"/>
                <wp:wrapSquare wrapText="right"/>
                <wp:docPr id="193" name="Frame1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principal amount to be paid at the stated maturity of the debt securities is not determinable as of one or more dates prior to the stated maturity, the amount that will be deemed to be the principal amount as of any such date for any purpose, </w:t>
      </w:r>
      <w:r>
        <mc:AlternateContent>
          <mc:Choice Requires="wps">
            <w:drawing>
              <wp:anchor behindDoc="0" distT="77470" distB="0" distL="254000" distR="0" simplePos="0" locked="0" layoutInCell="1" allowOverlap="1" relativeHeight="195">
                <wp:simplePos x="0" y="0"/>
                <wp:positionH relativeFrom="column">
                  <wp:align>left</wp:align>
                </wp:positionH>
                <wp:positionV relativeFrom="line">
                  <wp:align>top</wp:align>
                </wp:positionV>
                <wp:extent cx="127000" cy="350520"/>
                <wp:effectExtent l="0" t="0" r="0" b="0"/>
                <wp:wrapSquare wrapText="right"/>
                <wp:docPr id="194" name="Frame1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variation of the defeasance and covenant defeasance sections of the applicable indenture and the manner in which our election to defease the debt securities will be evidenced, if other than by a board resolution, </w:t>
      </w:r>
      <w:r>
        <mc:AlternateContent>
          <mc:Choice Requires="wps">
            <w:drawing>
              <wp:anchor behindDoc="0" distT="77470" distB="0" distL="254000" distR="0" simplePos="0" locked="0" layoutInCell="1" allowOverlap="1" relativeHeight="196">
                <wp:simplePos x="0" y="0"/>
                <wp:positionH relativeFrom="column">
                  <wp:align>left</wp:align>
                </wp:positionH>
                <wp:positionV relativeFrom="line">
                  <wp:align>top</wp:align>
                </wp:positionV>
                <wp:extent cx="127000" cy="350520"/>
                <wp:effectExtent l="0" t="0" r="0" b="0"/>
                <wp:wrapSquare wrapText="right"/>
                <wp:docPr id="195" name="Frame1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we will issue the debt securities in the form of temporary or permanent global securities, the depositories for the global securities, and provisions for exchanging or transferring the global securities, </w:t>
      </w:r>
      <w:r>
        <mc:AlternateContent>
          <mc:Choice Requires="wps">
            <w:drawing>
              <wp:anchor behindDoc="0" distT="77470" distB="0" distL="254000" distR="0" simplePos="0" locked="0" layoutInCell="1" allowOverlap="1" relativeHeight="197">
                <wp:simplePos x="0" y="0"/>
                <wp:positionH relativeFrom="column">
                  <wp:align>left</wp:align>
                </wp:positionH>
                <wp:positionV relativeFrom="line">
                  <wp:align>top</wp:align>
                </wp:positionV>
                <wp:extent cx="127000" cy="350520"/>
                <wp:effectExtent l="0" t="0" r="0" b="0"/>
                <wp:wrapSquare wrapText="right"/>
                <wp:docPr id="196" name="Frame1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interest rate of the debt securities may be reset, </w:t>
      </w:r>
      <w:r>
        <mc:AlternateContent>
          <mc:Choice Requires="wps">
            <w:drawing>
              <wp:anchor behindDoc="0" distT="77470" distB="0" distL="254000" distR="0" simplePos="0" locked="0" layoutInCell="1" allowOverlap="1" relativeHeight="198">
                <wp:simplePos x="0" y="0"/>
                <wp:positionH relativeFrom="column">
                  <wp:align>left</wp:align>
                </wp:positionH>
                <wp:positionV relativeFrom="line">
                  <wp:align>top</wp:align>
                </wp:positionV>
                <wp:extent cx="127000" cy="350520"/>
                <wp:effectExtent l="0" t="0" r="0" b="0"/>
                <wp:wrapSquare wrapText="right"/>
                <wp:docPr id="197" name="Frame1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stated maturity of the debt securities may be extended, </w:t>
      </w:r>
      <w:r>
        <mc:AlternateContent>
          <mc:Choice Requires="wps">
            <w:drawing>
              <wp:anchor behindDoc="0" distT="77470" distB="0" distL="254000" distR="0" simplePos="0" locked="0" layoutInCell="1" allowOverlap="1" relativeHeight="199">
                <wp:simplePos x="0" y="0"/>
                <wp:positionH relativeFrom="column">
                  <wp:align>left</wp:align>
                </wp:positionH>
                <wp:positionV relativeFrom="line">
                  <wp:align>top</wp:align>
                </wp:positionV>
                <wp:extent cx="127000" cy="350520"/>
                <wp:effectExtent l="0" t="0" r="0" b="0"/>
                <wp:wrapSquare wrapText="right"/>
                <wp:docPr id="198" name="Frame1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addition to or change in the events of default for the debt securities and any change in the right of the trustee or the holders of the debt securities to declare the principal amount of the debt securities due and payable, </w:t>
      </w:r>
      <w:r>
        <mc:AlternateContent>
          <mc:Choice Requires="wps">
            <w:drawing>
              <wp:anchor behindDoc="0" distT="77470" distB="0" distL="254000" distR="0" simplePos="0" locked="0" layoutInCell="1" allowOverlap="1" relativeHeight="200">
                <wp:simplePos x="0" y="0"/>
                <wp:positionH relativeFrom="column">
                  <wp:align>left</wp:align>
                </wp:positionH>
                <wp:positionV relativeFrom="line">
                  <wp:align>top</wp:align>
                </wp:positionV>
                <wp:extent cx="127000" cy="350520"/>
                <wp:effectExtent l="0" t="0" r="0" b="0"/>
                <wp:wrapSquare wrapText="right"/>
                <wp:docPr id="199" name="Frame1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addition to or change in the covenants in the applicable indenture, </w:t>
      </w:r>
      <w:r>
        <mc:AlternateContent>
          <mc:Choice Requires="wps">
            <w:drawing>
              <wp:anchor behindDoc="0" distT="77470" distB="0" distL="254000" distR="0" simplePos="0" locked="0" layoutInCell="1" allowOverlap="1" relativeHeight="201">
                <wp:simplePos x="0" y="0"/>
                <wp:positionH relativeFrom="column">
                  <wp:align>left</wp:align>
                </wp:positionH>
                <wp:positionV relativeFrom="line">
                  <wp:align>top</wp:align>
                </wp:positionV>
                <wp:extent cx="127000" cy="350520"/>
                <wp:effectExtent l="0" t="0" r="0" b="0"/>
                <wp:wrapSquare wrapText="right"/>
                <wp:docPr id="200" name="Frame1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additions or changes to the applicable indenture necessary to issue the debt securities in bearer form, registrable or not registrable as to principal, and with or without interest coupons, </w:t>
      </w:r>
      <w:r>
        <mc:AlternateContent>
          <mc:Choice Requires="wps">
            <w:drawing>
              <wp:anchor behindDoc="0" distT="77470" distB="0" distL="254000" distR="0" simplePos="0" locked="0" layoutInCell="1" allowOverlap="1" relativeHeight="202">
                <wp:simplePos x="0" y="0"/>
                <wp:positionH relativeFrom="column">
                  <wp:align>left</wp:align>
                </wp:positionH>
                <wp:positionV relativeFrom="line">
                  <wp:align>top</wp:align>
                </wp:positionV>
                <wp:extent cx="127000" cy="350520"/>
                <wp:effectExtent l="0" t="0" r="0" b="0"/>
                <wp:wrapSquare wrapText="right"/>
                <wp:docPr id="201" name="Frame2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appointment of any paying agents for the debt securities, if other than the trustee, </w:t>
      </w:r>
      <w:r>
        <mc:AlternateContent>
          <mc:Choice Requires="wps">
            <w:drawing>
              <wp:anchor behindDoc="0" distT="77470" distB="0" distL="254000" distR="0" simplePos="0" locked="0" layoutInCell="1" allowOverlap="1" relativeHeight="203">
                <wp:simplePos x="0" y="0"/>
                <wp:positionH relativeFrom="column">
                  <wp:align>left</wp:align>
                </wp:positionH>
                <wp:positionV relativeFrom="line">
                  <wp:align>top</wp:align>
                </wp:positionV>
                <wp:extent cx="127000" cy="350520"/>
                <wp:effectExtent l="0" t="0" r="0" b="0"/>
                <wp:wrapSquare wrapText="right"/>
                <wp:docPr id="202" name="Frame2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any right to convert or exchange the debt securities into any other securities or property, </w:t>
      </w:r>
      <w:r>
        <mc:AlternateContent>
          <mc:Choice Requires="wps">
            <w:drawing>
              <wp:anchor behindDoc="0" distT="77470" distB="0" distL="254000" distR="0" simplePos="0" locked="0" layoutInCell="1" allowOverlap="1" relativeHeight="204">
                <wp:simplePos x="0" y="0"/>
                <wp:positionH relativeFrom="column">
                  <wp:align>left</wp:align>
                </wp:positionH>
                <wp:positionV relativeFrom="line">
                  <wp:align>top</wp:align>
                </wp:positionV>
                <wp:extent cx="127000" cy="350520"/>
                <wp:effectExtent l="0" t="0" r="0" b="0"/>
                <wp:wrapSquare wrapText="right"/>
                <wp:docPr id="203" name="Frame2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and conditions, if any, pursuant to which the debt securities are secured, </w:t>
      </w:r>
      <w:r>
        <mc:AlternateContent>
          <mc:Choice Requires="wps">
            <w:drawing>
              <wp:anchor behindDoc="0" distT="77470" distB="0" distL="254000" distR="0" simplePos="0" locked="0" layoutInCell="1" allowOverlap="1" relativeHeight="205">
                <wp:simplePos x="0" y="0"/>
                <wp:positionH relativeFrom="column">
                  <wp:align>left</wp:align>
                </wp:positionH>
                <wp:positionV relativeFrom="line">
                  <wp:align>top</wp:align>
                </wp:positionV>
                <wp:extent cx="127000" cy="350520"/>
                <wp:effectExtent l="0" t="0" r="0" b="0"/>
                <wp:wrapSquare wrapText="right"/>
                <wp:docPr id="204" name="Frame2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restriction or condition on the transferability of the debt securities, </w:t>
      </w:r>
      <w:r>
        <mc:AlternateContent>
          <mc:Choice Requires="wps">
            <w:drawing>
              <wp:anchor behindDoc="0" distT="77470" distB="0" distL="254000" distR="0" simplePos="0" locked="0" layoutInCell="1" allowOverlap="1" relativeHeight="206">
                <wp:simplePos x="0" y="0"/>
                <wp:positionH relativeFrom="column">
                  <wp:align>left</wp:align>
                </wp:positionH>
                <wp:positionV relativeFrom="line">
                  <wp:align>top</wp:align>
                </wp:positionV>
                <wp:extent cx="127000" cy="350520"/>
                <wp:effectExtent l="0" t="0" r="0" b="0"/>
                <wp:wrapSquare wrapText="right"/>
                <wp:docPr id="205" name="Frame2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the junior subordinated indenture, any changes to the subordination provisions for the junior subordinated debt securities, and </w:t>
      </w:r>
      <w:r>
        <mc:AlternateContent>
          <mc:Choice Requires="wps">
            <w:drawing>
              <wp:anchor behindDoc="0" distT="77470" distB="0" distL="254000" distR="0" simplePos="0" locked="0" layoutInCell="1" allowOverlap="1" relativeHeight="207">
                <wp:simplePos x="0" y="0"/>
                <wp:positionH relativeFrom="column">
                  <wp:align>left</wp:align>
                </wp:positionH>
                <wp:positionV relativeFrom="line">
                  <wp:align>top</wp:align>
                </wp:positionV>
                <wp:extent cx="127000" cy="350520"/>
                <wp:effectExtent l="0" t="0" r="0" b="0"/>
                <wp:wrapSquare wrapText="right"/>
                <wp:docPr id="206" name="Frame2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terms of the debt securities consistent with the applicable indenture. (Section 301; Section 3.01) </w:t>
      </w:r>
      <w:r>
        <mc:AlternateContent>
          <mc:Choice Requires="wps">
            <w:drawing>
              <wp:anchor behindDoc="0" distT="77470" distB="0" distL="254000" distR="0" simplePos="0" locked="0" layoutInCell="1" allowOverlap="1" relativeHeight="208">
                <wp:simplePos x="0" y="0"/>
                <wp:positionH relativeFrom="column">
                  <wp:align>left</wp:align>
                </wp:positionH>
                <wp:positionV relativeFrom="line">
                  <wp:align>top</wp:align>
                </wp:positionV>
                <wp:extent cx="127000" cy="350520"/>
                <wp:effectExtent l="0" t="0" r="0" b="0"/>
                <wp:wrapSquare wrapText="right"/>
                <wp:docPr id="207" name="Frame2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limit on the maximum total principal amount for any series of the debt securities may be increased by resolution of our board of directors. We may sell the debt securities, including original issue discount securities, at a substantial discount below their stated principal amount. If there are any special United States federal income tax considerations applicable to debt securities we sell at an original issue discount, we will describe them in the prospectus supplement. In addition, we will describe in the prospectus supplement any special United States federal income tax considerations and any other special considerations for any debt securities we sell which are denominated in a currency or currency unit other than U.S. dollars.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Form, Exchange and Transfer.</w:t>
      </w:r>
      <w:r>
        <w:rPr>
          <w:rFonts w:ascii="Times New Roman;Times;serif" w:hAnsi="Times New Roman;Times;serif"/>
          <w:b w:val="false"/>
          <w:i w:val="false"/>
          <w:caps w:val="false"/>
          <w:smallCaps w:val="false"/>
          <w:color w:val="000000"/>
          <w:spacing w:val="4"/>
          <w:sz w:val="20"/>
        </w:rPr>
        <w:t xml:space="preserve">   We will issue the debt securities in registered form, without coupons. Unless we inform you otherwise in the prospectus supplement, we will only issue debt securities in denominations of integral multiples of $1,000. (Section 302; Section 3.02)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generally will be able to exchange debt securities for other debt securities of the same series with the same total principal amount and the same terms but in different authorized denominations. (Section 305; Section 3.05)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may present debt securities for exchange or for registration of transfer at the office of the security registrar or at the office of any transfer agent we designate for that purpose. The security registrar or designated transfer agent will exchange or transfer the debt securities if it is satisfied with the documents of title and identity of the person making the request. We will not charge a service charge for any exchange or registration of transfer of debt securities. However, we may require payment of a sum sufficient to cover any tax or other governmental charge payable for the registration of transfer or exchange. Unless we inform you otherwise in the prospectus supplement, we will appoint the trustee as security registrar. We will identify any transfer agent in addition to the security registrar in the prospectus supplement. (Section 305; Section 3.05) At any time we may: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designate additional transfer agents, </w:t>
      </w:r>
      <w:r>
        <mc:AlternateContent>
          <mc:Choice Requires="wps">
            <w:drawing>
              <wp:anchor behindDoc="0" distT="80010" distB="0" distL="254000" distR="0" simplePos="0" locked="0" layoutInCell="1" allowOverlap="1" relativeHeight="209">
                <wp:simplePos x="0" y="0"/>
                <wp:positionH relativeFrom="column">
                  <wp:align>left</wp:align>
                </wp:positionH>
                <wp:positionV relativeFrom="line">
                  <wp:align>top</wp:align>
                </wp:positionV>
                <wp:extent cx="127000" cy="350520"/>
                <wp:effectExtent l="0" t="0" r="0" b="0"/>
                <wp:wrapSquare wrapText="right"/>
                <wp:docPr id="208" name="Frame2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rescind the designation of any transfer agent, or </w:t>
      </w:r>
      <w:r>
        <mc:AlternateContent>
          <mc:Choice Requires="wps">
            <w:drawing>
              <wp:anchor behindDoc="0" distT="80010" distB="0" distL="254000" distR="0" simplePos="0" locked="0" layoutInCell="1" allowOverlap="1" relativeHeight="210">
                <wp:simplePos x="0" y="0"/>
                <wp:positionH relativeFrom="column">
                  <wp:align>left</wp:align>
                </wp:positionH>
                <wp:positionV relativeFrom="line">
                  <wp:align>top</wp:align>
                </wp:positionV>
                <wp:extent cx="127000" cy="350520"/>
                <wp:effectExtent l="0" t="0" r="0" b="0"/>
                <wp:wrapSquare wrapText="right"/>
                <wp:docPr id="209" name="Frame2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approve a change in the office of any transfer agent. </w:t>
      </w:r>
      <w:r>
        <mc:AlternateContent>
          <mc:Choice Requires="wps">
            <w:drawing>
              <wp:anchor behindDoc="0" distT="80010" distB="0" distL="254000" distR="0" simplePos="0" locked="0" layoutInCell="1" allowOverlap="1" relativeHeight="211">
                <wp:simplePos x="0" y="0"/>
                <wp:positionH relativeFrom="column">
                  <wp:align>left</wp:align>
                </wp:positionH>
                <wp:positionV relativeFrom="line">
                  <wp:align>top</wp:align>
                </wp:positionV>
                <wp:extent cx="127000" cy="350520"/>
                <wp:effectExtent l="0" t="0" r="0" b="0"/>
                <wp:wrapSquare wrapText="right"/>
                <wp:docPr id="210" name="Frame2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we are required to maintain a transfer agent in each place of payment for the debt securities at all times. (Sections 305 and 1002; Sections 3.05 and 10.02)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elect to redeem a series of debt securities, neither we nor the trustee will be required: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issue, register the transfer of or exchange any debt securities of that series during the period beginning at the opening of business 15 days before the day we mail the notice of redemption for the series and ending at the close of business on the day the notice is mailed, or </w:t>
      </w:r>
      <w:r>
        <mc:AlternateContent>
          <mc:Choice Requires="wps">
            <w:drawing>
              <wp:anchor behindDoc="0" distT="80010" distB="0" distL="254000" distR="0" simplePos="0" locked="0" layoutInCell="1" allowOverlap="1" relativeHeight="212">
                <wp:simplePos x="0" y="0"/>
                <wp:positionH relativeFrom="column">
                  <wp:align>left</wp:align>
                </wp:positionH>
                <wp:positionV relativeFrom="line">
                  <wp:align>top</wp:align>
                </wp:positionV>
                <wp:extent cx="127000" cy="350520"/>
                <wp:effectExtent l="0" t="0" r="0" b="0"/>
                <wp:wrapSquare wrapText="right"/>
                <wp:docPr id="211" name="Frame2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register the transfer or exchange of any debt security of that series if we have selected the series for redemption, in whole or in part, except for the unredeemed portion of the series. (Section 305; Section 3.05) </w:t>
      </w:r>
      <w:r>
        <mc:AlternateContent>
          <mc:Choice Requires="wps">
            <w:drawing>
              <wp:anchor behindDoc="0" distT="80010" distB="0" distL="254000" distR="0" simplePos="0" locked="0" layoutInCell="1" allowOverlap="1" relativeHeight="213">
                <wp:simplePos x="0" y="0"/>
                <wp:positionH relativeFrom="column">
                  <wp:align>left</wp:align>
                </wp:positionH>
                <wp:positionV relativeFrom="line">
                  <wp:align>top</wp:align>
                </wp:positionV>
                <wp:extent cx="127000" cy="350520"/>
                <wp:effectExtent l="0" t="0" r="0" b="0"/>
                <wp:wrapSquare wrapText="right"/>
                <wp:docPr id="212" name="Frame2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Book-entry.</w:t>
      </w:r>
      <w:r>
        <w:rPr>
          <w:rFonts w:ascii="Times New Roman;Times;serif" w:hAnsi="Times New Roman;Times;serif"/>
          <w:b w:val="false"/>
          <w:i w:val="false"/>
          <w:caps w:val="false"/>
          <w:smallCaps w:val="false"/>
          <w:color w:val="000000"/>
          <w:spacing w:val="4"/>
          <w:sz w:val="20"/>
        </w:rPr>
        <w:t xml:space="preserve">   We may issue the debt securities of a series in the form of one or more global debt securities that would be deposited with a depositary or its nominee identified in the prospectus supplement. We may issue global debt securities in either temporary or permanent form. We will describe in the prospectus supplement the terms of any depositary arrangement and the rights and limitations of owners of beneficial interests in any global debt security.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Payment and Paying Agents.</w:t>
      </w:r>
      <w:r>
        <w:rPr>
          <w:rFonts w:ascii="Times New Roman;Times;serif" w:hAnsi="Times New Roman;Times;serif"/>
          <w:b w:val="false"/>
          <w:i w:val="false"/>
          <w:caps w:val="false"/>
          <w:smallCaps w:val="false"/>
          <w:color w:val="000000"/>
          <w:spacing w:val="4"/>
          <w:sz w:val="20"/>
        </w:rPr>
        <w:t xml:space="preserve">   Under both indentures, we will pay interest on the debt securities to the persons in whose names the debt securities are registered at the close of business on the regular record date for each interest payment. However, unless we inform you otherwise in the prospectus supplement, we will pay the interest payable on the debt securities at their stated maturity to the persons to whom we pay the principal amount of the debt securities. The initial payment of interest on any series of debt securities issued between a regular record date and the related interest payment date will be payable in the manner provided by the terms of the series, which we will describe in the prospectus supplement. (Section 307; Section 3.07)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inform you otherwise in the prospectus supplement, we will pay principal, premium, if any, and interest on the debt securities at the offices of the paying agents we designate. However, except in the case of a global security, we may pay interest by: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check mailed to the address of the person entitled to the payment as it appears in the security register, or </w:t>
      </w:r>
      <w:r>
        <mc:AlternateContent>
          <mc:Choice Requires="wps">
            <w:drawing>
              <wp:anchor behindDoc="0" distT="78740" distB="0" distL="254000" distR="0" simplePos="0" locked="0" layoutInCell="1" allowOverlap="1" relativeHeight="214">
                <wp:simplePos x="0" y="0"/>
                <wp:positionH relativeFrom="column">
                  <wp:align>left</wp:align>
                </wp:positionH>
                <wp:positionV relativeFrom="line">
                  <wp:align>top</wp:align>
                </wp:positionV>
                <wp:extent cx="127000" cy="350520"/>
                <wp:effectExtent l="0" t="0" r="0" b="0"/>
                <wp:wrapSquare wrapText="right"/>
                <wp:docPr id="213" name="Frame2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wire transfer in immediately available funds to the place and account designated in writing by the person entitled to the payment as specified in the security register. </w:t>
      </w:r>
      <w:r>
        <mc:AlternateContent>
          <mc:Choice Requires="wps">
            <w:drawing>
              <wp:anchor behindDoc="0" distT="78740" distB="0" distL="254000" distR="0" simplePos="0" locked="0" layoutInCell="1" allowOverlap="1" relativeHeight="215">
                <wp:simplePos x="0" y="0"/>
                <wp:positionH relativeFrom="column">
                  <wp:align>left</wp:align>
                </wp:positionH>
                <wp:positionV relativeFrom="line">
                  <wp:align>top</wp:align>
                </wp:positionV>
                <wp:extent cx="127000" cy="350520"/>
                <wp:effectExtent l="0" t="0" r="0" b="0"/>
                <wp:wrapSquare wrapText="right"/>
                <wp:docPr id="214" name="Frame2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designate the trustee as the sole paying agent for the debt securities unless we inform you otherwise in the prospectus supplement. If we initially designate any other paying agents for a series of debt securities, we will identify them in the prospectus supplement. At any time, we may designate additional paying agents or rescind the designation of any paying agents. However, we are required to maintain a paying agent in each place of payment for the debt securities at all times. (Sections 307 and 1002; Sections 3.07 and 10.02)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money deposited with the trustee or any paying agent for the payment of principal, premium, if any, and interest on the debt securities that remains unclaimed for two years after the date the payments became due, may be repaid to us upon our request. After we have been repaid, holders entitled to those payments may only look to us for payment as our unsecured general creditors. The trustee and any paying agents will not be liable for those payments after we have been repaid. (Section 1003; Section 10.03)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Restrictive Covenants.</w:t>
      </w:r>
      <w:r>
        <w:rPr>
          <w:rFonts w:ascii="Times New Roman;Times;serif" w:hAnsi="Times New Roman;Times;serif"/>
          <w:b w:val="false"/>
          <w:i w:val="false"/>
          <w:caps w:val="false"/>
          <w:smallCaps w:val="false"/>
          <w:color w:val="000000"/>
          <w:spacing w:val="4"/>
          <w:sz w:val="20"/>
        </w:rPr>
        <w:t xml:space="preserve">   We will describe any restrictive covenants for any series of debt securities in the prospectus supplement.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Consolidation, Merger and Sale of Assets.</w:t>
      </w:r>
      <w:r>
        <w:rPr>
          <w:rFonts w:ascii="Times New Roman;Times;serif" w:hAnsi="Times New Roman;Times;serif"/>
          <w:b w:val="false"/>
          <w:i w:val="false"/>
          <w:caps w:val="false"/>
          <w:smallCaps w:val="false"/>
          <w:color w:val="000000"/>
          <w:spacing w:val="4"/>
          <w:sz w:val="20"/>
        </w:rPr>
        <w:t xml:space="preserve">   Under both indentures, we may not consolidate with or merge into, or convey, transfer or lease our properties and assets substantially as an entirety to, any person, referred to as a “successor person” unless: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successor person is a corporation, partnership, trust or other entity organized and validly existing under the laws of the United States of America or any state thereof or the District of Columbia, </w:t>
      </w:r>
      <w:r>
        <mc:AlternateContent>
          <mc:Choice Requires="wps">
            <w:drawing>
              <wp:anchor behindDoc="0" distT="73660" distB="0" distL="254000" distR="0" simplePos="0" locked="0" layoutInCell="1" allowOverlap="1" relativeHeight="216">
                <wp:simplePos x="0" y="0"/>
                <wp:positionH relativeFrom="column">
                  <wp:align>left</wp:align>
                </wp:positionH>
                <wp:positionV relativeFrom="line">
                  <wp:align>top</wp:align>
                </wp:positionV>
                <wp:extent cx="127000" cy="350520"/>
                <wp:effectExtent l="0" t="0" r="0" b="0"/>
                <wp:wrapSquare wrapText="right"/>
                <wp:docPr id="215" name="Frame2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successor person expressly assumes our obligations with respect to the debt securities and the applicable indenture, </w:t>
      </w:r>
      <w:r>
        <mc:AlternateContent>
          <mc:Choice Requires="wps">
            <w:drawing>
              <wp:anchor behindDoc="0" distT="67310" distB="0" distL="254000" distR="0" simplePos="0" locked="0" layoutInCell="1" allowOverlap="1" relativeHeight="217">
                <wp:simplePos x="0" y="0"/>
                <wp:positionH relativeFrom="column">
                  <wp:align>left</wp:align>
                </wp:positionH>
                <wp:positionV relativeFrom="line">
                  <wp:align>top</wp:align>
                </wp:positionV>
                <wp:extent cx="127000" cy="350520"/>
                <wp:effectExtent l="0" t="0" r="0" b="0"/>
                <wp:wrapSquare wrapText="right"/>
                <wp:docPr id="216" name="Frame2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immediately after giving effect to the transaction, no event of default, and no event which, after notice or lapse of time or both, would become an event of default, would occur and be continuing, and </w:t>
      </w:r>
      <w:r>
        <mc:AlternateContent>
          <mc:Choice Requires="wps">
            <w:drawing>
              <wp:anchor behindDoc="0" distT="67310" distB="0" distL="254000" distR="0" simplePos="0" locked="0" layoutInCell="1" allowOverlap="1" relativeHeight="218">
                <wp:simplePos x="0" y="0"/>
                <wp:positionH relativeFrom="column">
                  <wp:align>left</wp:align>
                </wp:positionH>
                <wp:positionV relativeFrom="line">
                  <wp:align>top</wp:align>
                </wp:positionV>
                <wp:extent cx="127000" cy="350520"/>
                <wp:effectExtent l="0" t="0" r="0" b="0"/>
                <wp:wrapSquare wrapText="right"/>
                <wp:docPr id="217" name="Frame2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delivered to the trustee the certificates and opinions required under the applicable indenture. (Section 801; Section 8.01) </w:t>
      </w:r>
      <w:r>
        <mc:AlternateContent>
          <mc:Choice Requires="wps">
            <w:drawing>
              <wp:anchor behindDoc="0" distT="67310" distB="0" distL="254000" distR="0" simplePos="0" locked="0" layoutInCell="1" allowOverlap="1" relativeHeight="219">
                <wp:simplePos x="0" y="0"/>
                <wp:positionH relativeFrom="column">
                  <wp:align>left</wp:align>
                </wp:positionH>
                <wp:positionV relativeFrom="line">
                  <wp:align>top</wp:align>
                </wp:positionV>
                <wp:extent cx="127000" cy="350520"/>
                <wp:effectExtent l="0" t="0" r="0" b="0"/>
                <wp:wrapSquare wrapText="right"/>
                <wp:docPr id="218" name="Frame2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used in the indenture, the term “corporation” means a corporation, association, company, limited liability company, joint-stock company or business trust.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Events of Default.</w:t>
      </w:r>
      <w:r>
        <w:rPr>
          <w:rFonts w:ascii="Times New Roman;Times;serif" w:hAnsi="Times New Roman;Times;serif"/>
          <w:b w:val="false"/>
          <w:i w:val="false"/>
          <w:caps w:val="false"/>
          <w:smallCaps w:val="false"/>
          <w:color w:val="000000"/>
          <w:spacing w:val="4"/>
          <w:sz w:val="20"/>
        </w:rPr>
        <w:t xml:space="preserve">   Unless we inform you otherwise in the prospectus supplement, each of the following will be an event of default under each indenture for a series of debt securities: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failure to pay principal or premium, if any, on that series when due, including at maturity or upon redemption or acceleration, </w:t>
      </w:r>
      <w:r>
        <mc:AlternateContent>
          <mc:Choice Requires="wps">
            <w:drawing>
              <wp:anchor behindDoc="0" distT="73660" distB="0" distL="254000" distR="0" simplePos="0" locked="0" layoutInCell="1" allowOverlap="1" relativeHeight="220">
                <wp:simplePos x="0" y="0"/>
                <wp:positionH relativeFrom="column">
                  <wp:align>left</wp:align>
                </wp:positionH>
                <wp:positionV relativeFrom="line">
                  <wp:align>top</wp:align>
                </wp:positionV>
                <wp:extent cx="127000" cy="350520"/>
                <wp:effectExtent l="0" t="0" r="0" b="0"/>
                <wp:wrapSquare wrapText="right"/>
                <wp:docPr id="219" name="Frame2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failure to pay any interest on that series for 30 days after the interest becomes due, </w:t>
      </w:r>
      <w:r>
        <mc:AlternateContent>
          <mc:Choice Requires="wps">
            <w:drawing>
              <wp:anchor behindDoc="0" distT="67310" distB="0" distL="254000" distR="0" simplePos="0" locked="0" layoutInCell="1" allowOverlap="1" relativeHeight="221">
                <wp:simplePos x="0" y="0"/>
                <wp:positionH relativeFrom="column">
                  <wp:align>left</wp:align>
                </wp:positionH>
                <wp:positionV relativeFrom="line">
                  <wp:align>top</wp:align>
                </wp:positionV>
                <wp:extent cx="127000" cy="350520"/>
                <wp:effectExtent l="0" t="0" r="0" b="0"/>
                <wp:wrapSquare wrapText="right"/>
                <wp:docPr id="220" name="Frame2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failure to deposit any sinking fund payment, when due, relating to that series, </w:t>
      </w:r>
      <w:r>
        <mc:AlternateContent>
          <mc:Choice Requires="wps">
            <w:drawing>
              <wp:anchor behindDoc="0" distT="67310" distB="0" distL="254000" distR="0" simplePos="0" locked="0" layoutInCell="1" allowOverlap="1" relativeHeight="222">
                <wp:simplePos x="0" y="0"/>
                <wp:positionH relativeFrom="column">
                  <wp:align>left</wp:align>
                </wp:positionH>
                <wp:positionV relativeFrom="line">
                  <wp:align>top</wp:align>
                </wp:positionV>
                <wp:extent cx="127000" cy="350520"/>
                <wp:effectExtent l="0" t="0" r="0" b="0"/>
                <wp:wrapSquare wrapText="right"/>
                <wp:docPr id="221" name="Frame2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failure to perform, or our breach in any material respect of, any other covenant or warranty in the applicable indenture, other than a covenant or warranty included in such indenture solely for the benefit of another series of debt securities, for 90 days after either the trustee or holders of at least 25% in principal amount of the outstanding debt securities of that series have given us written notice of the breach in the manner required by the applicable indenture, </w:t>
      </w:r>
      <w:r>
        <mc:AlternateContent>
          <mc:Choice Requires="wps">
            <w:drawing>
              <wp:anchor behindDoc="0" distT="66040" distB="0" distL="254000" distR="0" simplePos="0" locked="0" layoutInCell="1" allowOverlap="1" relativeHeight="223">
                <wp:simplePos x="0" y="0"/>
                <wp:positionH relativeFrom="column">
                  <wp:align>left</wp:align>
                </wp:positionH>
                <wp:positionV relativeFrom="line">
                  <wp:align>top</wp:align>
                </wp:positionV>
                <wp:extent cx="127000" cy="350520"/>
                <wp:effectExtent l="0" t="0" r="0" b="0"/>
                <wp:wrapSquare wrapText="right"/>
                <wp:docPr id="222" name="Frame2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specified events involving our bankruptcy, insolvency or reorganization, and </w:t>
      </w:r>
      <w:r>
        <mc:AlternateContent>
          <mc:Choice Requires="wps">
            <w:drawing>
              <wp:anchor behindDoc="0" distT="66040" distB="0" distL="254000" distR="0" simplePos="0" locked="0" layoutInCell="1" allowOverlap="1" relativeHeight="224">
                <wp:simplePos x="0" y="0"/>
                <wp:positionH relativeFrom="column">
                  <wp:align>left</wp:align>
                </wp:positionH>
                <wp:positionV relativeFrom="line">
                  <wp:align>top</wp:align>
                </wp:positionV>
                <wp:extent cx="127000" cy="350520"/>
                <wp:effectExtent l="0" t="0" r="0" b="0"/>
                <wp:wrapSquare wrapText="right"/>
                <wp:docPr id="223" name="Frame2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event of default we may provide for that series, </w:t>
      </w:r>
      <w:r>
        <mc:AlternateContent>
          <mc:Choice Requires="wps">
            <w:drawing>
              <wp:anchor behindDoc="0" distT="66040" distB="0" distL="254000" distR="0" simplePos="0" locked="0" layoutInCell="1" allowOverlap="1" relativeHeight="225">
                <wp:simplePos x="0" y="0"/>
                <wp:positionH relativeFrom="column">
                  <wp:align>left</wp:align>
                </wp:positionH>
                <wp:positionV relativeFrom="line">
                  <wp:align>top</wp:align>
                </wp:positionV>
                <wp:extent cx="127000" cy="350520"/>
                <wp:effectExtent l="0" t="0" r="0" b="0"/>
                <wp:wrapSquare wrapText="right"/>
                <wp:docPr id="224" name="Frame2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provided, however, that no event described in the fourth bullet point above will be an event of default until an officer of the trustee, assigned to and working in the trustee’s corporate trust department, has actual knowledge of the event (in the case of the senior debt securities only) or until the trustee receives written notice of the event at its corporate trust office. (Section 501; Section 5.01)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event of default for a series of debt securities occurs and is continuing, either the trustee or the holders of at least 25% in principal amount of the outstanding debt securities of that series may declare the principal amount of all the debt securities of that series due and immediately payable. To declare the principal amount of that series of debt securities due and immediately payable, the trustee or the holders must deliver a notice that satisfies the requirements of the applicable indenture. Upon a declaration by the trustee or the holders, we will be obligated to pay the principal amount of the series of debt securities.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right described in the preceding paragraph does not apply if an event of default described in the fifth bullet point above occurs, or an event of default described in the sixth bullet point above that applies to all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outstanding debt securities under the applicable indenture occurs. If one of the events of default described in the fifth bullet point above occurs with respect to the debt securities of any series, the debt securities of that series then outstanding under the applicable indenture will be due and payable immediately. If any of the events of default described in the sixth bullet point above that apply to all outstanding debt securities under an indenture occurs and is continuing, either the trustee or holders of at least 25% in principal amount of all of the debt securities then outstanding under the applicable indenture, treated as one class, may declare the principal amount of all of the debt securities then outstanding under such indenture to be due and payable immediately. To declare the principal amount of the debt securities due and immediately payable, the trustee or the holders must deliver a notice that satisfies the requirements of the applicable indenture. Upon a declaration by the trustee or the holders, we will be obligated to pay the principal amount of the debt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after any declaration of acceleration of a series of debt securities, but before a judgment or decree for payment has been obtained, the event of default giving rise to the declaration of acceleration will, without further act, be deemed to have been waived, and such declaration and its consequences will, without further act, be deemed to have been rescinded and annulled if: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paid or deposited with the trustee a sum sufficient to pay: </w:t>
      </w:r>
      <w:r>
        <mc:AlternateContent>
          <mc:Choice Requires="wps">
            <w:drawing>
              <wp:anchor behindDoc="0" distT="78740" distB="0" distL="254000" distR="0" simplePos="0" locked="0" layoutInCell="1" allowOverlap="1" relativeHeight="226">
                <wp:simplePos x="0" y="0"/>
                <wp:positionH relativeFrom="column">
                  <wp:align>left</wp:align>
                </wp:positionH>
                <wp:positionV relativeFrom="line">
                  <wp:align>top</wp:align>
                </wp:positionV>
                <wp:extent cx="127000" cy="350520"/>
                <wp:effectExtent l="0" t="0" r="0" b="0"/>
                <wp:wrapSquare wrapText="right"/>
                <wp:docPr id="225" name="Frame2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overdue interest, </w:t>
      </w:r>
      <w:r>
        <mc:AlternateContent>
          <mc:Choice Requires="wps">
            <w:drawing>
              <wp:anchor behindDoc="0" distT="86360" distB="0" distL="508000" distR="0" simplePos="0" locked="0" layoutInCell="1" allowOverlap="1" relativeHeight="227">
                <wp:simplePos x="0" y="0"/>
                <wp:positionH relativeFrom="column">
                  <wp:align>left</wp:align>
                </wp:positionH>
                <wp:positionV relativeFrom="line">
                  <wp:align>top</wp:align>
                </wp:positionV>
                <wp:extent cx="127000" cy="350520"/>
                <wp:effectExtent l="0" t="0" r="0" b="0"/>
                <wp:wrapSquare wrapText="right"/>
                <wp:docPr id="226" name="Frame2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8pt;mso-wrap-distance-bottom:0pt;margin-top:6.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principal and premium, if any, due otherwise than by the declaration of acceleration and any interest on such amounts, </w:t>
      </w:r>
      <w:r>
        <mc:AlternateContent>
          <mc:Choice Requires="wps">
            <w:drawing>
              <wp:anchor behindDoc="0" distT="86360" distB="0" distL="508000" distR="0" simplePos="0" locked="0" layoutInCell="1" allowOverlap="1" relativeHeight="228">
                <wp:simplePos x="0" y="0"/>
                <wp:positionH relativeFrom="column">
                  <wp:align>left</wp:align>
                </wp:positionH>
                <wp:positionV relativeFrom="line">
                  <wp:align>top</wp:align>
                </wp:positionV>
                <wp:extent cx="127000" cy="350520"/>
                <wp:effectExtent l="0" t="0" r="0" b="0"/>
                <wp:wrapSquare wrapText="right"/>
                <wp:docPr id="227" name="Frame2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8pt;mso-wrap-distance-bottom:0pt;margin-top:6.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interest on overdue interest, to the extent legally permitted, and </w:t>
      </w:r>
      <w:r>
        <mc:AlternateContent>
          <mc:Choice Requires="wps">
            <w:drawing>
              <wp:anchor behindDoc="0" distT="86360" distB="0" distL="508000" distR="0" simplePos="0" locked="0" layoutInCell="1" allowOverlap="1" relativeHeight="229">
                <wp:simplePos x="0" y="0"/>
                <wp:positionH relativeFrom="column">
                  <wp:align>left</wp:align>
                </wp:positionH>
                <wp:positionV relativeFrom="line">
                  <wp:align>top</wp:align>
                </wp:positionV>
                <wp:extent cx="127000" cy="350520"/>
                <wp:effectExtent l="0" t="0" r="0" b="0"/>
                <wp:wrapSquare wrapText="right"/>
                <wp:docPr id="228" name="Frame2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8pt;mso-wrap-distance-bottom:0pt;margin-top:6.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amounts due to the trustee under the applicable indenture, and </w:t>
      </w:r>
      <w:r>
        <mc:AlternateContent>
          <mc:Choice Requires="wps">
            <w:drawing>
              <wp:anchor behindDoc="0" distT="86360" distB="0" distL="508000" distR="0" simplePos="0" locked="0" layoutInCell="1" allowOverlap="1" relativeHeight="230">
                <wp:simplePos x="0" y="0"/>
                <wp:positionH relativeFrom="column">
                  <wp:align>left</wp:align>
                </wp:positionH>
                <wp:positionV relativeFrom="line">
                  <wp:align>top</wp:align>
                </wp:positionV>
                <wp:extent cx="127000" cy="350520"/>
                <wp:effectExtent l="0" t="0" r="0" b="0"/>
                <wp:wrapSquare wrapText="right"/>
                <wp:docPr id="229" name="Frame2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8pt;mso-wrap-distance-bottom:0pt;margin-top:6.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events of default with respect to that series of debt securities, other than the nonpayment of the principal which became due solely by virtue of the declaration of acceleration, have been cured or waived. (Section 502; Section 5.02) </w:t>
      </w:r>
      <w:r>
        <mc:AlternateContent>
          <mc:Choice Requires="wps">
            <w:drawing>
              <wp:anchor behindDoc="0" distT="86360" distB="0" distL="254000" distR="0" simplePos="0" locked="0" layoutInCell="1" allowOverlap="1" relativeHeight="231">
                <wp:simplePos x="0" y="0"/>
                <wp:positionH relativeFrom="column">
                  <wp:align>left</wp:align>
                </wp:positionH>
                <wp:positionV relativeFrom="line">
                  <wp:align>top</wp:align>
                </wp:positionV>
                <wp:extent cx="127000" cy="350520"/>
                <wp:effectExtent l="0" t="0" r="0" b="0"/>
                <wp:wrapSquare wrapText="right"/>
                <wp:docPr id="230" name="Frame2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event of default occurs and is continuing, the trustee will generally have no obligation to exercise any of its rights or powers under the applicable indenture at the request or direction of any of the holders, unless the holders offer reasonable indemnity to the trustee. (Section 603; Section 6.03) The holders of a majority in principal amount of the outstanding debt securities of any series will generally have the right to direct the time, method and place of conducting any proceeding for any remedy available to the trustee or exercising any trust or power conferred on the trustee for the debt securities of that series, provided that: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direction is not in conflict with any law or the applicable indenture, </w:t>
      </w:r>
      <w:r>
        <mc:AlternateContent>
          <mc:Choice Requires="wps">
            <w:drawing>
              <wp:anchor behindDoc="0" distT="78740" distB="0" distL="254000" distR="0" simplePos="0" locked="0" layoutInCell="1" allowOverlap="1" relativeHeight="232">
                <wp:simplePos x="0" y="0"/>
                <wp:positionH relativeFrom="column">
                  <wp:align>left</wp:align>
                </wp:positionH>
                <wp:positionV relativeFrom="line">
                  <wp:align>top</wp:align>
                </wp:positionV>
                <wp:extent cx="127000" cy="350520"/>
                <wp:effectExtent l="0" t="0" r="0" b="0"/>
                <wp:wrapSquare wrapText="right"/>
                <wp:docPr id="231" name="Frame2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may take any other action it deems proper which is not inconsistent with the direction, and </w:t>
      </w:r>
      <w:r>
        <mc:AlternateContent>
          <mc:Choice Requires="wps">
            <w:drawing>
              <wp:anchor behindDoc="0" distT="86360" distB="0" distL="254000" distR="0" simplePos="0" locked="0" layoutInCell="1" allowOverlap="1" relativeHeight="233">
                <wp:simplePos x="0" y="0"/>
                <wp:positionH relativeFrom="column">
                  <wp:align>left</wp:align>
                </wp:positionH>
                <wp:positionV relativeFrom="line">
                  <wp:align>top</wp:align>
                </wp:positionV>
                <wp:extent cx="127000" cy="350520"/>
                <wp:effectExtent l="0" t="0" r="0" b="0"/>
                <wp:wrapSquare wrapText="right"/>
                <wp:docPr id="232" name="Frame2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will have the right to decline to follow the direction if an officer of the trustee determines, in good faith, that the proceeding would involve the trustee in personal liability or would otherwise be contrary to applicable law. (Section 512; Section 5.12) </w:t>
      </w:r>
      <w:r>
        <mc:AlternateContent>
          <mc:Choice Requires="wps">
            <w:drawing>
              <wp:anchor behindDoc="0" distT="86360" distB="0" distL="254000" distR="0" simplePos="0" locked="0" layoutInCell="1" allowOverlap="1" relativeHeight="234">
                <wp:simplePos x="0" y="0"/>
                <wp:positionH relativeFrom="column">
                  <wp:align>left</wp:align>
                </wp:positionH>
                <wp:positionV relativeFrom="line">
                  <wp:align>top</wp:align>
                </wp:positionV>
                <wp:extent cx="127000" cy="350520"/>
                <wp:effectExtent l="0" t="0" r="0" b="0"/>
                <wp:wrapSquare wrapText="right"/>
                <wp:docPr id="233" name="Frame2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holder of a debt security of any series may only pursue a remedy under the applicable indenture if: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 gives the trustee written notice of a continuing event of default for that series, </w:t>
      </w:r>
      <w:r>
        <mc:AlternateContent>
          <mc:Choice Requires="wps">
            <w:drawing>
              <wp:anchor behindDoc="0" distT="78740" distB="0" distL="254000" distR="0" simplePos="0" locked="0" layoutInCell="1" allowOverlap="1" relativeHeight="235">
                <wp:simplePos x="0" y="0"/>
                <wp:positionH relativeFrom="column">
                  <wp:align>left</wp:align>
                </wp:positionH>
                <wp:positionV relativeFrom="line">
                  <wp:align>top</wp:align>
                </wp:positionV>
                <wp:extent cx="127000" cy="350520"/>
                <wp:effectExtent l="0" t="0" r="0" b="0"/>
                <wp:wrapSquare wrapText="right"/>
                <wp:docPr id="234" name="Frame2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at least 25% in principal amount of the outstanding debt securities of that series make a written request to the trustee to institute proceedings with respect to the event of default, </w:t>
      </w:r>
      <w:r>
        <mc:AlternateContent>
          <mc:Choice Requires="wps">
            <w:drawing>
              <wp:anchor behindDoc="0" distT="87630" distB="0" distL="254000" distR="0" simplePos="0" locked="0" layoutInCell="1" allowOverlap="1" relativeHeight="236">
                <wp:simplePos x="0" y="0"/>
                <wp:positionH relativeFrom="column">
                  <wp:align>left</wp:align>
                </wp:positionH>
                <wp:positionV relativeFrom="line">
                  <wp:align>top</wp:align>
                </wp:positionV>
                <wp:extent cx="127000" cy="350520"/>
                <wp:effectExtent l="0" t="0" r="0" b="0"/>
                <wp:wrapSquare wrapText="right"/>
                <wp:docPr id="235" name="Frame2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offer reasonable indemnity to the trustee, </w:t>
      </w:r>
      <w:r>
        <mc:AlternateContent>
          <mc:Choice Requires="wps">
            <w:drawing>
              <wp:anchor behindDoc="0" distT="87630" distB="0" distL="254000" distR="0" simplePos="0" locked="0" layoutInCell="1" allowOverlap="1" relativeHeight="237">
                <wp:simplePos x="0" y="0"/>
                <wp:positionH relativeFrom="column">
                  <wp:align>left</wp:align>
                </wp:positionH>
                <wp:positionV relativeFrom="line">
                  <wp:align>top</wp:align>
                </wp:positionV>
                <wp:extent cx="127000" cy="350520"/>
                <wp:effectExtent l="0" t="0" r="0" b="0"/>
                <wp:wrapSquare wrapText="right"/>
                <wp:docPr id="236" name="Frame2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fails to pursue that remedy within 60 days after receipt of the notice, request and offer of indemnity, and </w:t>
      </w:r>
      <w:r>
        <mc:AlternateContent>
          <mc:Choice Requires="wps">
            <w:drawing>
              <wp:anchor behindDoc="0" distT="87630" distB="0" distL="254000" distR="0" simplePos="0" locked="0" layoutInCell="1" allowOverlap="1" relativeHeight="238">
                <wp:simplePos x="0" y="0"/>
                <wp:positionH relativeFrom="column">
                  <wp:align>left</wp:align>
                </wp:positionH>
                <wp:positionV relativeFrom="line">
                  <wp:align>top</wp:align>
                </wp:positionV>
                <wp:extent cx="127000" cy="350520"/>
                <wp:effectExtent l="0" t="0" r="0" b="0"/>
                <wp:wrapSquare wrapText="right"/>
                <wp:docPr id="237" name="Frame2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that 60-day period, the holders of a majority in principal amount of the debt securities of that series do not give the trustee a direction inconsistent with the request. (Section 507; Section 5.07) </w:t>
      </w:r>
      <w:r>
        <mc:AlternateContent>
          <mc:Choice Requires="wps">
            <w:drawing>
              <wp:anchor behindDoc="0" distT="87630" distB="0" distL="254000" distR="0" simplePos="0" locked="0" layoutInCell="1" allowOverlap="1" relativeHeight="239">
                <wp:simplePos x="0" y="0"/>
                <wp:positionH relativeFrom="column">
                  <wp:align>left</wp:align>
                </wp:positionH>
                <wp:positionV relativeFrom="line">
                  <wp:align>top</wp:align>
                </wp:positionV>
                <wp:extent cx="127000" cy="350520"/>
                <wp:effectExtent l="0" t="0" r="0" b="0"/>
                <wp:wrapSquare wrapText="right"/>
                <wp:docPr id="238" name="Frame2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these limitations do not apply to a suit by a holder of a debt security demanding payment of the principal, premium, if any, or interest on a debt security on or after the date the payment is due. (Section 508; Section 5.08)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be required to furnish to the trustee annually a statement by some of our officers regarding our performance or observance of any of the terms of the applicable indenture and specifying all of our known defaults, if any. (Section 1004; Section 10.04)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Modification and Waiver.</w:t>
      </w:r>
      <w:r>
        <w:rPr>
          <w:rFonts w:ascii="Times New Roman;Times;serif" w:hAnsi="Times New Roman;Times;serif"/>
          <w:b w:val="false"/>
          <w:i w:val="false"/>
          <w:caps w:val="false"/>
          <w:smallCaps w:val="false"/>
          <w:color w:val="000000"/>
          <w:spacing w:val="4"/>
          <w:sz w:val="20"/>
        </w:rPr>
        <w:t xml:space="preserve">   We may enter into one or more supplemental indentures to either indenture with the trustee without the consent of the holders of the debt securities to: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evidence the succession of another corporation to us, or successive successions and the assumption of our covenants, agreements and obligations by a successor, </w:t>
      </w:r>
      <w:r>
        <mc:AlternateContent>
          <mc:Choice Requires="wps">
            <w:drawing>
              <wp:anchor behindDoc="0" distT="74930" distB="0" distL="254000" distR="0" simplePos="0" locked="0" layoutInCell="1" allowOverlap="1" relativeHeight="240">
                <wp:simplePos x="0" y="0"/>
                <wp:positionH relativeFrom="column">
                  <wp:align>left</wp:align>
                </wp:positionH>
                <wp:positionV relativeFrom="line">
                  <wp:align>top</wp:align>
                </wp:positionV>
                <wp:extent cx="127000" cy="350520"/>
                <wp:effectExtent l="0" t="0" r="0" b="0"/>
                <wp:wrapSquare wrapText="right"/>
                <wp:docPr id="239" name="Frame2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 to our covenants for the benefit of the holders of any series of debt securities or to surrender any of our rights or powers, </w:t>
      </w:r>
      <w:r>
        <mc:AlternateContent>
          <mc:Choice Requires="wps">
            <w:drawing>
              <wp:anchor behindDoc="0" distT="74930" distB="0" distL="254000" distR="0" simplePos="0" locked="0" layoutInCell="1" allowOverlap="1" relativeHeight="241">
                <wp:simplePos x="0" y="0"/>
                <wp:positionH relativeFrom="column">
                  <wp:align>left</wp:align>
                </wp:positionH>
                <wp:positionV relativeFrom="line">
                  <wp:align>top</wp:align>
                </wp:positionV>
                <wp:extent cx="127000" cy="350520"/>
                <wp:effectExtent l="0" t="0" r="0" b="0"/>
                <wp:wrapSquare wrapText="right"/>
                <wp:docPr id="240" name="Frame2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 events of default for any series of debt securities, </w:t>
      </w:r>
      <w:r>
        <mc:AlternateContent>
          <mc:Choice Requires="wps">
            <w:drawing>
              <wp:anchor behindDoc="0" distT="76200" distB="0" distL="254000" distR="0" simplePos="0" locked="0" layoutInCell="1" allowOverlap="1" relativeHeight="242">
                <wp:simplePos x="0" y="0"/>
                <wp:positionH relativeFrom="column">
                  <wp:align>left</wp:align>
                </wp:positionH>
                <wp:positionV relativeFrom="line">
                  <wp:align>top</wp:align>
                </wp:positionV>
                <wp:extent cx="127000" cy="350520"/>
                <wp:effectExtent l="0" t="0" r="0" b="0"/>
                <wp:wrapSquare wrapText="right"/>
                <wp:docPr id="241" name="Frame2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 to or change any provision of the applicable indenture to the extent necessary to issue debt securities in bearer form, </w:t>
      </w:r>
      <w:r>
        <mc:AlternateContent>
          <mc:Choice Requires="wps">
            <w:drawing>
              <wp:anchor behindDoc="0" distT="76200" distB="0" distL="254000" distR="0" simplePos="0" locked="0" layoutInCell="1" allowOverlap="1" relativeHeight="243">
                <wp:simplePos x="0" y="0"/>
                <wp:positionH relativeFrom="column">
                  <wp:align>left</wp:align>
                </wp:positionH>
                <wp:positionV relativeFrom="line">
                  <wp:align>top</wp:align>
                </wp:positionV>
                <wp:extent cx="127000" cy="350520"/>
                <wp:effectExtent l="0" t="0" r="0" b="0"/>
                <wp:wrapSquare wrapText="right"/>
                <wp:docPr id="242" name="Frame2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 to, change or eliminate any provision of the applicable indenture applying to one or more series of debt securities, including, for the junior subordinated indenture, the subordination provisions, provided that if such action adversely affects the interests of any holder of any series of debt securities issued thereunder, the addition, change or elimination will become effective with respect to that series only when no security of that series remains outstanding, </w:t>
      </w:r>
      <w:r>
        <mc:AlternateContent>
          <mc:Choice Requires="wps">
            <w:drawing>
              <wp:anchor behindDoc="0" distT="76200" distB="0" distL="254000" distR="0" simplePos="0" locked="0" layoutInCell="1" allowOverlap="1" relativeHeight="244">
                <wp:simplePos x="0" y="0"/>
                <wp:positionH relativeFrom="column">
                  <wp:align>left</wp:align>
                </wp:positionH>
                <wp:positionV relativeFrom="line">
                  <wp:align>top</wp:align>
                </wp:positionV>
                <wp:extent cx="127000" cy="350520"/>
                <wp:effectExtent l="0" t="0" r="0" b="0"/>
                <wp:wrapSquare wrapText="right"/>
                <wp:docPr id="243" name="Frame2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convey, transfer, assign, mortgage or pledge any property to or with the trustee or to surrender any right or power conferred upon us by the applicable indenture, </w:t>
      </w:r>
      <w:r>
        <mc:AlternateContent>
          <mc:Choice Requires="wps">
            <w:drawing>
              <wp:anchor behindDoc="0" distT="76200" distB="0" distL="254000" distR="0" simplePos="0" locked="0" layoutInCell="1" allowOverlap="1" relativeHeight="245">
                <wp:simplePos x="0" y="0"/>
                <wp:positionH relativeFrom="column">
                  <wp:align>left</wp:align>
                </wp:positionH>
                <wp:positionV relativeFrom="line">
                  <wp:align>top</wp:align>
                </wp:positionV>
                <wp:extent cx="127000" cy="350520"/>
                <wp:effectExtent l="0" t="0" r="0" b="0"/>
                <wp:wrapSquare wrapText="right"/>
                <wp:docPr id="244" name="Frame2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establish the form or terms of any series of debt securities, </w:t>
      </w:r>
      <w:r>
        <mc:AlternateContent>
          <mc:Choice Requires="wps">
            <w:drawing>
              <wp:anchor behindDoc="0" distT="76200" distB="0" distL="254000" distR="0" simplePos="0" locked="0" layoutInCell="1" allowOverlap="1" relativeHeight="246">
                <wp:simplePos x="0" y="0"/>
                <wp:positionH relativeFrom="column">
                  <wp:align>left</wp:align>
                </wp:positionH>
                <wp:positionV relativeFrom="line">
                  <wp:align>top</wp:align>
                </wp:positionV>
                <wp:extent cx="127000" cy="350520"/>
                <wp:effectExtent l="0" t="0" r="0" b="0"/>
                <wp:wrapSquare wrapText="right"/>
                <wp:docPr id="245" name="Frame2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 for uncertificated securities in addition to certificated securities, </w:t>
      </w:r>
      <w:r>
        <mc:AlternateContent>
          <mc:Choice Requires="wps">
            <w:drawing>
              <wp:anchor behindDoc="0" distT="76200" distB="0" distL="254000" distR="0" simplePos="0" locked="0" layoutInCell="1" allowOverlap="1" relativeHeight="247">
                <wp:simplePos x="0" y="0"/>
                <wp:positionH relativeFrom="column">
                  <wp:align>left</wp:align>
                </wp:positionH>
                <wp:positionV relativeFrom="line">
                  <wp:align>top</wp:align>
                </wp:positionV>
                <wp:extent cx="127000" cy="350520"/>
                <wp:effectExtent l="0" t="0" r="0" b="0"/>
                <wp:wrapSquare wrapText="right"/>
                <wp:docPr id="246" name="Frame2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evidence and provide for successor trustees or to add to or change any provisions to the extent necessary to appoint a separate trustee or trustees for a specific series of debt securities, </w:t>
      </w:r>
      <w:r>
        <mc:AlternateContent>
          <mc:Choice Requires="wps">
            <w:drawing>
              <wp:anchor behindDoc="0" distT="76200" distB="0" distL="254000" distR="0" simplePos="0" locked="0" layoutInCell="1" allowOverlap="1" relativeHeight="248">
                <wp:simplePos x="0" y="0"/>
                <wp:positionH relativeFrom="column">
                  <wp:align>left</wp:align>
                </wp:positionH>
                <wp:positionV relativeFrom="line">
                  <wp:align>top</wp:align>
                </wp:positionV>
                <wp:extent cx="127000" cy="350520"/>
                <wp:effectExtent l="0" t="0" r="0" b="0"/>
                <wp:wrapSquare wrapText="right"/>
                <wp:docPr id="247" name="Frame2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correct any ambiguity, defect or inconsistency under the applicable indenture, provided that such action does not adversely affect the interests of the holders of any series of debt securities issued thereunder, </w:t>
      </w:r>
      <w:r>
        <mc:AlternateContent>
          <mc:Choice Requires="wps">
            <w:drawing>
              <wp:anchor behindDoc="0" distT="76200" distB="0" distL="254000" distR="0" simplePos="0" locked="0" layoutInCell="1" allowOverlap="1" relativeHeight="249">
                <wp:simplePos x="0" y="0"/>
                <wp:positionH relativeFrom="column">
                  <wp:align>left</wp:align>
                </wp:positionH>
                <wp:positionV relativeFrom="line">
                  <wp:align>top</wp:align>
                </wp:positionV>
                <wp:extent cx="127000" cy="350520"/>
                <wp:effectExtent l="0" t="0" r="0" b="0"/>
                <wp:wrapSquare wrapText="right"/>
                <wp:docPr id="248" name="Frame2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supplement any provisions of the applicable indenture necessary to defease and discharge any series of debt securities, provided that such action does not adversely affect the interests of the holders of any series of debt securities issued thereunder, </w:t>
      </w:r>
      <w:r>
        <mc:AlternateContent>
          <mc:Choice Requires="wps">
            <w:drawing>
              <wp:anchor behindDoc="0" distT="76200" distB="0" distL="254000" distR="0" simplePos="0" locked="0" layoutInCell="1" allowOverlap="1" relativeHeight="250">
                <wp:simplePos x="0" y="0"/>
                <wp:positionH relativeFrom="column">
                  <wp:align>left</wp:align>
                </wp:positionH>
                <wp:positionV relativeFrom="line">
                  <wp:align>top</wp:align>
                </wp:positionV>
                <wp:extent cx="127000" cy="350520"/>
                <wp:effectExtent l="0" t="0" r="0" b="0"/>
                <wp:wrapSquare wrapText="right"/>
                <wp:docPr id="249" name="Frame2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comply with the rules or regulations of any securities exchange or automated quotation system on which any debt securities are listed or traded, or </w:t>
      </w:r>
      <w:r>
        <mc:AlternateContent>
          <mc:Choice Requires="wps">
            <w:drawing>
              <wp:anchor behindDoc="0" distT="76200" distB="0" distL="254000" distR="0" simplePos="0" locked="0" layoutInCell="1" allowOverlap="1" relativeHeight="251">
                <wp:simplePos x="0" y="0"/>
                <wp:positionH relativeFrom="column">
                  <wp:align>left</wp:align>
                </wp:positionH>
                <wp:positionV relativeFrom="line">
                  <wp:align>top</wp:align>
                </wp:positionV>
                <wp:extent cx="127000" cy="350520"/>
                <wp:effectExtent l="0" t="0" r="0" b="0"/>
                <wp:wrapSquare wrapText="right"/>
                <wp:docPr id="250" name="Frame2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 change or eliminate any provisions of the applicable indenture in accordance with any amendments to the Trust Indenture Act, provided that the action does not adversely affect the rights or interests of any holder of debt securities issued thereunder. (Section 901; Section 9.01) </w:t>
      </w:r>
      <w:r>
        <mc:AlternateContent>
          <mc:Choice Requires="wps">
            <w:drawing>
              <wp:anchor behindDoc="0" distT="76200" distB="0" distL="254000" distR="0" simplePos="0" locked="0" layoutInCell="1" allowOverlap="1" relativeHeight="252">
                <wp:simplePos x="0" y="0"/>
                <wp:positionH relativeFrom="column">
                  <wp:align>left</wp:align>
                </wp:positionH>
                <wp:positionV relativeFrom="line">
                  <wp:align>top</wp:align>
                </wp:positionV>
                <wp:extent cx="127000" cy="350520"/>
                <wp:effectExtent l="0" t="0" r="0" b="0"/>
                <wp:wrapSquare wrapText="right"/>
                <wp:docPr id="251" name="Frame2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enter into one or more supplemental indentures to either indenture with the trustee to add to, change or eliminate provisions of such indenture or to modify the rights of the holders of one or more series of debt securities if we obtain the consent of the holders of a majority in principal amount of the outstanding debt securities of each series affected by the supplemental indenture, treated as one class. However, without the consent of the holders of each outstanding debt security affected by the supplemental indenture, we may not enter into a supplemental indenture that: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the stated maturity of the principal of, or any installment of principal of or interest on, any debt security, except to the extent permitted by the applicable indenture, </w:t>
      </w:r>
      <w:r>
        <mc:AlternateContent>
          <mc:Choice Requires="wps">
            <w:drawing>
              <wp:anchor behindDoc="0" distT="76200" distB="0" distL="254000" distR="0" simplePos="0" locked="0" layoutInCell="1" allowOverlap="1" relativeHeight="253">
                <wp:simplePos x="0" y="0"/>
                <wp:positionH relativeFrom="column">
                  <wp:align>left</wp:align>
                </wp:positionH>
                <wp:positionV relativeFrom="line">
                  <wp:align>top</wp:align>
                </wp:positionV>
                <wp:extent cx="127000" cy="350520"/>
                <wp:effectExtent l="0" t="0" r="0" b="0"/>
                <wp:wrapSquare wrapText="right"/>
                <wp:docPr id="252" name="Frame2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reduces the principal amount of, or any premium or interest on, any debt security, </w:t>
      </w:r>
      <w:r>
        <mc:AlternateContent>
          <mc:Choice Requires="wps">
            <w:drawing>
              <wp:anchor behindDoc="0" distT="76200" distB="0" distL="254000" distR="0" simplePos="0" locked="0" layoutInCell="1" allowOverlap="1" relativeHeight="254">
                <wp:simplePos x="0" y="0"/>
                <wp:positionH relativeFrom="column">
                  <wp:align>left</wp:align>
                </wp:positionH>
                <wp:positionV relativeFrom="line">
                  <wp:align>top</wp:align>
                </wp:positionV>
                <wp:extent cx="127000" cy="350520"/>
                <wp:effectExtent l="0" t="0" r="0" b="0"/>
                <wp:wrapSquare wrapText="right"/>
                <wp:docPr id="253" name="Frame2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reduces the amount of principal of an original issue discount security or any other debt security payable upon acceleration of the maturity thereof, </w:t>
      </w:r>
      <w:r>
        <mc:AlternateContent>
          <mc:Choice Requires="wps">
            <w:drawing>
              <wp:anchor behindDoc="0" distT="0" distB="0" distL="254000" distR="0" simplePos="0" locked="0" layoutInCell="1" allowOverlap="1" relativeHeight="255">
                <wp:simplePos x="0" y="0"/>
                <wp:positionH relativeFrom="column">
                  <wp:align>left</wp:align>
                </wp:positionH>
                <wp:positionV relativeFrom="line">
                  <wp:posOffset>635</wp:posOffset>
                </wp:positionV>
                <wp:extent cx="127000" cy="350520"/>
                <wp:effectExtent l="0" t="0" r="0" b="0"/>
                <wp:wrapSquare wrapText="right"/>
                <wp:docPr id="254" name="Frame2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the place or currency of payment of principal, premium, if any, or interest, </w:t>
      </w:r>
      <w:r>
        <mc:AlternateContent>
          <mc:Choice Requires="wps">
            <w:drawing>
              <wp:anchor behindDoc="0" distT="77470" distB="0" distL="254000" distR="0" simplePos="0" locked="0" layoutInCell="1" allowOverlap="1" relativeHeight="256">
                <wp:simplePos x="0" y="0"/>
                <wp:positionH relativeFrom="column">
                  <wp:align>left</wp:align>
                </wp:positionH>
                <wp:positionV relativeFrom="line">
                  <wp:align>top</wp:align>
                </wp:positionV>
                <wp:extent cx="127000" cy="350520"/>
                <wp:effectExtent l="0" t="0" r="0" b="0"/>
                <wp:wrapSquare wrapText="right"/>
                <wp:docPr id="255" name="Frame2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impairs the right to institute suit for the enforcement of any payment on any debt security, </w:t>
      </w:r>
      <w:r>
        <mc:AlternateContent>
          <mc:Choice Requires="wps">
            <w:drawing>
              <wp:anchor behindDoc="0" distT="77470" distB="0" distL="254000" distR="0" simplePos="0" locked="0" layoutInCell="1" allowOverlap="1" relativeHeight="257">
                <wp:simplePos x="0" y="0"/>
                <wp:positionH relativeFrom="column">
                  <wp:align>left</wp:align>
                </wp:positionH>
                <wp:positionV relativeFrom="line">
                  <wp:align>top</wp:align>
                </wp:positionV>
                <wp:extent cx="127000" cy="350520"/>
                <wp:effectExtent l="0" t="0" r="0" b="0"/>
                <wp:wrapSquare wrapText="right"/>
                <wp:docPr id="256" name="Frame2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reduces the percentage in principal amount of outstanding debt securities of any series, the consent of whose holders is required for modification of the applicable indenture, for waiver of compliance with certain provisions of such indenture or for waiver of certain defaults, </w:t>
      </w:r>
      <w:r>
        <mc:AlternateContent>
          <mc:Choice Requires="wps">
            <w:drawing>
              <wp:anchor behindDoc="0" distT="77470" distB="0" distL="254000" distR="0" simplePos="0" locked="0" layoutInCell="1" allowOverlap="1" relativeHeight="258">
                <wp:simplePos x="0" y="0"/>
                <wp:positionH relativeFrom="column">
                  <wp:align>left</wp:align>
                </wp:positionH>
                <wp:positionV relativeFrom="line">
                  <wp:align>top</wp:align>
                </wp:positionV>
                <wp:extent cx="127000" cy="350520"/>
                <wp:effectExtent l="0" t="0" r="0" b="0"/>
                <wp:wrapSquare wrapText="right"/>
                <wp:docPr id="257" name="Frame2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makes certain modifications to the provisions for modification of the applicable indenture and for certain waivers, except to increase the principal amount of debt securities necessary to consent to any such charge, </w:t>
      </w:r>
      <w:r>
        <mc:AlternateContent>
          <mc:Choice Requires="wps">
            <w:drawing>
              <wp:anchor behindDoc="0" distT="77470" distB="0" distL="254000" distR="0" simplePos="0" locked="0" layoutInCell="1" allowOverlap="1" relativeHeight="259">
                <wp:simplePos x="0" y="0"/>
                <wp:positionH relativeFrom="column">
                  <wp:align>left</wp:align>
                </wp:positionH>
                <wp:positionV relativeFrom="line">
                  <wp:align>top</wp:align>
                </wp:positionV>
                <wp:extent cx="127000" cy="350520"/>
                <wp:effectExtent l="0" t="0" r="0" b="0"/>
                <wp:wrapSquare wrapText="right"/>
                <wp:docPr id="258" name="Frame2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the junior subordinated indenture, modifies the subordination provisions in a manner adverse to the holders of the junior subordinated debt securities, </w:t>
      </w:r>
      <w:r>
        <mc:AlternateContent>
          <mc:Choice Requires="wps">
            <w:drawing>
              <wp:anchor behindDoc="0" distT="77470" distB="0" distL="254000" distR="0" simplePos="0" locked="0" layoutInCell="1" allowOverlap="1" relativeHeight="260">
                <wp:simplePos x="0" y="0"/>
                <wp:positionH relativeFrom="column">
                  <wp:align>left</wp:align>
                </wp:positionH>
                <wp:positionV relativeFrom="line">
                  <wp:align>top</wp:align>
                </wp:positionV>
                <wp:extent cx="127000" cy="350520"/>
                <wp:effectExtent l="0" t="0" r="0" b="0"/>
                <wp:wrapSquare wrapText="right"/>
                <wp:docPr id="259" name="Frame2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makes any change that adversely affects the right to convert or exchange any debt security or decreases the conversion or exchange rate or increases the conversion price of any convertible or exchangeable debt security, or </w:t>
      </w:r>
      <w:r>
        <mc:AlternateContent>
          <mc:Choice Requires="wps">
            <w:drawing>
              <wp:anchor behindDoc="0" distT="77470" distB="0" distL="254000" distR="0" simplePos="0" locked="0" layoutInCell="1" allowOverlap="1" relativeHeight="261">
                <wp:simplePos x="0" y="0"/>
                <wp:positionH relativeFrom="column">
                  <wp:align>left</wp:align>
                </wp:positionH>
                <wp:positionV relativeFrom="line">
                  <wp:align>top</wp:align>
                </wp:positionV>
                <wp:extent cx="127000" cy="350520"/>
                <wp:effectExtent l="0" t="0" r="0" b="0"/>
                <wp:wrapSquare wrapText="right"/>
                <wp:docPr id="260" name="Frame2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the terms and conditions pursuant to which any series of debt securities is secured in a manner adverse to the holders of the debt securities. (Section 902; Section 9.02) </w:t>
      </w:r>
      <w:r>
        <mc:AlternateContent>
          <mc:Choice Requires="wps">
            <w:drawing>
              <wp:anchor behindDoc="0" distT="77470" distB="0" distL="254000" distR="0" simplePos="0" locked="0" layoutInCell="1" allowOverlap="1" relativeHeight="262">
                <wp:simplePos x="0" y="0"/>
                <wp:positionH relativeFrom="column">
                  <wp:align>left</wp:align>
                </wp:positionH>
                <wp:positionV relativeFrom="line">
                  <wp:align>top</wp:align>
                </wp:positionV>
                <wp:extent cx="127000" cy="350520"/>
                <wp:effectExtent l="0" t="0" r="0" b="0"/>
                <wp:wrapSquare wrapText="right"/>
                <wp:docPr id="261" name="Frame2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we may not modify the subordination provisions of any outstanding junior subordinated debt securities without the consent of each holder of our senior indebtedness that would be adversely affected thereby. The term “senior indebtedness” is defined below under “— Provisions Applicable Solely to Junior Subordinated Debt Securities — Subordination.”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a majority in principal amount of the outstanding debt securities of any series may waive past defaults or noncompliance with restrictive provisions of the applicable indenture with respect to such series. However, the consent of holders of each outstanding debt security of a series is required to: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waive any default in the payment of principal, premium, if any, or interest, or </w:t>
      </w:r>
      <w:r>
        <mc:AlternateContent>
          <mc:Choice Requires="wps">
            <w:drawing>
              <wp:anchor behindDoc="0" distT="77470" distB="0" distL="254000" distR="0" simplePos="0" locked="0" layoutInCell="1" allowOverlap="1" relativeHeight="263">
                <wp:simplePos x="0" y="0"/>
                <wp:positionH relativeFrom="column">
                  <wp:align>left</wp:align>
                </wp:positionH>
                <wp:positionV relativeFrom="line">
                  <wp:align>top</wp:align>
                </wp:positionV>
                <wp:extent cx="127000" cy="350520"/>
                <wp:effectExtent l="0" t="0" r="0" b="0"/>
                <wp:wrapSquare wrapText="right"/>
                <wp:docPr id="262" name="Frame2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waive any covenants and provisions of the applicable indenture that may not be amended without the consent of the holder of each outstanding debt security of the series affected. (Sections 513 and 1006; Sections 5.13 and 10.06) </w:t>
      </w:r>
      <w:r>
        <mc:AlternateContent>
          <mc:Choice Requires="wps">
            <w:drawing>
              <wp:anchor behindDoc="0" distT="77470" distB="0" distL="254000" distR="0" simplePos="0" locked="0" layoutInCell="1" allowOverlap="1" relativeHeight="264">
                <wp:simplePos x="0" y="0"/>
                <wp:positionH relativeFrom="column">
                  <wp:align>left</wp:align>
                </wp:positionH>
                <wp:positionV relativeFrom="line">
                  <wp:align>top</wp:align>
                </wp:positionV>
                <wp:extent cx="127000" cy="350520"/>
                <wp:effectExtent l="0" t="0" r="0" b="0"/>
                <wp:wrapSquare wrapText="right"/>
                <wp:docPr id="263" name="Frame2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determine whether the holders of the requisite principal amount of the outstanding debt securities have taken an action under the applicable indenture as of a specified date: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principal amount of an “original issue discount security” that will be deemed to be outstanding will be the amount of the principal that would be due and payable as of that date upon acceleration of the maturity to that date, </w:t>
      </w:r>
      <w:r>
        <mc:AlternateContent>
          <mc:Choice Requires="wps">
            <w:drawing>
              <wp:anchor behindDoc="0" distT="77470" distB="0" distL="254000" distR="0" simplePos="0" locked="0" layoutInCell="1" allowOverlap="1" relativeHeight="265">
                <wp:simplePos x="0" y="0"/>
                <wp:positionH relativeFrom="column">
                  <wp:align>left</wp:align>
                </wp:positionH>
                <wp:positionV relativeFrom="line">
                  <wp:align>top</wp:align>
                </wp:positionV>
                <wp:extent cx="127000" cy="350520"/>
                <wp:effectExtent l="0" t="0" r="0" b="0"/>
                <wp:wrapSquare wrapText="right"/>
                <wp:docPr id="264" name="Frame2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as of that date, the principal amount payable at the stated maturity of a debt security is not determinable, for example, because it is based on an index, the principal amount of the debt security deemed to be outstanding as of that date will be an amount determined in the manner prescribed for the debt security, </w:t>
      </w:r>
      <w:r>
        <mc:AlternateContent>
          <mc:Choice Requires="wps">
            <w:drawing>
              <wp:anchor behindDoc="0" distT="76200" distB="0" distL="254000" distR="0" simplePos="0" locked="0" layoutInCell="1" allowOverlap="1" relativeHeight="266">
                <wp:simplePos x="0" y="0"/>
                <wp:positionH relativeFrom="column">
                  <wp:align>left</wp:align>
                </wp:positionH>
                <wp:positionV relativeFrom="line">
                  <wp:align>top</wp:align>
                </wp:positionV>
                <wp:extent cx="127000" cy="350520"/>
                <wp:effectExtent l="0" t="0" r="0" b="0"/>
                <wp:wrapSquare wrapText="right"/>
                <wp:docPr id="265" name="Frame2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principal amount of a debt security denominated in one or more foreign currencies or currency units that will be deemed to be outstanding will be the U.S. dollar equivalent, determined as of that date in the manner prescribed for the debt security, of the principal amount of the debt security or, in the case of a debt security described in the two preceding bullet points, of the amount described above, and </w:t>
      </w:r>
      <w:r>
        <mc:AlternateContent>
          <mc:Choice Requires="wps">
            <w:drawing>
              <wp:anchor behindDoc="0" distT="76200" distB="0" distL="254000" distR="0" simplePos="0" locked="0" layoutInCell="1" allowOverlap="1" relativeHeight="267">
                <wp:simplePos x="0" y="0"/>
                <wp:positionH relativeFrom="column">
                  <wp:align>left</wp:align>
                </wp:positionH>
                <wp:positionV relativeFrom="line">
                  <wp:align>top</wp:align>
                </wp:positionV>
                <wp:extent cx="127000" cy="350520"/>
                <wp:effectExtent l="0" t="0" r="0" b="0"/>
                <wp:wrapSquare wrapText="right"/>
                <wp:docPr id="266" name="Frame2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debt securities owned by us or any other obligor upon the debt securities or any of our or their affiliates will be disregarded and deemed not to be outstanding. </w:t>
      </w:r>
      <w:r>
        <mc:AlternateContent>
          <mc:Choice Requires="wps">
            <w:drawing>
              <wp:anchor behindDoc="0" distT="76200" distB="0" distL="254000" distR="0" simplePos="0" locked="0" layoutInCell="1" allowOverlap="1" relativeHeight="268">
                <wp:simplePos x="0" y="0"/>
                <wp:positionH relativeFrom="column">
                  <wp:align>left</wp:align>
                </wp:positionH>
                <wp:positionV relativeFrom="line">
                  <wp:align>top</wp:align>
                </wp:positionV>
                <wp:extent cx="127000" cy="350520"/>
                <wp:effectExtent l="0" t="0" r="0" b="0"/>
                <wp:wrapSquare wrapText="right"/>
                <wp:docPr id="267" name="Frame2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“original issue discount security” means a debt security issued under either indenture which provides for an amount less than the principal amount thereof to be due and payable upon a declaration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acceleration of maturity. Some debt securities, including those for the payment or redemption of which money has been deposited or set aside in trust for the holders and those that have been fully defeased pursuant to Section 1402 or Section 14.02 of the applicable indenture, will not be deemed to be outstanding. (Section 101; Section 1.01)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generally be entitled to set any day as a record date for determining the holders of outstanding debt securities of any series entitled to give or take any direction, notice, consent, waiver or other action under the applicable indenture. In limited circumstances, the trustee will be entitled to set a record date for action by holders of outstanding debt securities. If a record date is set for any action to be taken by holders of a particular series, the action may be taken only by persons who are holders of outstanding debt securities of that series on the record date. To be effective, the action must be taken by holders of the requisite principal amount of debt securities within a specified period following the record date. For any particular record date, this period will be 180 days or such shorter period as we may specify, or the trustee may specify, if it set the record date. (Section 104; Section 1.04)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Satisfaction and Discharge.</w:t>
      </w:r>
      <w:r>
        <w:rPr>
          <w:rFonts w:ascii="Times New Roman;Times;serif" w:hAnsi="Times New Roman;Times;serif"/>
          <w:b w:val="false"/>
          <w:i w:val="false"/>
          <w:caps w:val="false"/>
          <w:smallCaps w:val="false"/>
          <w:color w:val="000000"/>
          <w:spacing w:val="4"/>
          <w:sz w:val="20"/>
        </w:rPr>
        <w:t xml:space="preserve">   We may discharge our obligations under either indenture while debt securities remain outstanding if (1) all outstanding debt securities issued under the applicable indenture have become due and payable, (2) all outstanding debt securities issued under the applicable indenture will become due and payable at their scheduled maturity within one year, or (3) all outstanding debt securities issued under the applicable indenture are scheduled for redemption in one year, and in each case, we have deposited with the trustee an amount sufficient to pay and discharge all outstanding debt securities issued under the applicable indenture on the date of their scheduled maturity or the scheduled date of redemption and we have paid all other sums payable under the applicable indenture.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Defeasance.</w:t>
      </w:r>
      <w:r>
        <w:rPr>
          <w:rFonts w:ascii="Times New Roman;Times;serif" w:hAnsi="Times New Roman;Times;serif"/>
          <w:b w:val="false"/>
          <w:i w:val="false"/>
          <w:caps w:val="false"/>
          <w:smallCaps w:val="false"/>
          <w:color w:val="000000"/>
          <w:spacing w:val="4"/>
          <w:sz w:val="20"/>
        </w:rPr>
        <w:t xml:space="preserve">   When we use the term defeasance, we mean discharge from some or all of our obligations under either indenture. Unless we inform you otherwise in the prospectus supplement, if we deposit with the trustee funds or government securities sufficient to make payments on the debt securities of a series on the dates those payments are due and payable, then, at our option, either of the following will occur: </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be discharged from our obligations with respect to the debt securities of that series (“legal defeasance”), or </w:t>
      </w:r>
      <w:r>
        <mc:AlternateContent>
          <mc:Choice Requires="wps">
            <w:drawing>
              <wp:anchor behindDoc="0" distT="68580" distB="0" distL="254000" distR="0" simplePos="0" locked="0" layoutInCell="1" allowOverlap="1" relativeHeight="269">
                <wp:simplePos x="0" y="0"/>
                <wp:positionH relativeFrom="column">
                  <wp:align>left</wp:align>
                </wp:positionH>
                <wp:positionV relativeFrom="line">
                  <wp:align>top</wp:align>
                </wp:positionV>
                <wp:extent cx="127000" cy="350520"/>
                <wp:effectExtent l="0" t="0" r="0" b="0"/>
                <wp:wrapSquare wrapText="right"/>
                <wp:docPr id="268" name="Frame2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no longer have any obligation to comply with the restrictive covenants under the applicable indenture, and the related events of default will no longer apply to us, but some of our other obligations under the indenture and the debt securities of that series, including our obligation to make payments on those debt securities, will survive. </w:t>
      </w:r>
      <w:r>
        <mc:AlternateContent>
          <mc:Choice Requires="wps">
            <w:drawing>
              <wp:anchor behindDoc="0" distT="67310" distB="0" distL="254000" distR="0" simplePos="0" locked="0" layoutInCell="1" allowOverlap="1" relativeHeight="270">
                <wp:simplePos x="0" y="0"/>
                <wp:positionH relativeFrom="column">
                  <wp:align>left</wp:align>
                </wp:positionH>
                <wp:positionV relativeFrom="line">
                  <wp:align>top</wp:align>
                </wp:positionV>
                <wp:extent cx="127000" cy="350520"/>
                <wp:effectExtent l="0" t="0" r="0" b="0"/>
                <wp:wrapSquare wrapText="right"/>
                <wp:docPr id="269" name="Frame2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effect legal defeasance of a series of debt securities, the holders of the debt securities of the series affected will not be entitled to the benefits of the applicable indenture, except for our obligations to: </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register the transfer or exchange of debt securities, </w:t>
      </w:r>
      <w:r>
        <mc:AlternateContent>
          <mc:Choice Requires="wps">
            <w:drawing>
              <wp:anchor behindDoc="0" distT="68580" distB="0" distL="254000" distR="0" simplePos="0" locked="0" layoutInCell="1" allowOverlap="1" relativeHeight="271">
                <wp:simplePos x="0" y="0"/>
                <wp:positionH relativeFrom="column">
                  <wp:align>left</wp:align>
                </wp:positionH>
                <wp:positionV relativeFrom="line">
                  <wp:align>top</wp:align>
                </wp:positionV>
                <wp:extent cx="127000" cy="350520"/>
                <wp:effectExtent l="0" t="0" r="0" b="0"/>
                <wp:wrapSquare wrapText="right"/>
                <wp:docPr id="270" name="Frame2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replace mutilated, destroyed, lost or stolen debt securities, and </w:t>
      </w:r>
      <w:r>
        <mc:AlternateContent>
          <mc:Choice Requires="wps">
            <w:drawing>
              <wp:anchor behindDoc="0" distT="67310" distB="0" distL="254000" distR="0" simplePos="0" locked="0" layoutInCell="1" allowOverlap="1" relativeHeight="272">
                <wp:simplePos x="0" y="0"/>
                <wp:positionH relativeFrom="column">
                  <wp:align>left</wp:align>
                </wp:positionH>
                <wp:positionV relativeFrom="line">
                  <wp:align>top</wp:align>
                </wp:positionV>
                <wp:extent cx="127000" cy="350520"/>
                <wp:effectExtent l="0" t="0" r="0" b="0"/>
                <wp:wrapSquare wrapText="right"/>
                <wp:docPr id="271" name="Frame2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maintain paying agencies and hold moneys for payment in trust. </w:t>
      </w:r>
      <w:r>
        <mc:AlternateContent>
          <mc:Choice Requires="wps">
            <w:drawing>
              <wp:anchor behindDoc="0" distT="67310" distB="0" distL="254000" distR="0" simplePos="0" locked="0" layoutInCell="1" allowOverlap="1" relativeHeight="273">
                <wp:simplePos x="0" y="0"/>
                <wp:positionH relativeFrom="column">
                  <wp:align>left</wp:align>
                </wp:positionH>
                <wp:positionV relativeFrom="line">
                  <wp:align>top</wp:align>
                </wp:positionV>
                <wp:extent cx="127000" cy="350520"/>
                <wp:effectExtent l="0" t="0" r="0" b="0"/>
                <wp:wrapSquare wrapText="right"/>
                <wp:docPr id="272" name="Frame2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inform you otherwise in the prospectus supplement, we will be required to deliver to the trustee an opinion of counsel that the deposit and related defeasance would not cause the holders of the debt securities to recognize gain or loss for federal income tax purposes and that the holders would be subject to federal income tax on the same amounts, in the same manner and at the same times as would have been the case if the deposit and related defeasance had not occurred. If we elect legal defeasance, that opinion of counsel must be based upon a ruling from the United States Internal Revenue Service or a change in law to that effect. (Sections 1401, 1402, 1403 and 1404; Sections 14.01, 14.02, 14.03 and 14.04)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Notices.</w:t>
      </w:r>
      <w:r>
        <w:rPr>
          <w:rFonts w:ascii="Times New Roman;Times;serif" w:hAnsi="Times New Roman;Times;serif"/>
          <w:b w:val="false"/>
          <w:i w:val="false"/>
          <w:caps w:val="false"/>
          <w:smallCaps w:val="false"/>
          <w:color w:val="000000"/>
          <w:spacing w:val="4"/>
          <w:sz w:val="20"/>
        </w:rPr>
        <w:t xml:space="preserve">   Holders will receive notices by mail at their addresses as they appear in the security register or as otherwise specified in the applicable indenture. (Section 106; Section 1.06)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Title.</w:t>
      </w:r>
      <w:r>
        <w:rPr>
          <w:rFonts w:ascii="Times New Roman;Times;serif" w:hAnsi="Times New Roman;Times;serif"/>
          <w:b w:val="false"/>
          <w:i w:val="false"/>
          <w:caps w:val="false"/>
          <w:smallCaps w:val="false"/>
          <w:color w:val="000000"/>
          <w:spacing w:val="4"/>
          <w:sz w:val="20"/>
        </w:rPr>
        <w:t xml:space="preserve">   We may treat the person in whose name a debt security is registered on the applicable record date as the owner of the debt security for all purposes, whether or not it is overdue. (Section 309; Section 3.09)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Governing Law.</w:t>
      </w:r>
      <w:r>
        <w:rPr>
          <w:rFonts w:ascii="Times New Roman;Times;serif" w:hAnsi="Times New Roman;Times;serif"/>
          <w:b w:val="false"/>
          <w:i w:val="false"/>
          <w:caps w:val="false"/>
          <w:smallCaps w:val="false"/>
          <w:color w:val="000000"/>
          <w:spacing w:val="4"/>
          <w:sz w:val="20"/>
        </w:rPr>
        <w:t xml:space="preserve">   New York law will govern both indentures and the debt securities. (Section 112; Section 1.12)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60"/>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Regarding the Trustee.</w:t>
      </w:r>
      <w:r>
        <w:rPr>
          <w:rFonts w:ascii="Times New Roman;Times;serif" w:hAnsi="Times New Roman;Times;serif"/>
          <w:b w:val="false"/>
          <w:i w:val="false"/>
          <w:caps w:val="false"/>
          <w:smallCaps w:val="false"/>
          <w:color w:val="000000"/>
          <w:spacing w:val="4"/>
          <w:sz w:val="20"/>
        </w:rPr>
        <w:t xml:space="preserve">   As of March 31, 2026, the trustee served as trustee for approximately $7.5 billion aggregate principal amount of our debt securities (on an unconsolidated basis). In addition, the trustee serves as trustee for debt securities issued by or on behalf of our subsidiaries, aggregating approximately $13.9 billion as of March 31, 2026. We maintain brokerage relationships with the trustee and its affiliates, each of whom may maintain other relationships with us or our affiliates in the ordinary course of business.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event of default occurs under either indenture and is continuing, the trustee will be required to use the degree of care and skill of a prudent person in the conduct of that person’s own affairs. The trustee will become obligated to exercise any of its powers under the applicable indenture at the request of any of the holders of any debt securities issued under such indenture only after those holders have offered the trustee indemnity satisfactory to it.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trustee becomes one of our creditors, its rights to obtain payment of claims in specified circumstances, or to realize for its own account on certain property received in respect of any such claim as security or otherwise will be limited under the terms of the applicable indenture. (Section 613; Section 6.13) The trustee may engage in certain other transactions; however, if the trustee acquires any conflicting interest (within the meaning specified under the Trust Indenture Act), it will be required to eliminate the conflict or resign. (Section 608; Section 6.08)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Provisions Applicable Solely to Senior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Ranking.</w:t>
      </w:r>
      <w:r>
        <w:rPr>
          <w:rFonts w:ascii="Times New Roman;Times;serif" w:hAnsi="Times New Roman;Times;serif"/>
          <w:b w:val="false"/>
          <w:i w:val="false"/>
          <w:caps w:val="false"/>
          <w:smallCaps w:val="false"/>
          <w:color w:val="000000"/>
          <w:spacing w:val="4"/>
          <w:sz w:val="20"/>
        </w:rPr>
        <w:t xml:space="preserve">   Our senior debt securities will rank equally in right of payment with all of our other existing and future unsecured and unsubordinated indebtedness.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Provisions Applicable Solely to Junior Subordinated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Subordination.</w:t>
      </w:r>
      <w:r>
        <w:rPr>
          <w:rFonts w:ascii="Times New Roman;Times;serif" w:hAnsi="Times New Roman;Times;serif"/>
          <w:b w:val="false"/>
          <w:i w:val="false"/>
          <w:caps w:val="false"/>
          <w:smallCaps w:val="false"/>
          <w:color w:val="000000"/>
          <w:spacing w:val="4"/>
          <w:sz w:val="20"/>
        </w:rPr>
        <w:t xml:space="preserve">   The junior subordinated debt securities are subordinate and junior in right of payment, to the extent and in the manner stated in the junior subordinated indenture, to all of our senior indebtedness, as defined in the junior subordinated indenture.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inform you otherwise in a prospectus supplement, “senior indebtedness” means: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indebtedness and obligations of, or guaranteed or assumed by, us for borrowed money or evidenced by bonds, debentures, notes or other similar instruments, whether existing on the date of the junior subordinated indenture or subsequently created, incurred or assumed, and </w:t>
      </w:r>
      <w:r>
        <mc:AlternateContent>
          <mc:Choice Requires="wps">
            <w:drawing>
              <wp:anchor behindDoc="0" distT="76200" distB="0" distL="254000" distR="0" simplePos="0" locked="0" layoutInCell="1" allowOverlap="1" relativeHeight="274">
                <wp:simplePos x="0" y="0"/>
                <wp:positionH relativeFrom="column">
                  <wp:align>left</wp:align>
                </wp:positionH>
                <wp:positionV relativeFrom="line">
                  <wp:align>top</wp:align>
                </wp:positionV>
                <wp:extent cx="127000" cy="350520"/>
                <wp:effectExtent l="0" t="0" r="0" b="0"/>
                <wp:wrapSquare wrapText="right"/>
                <wp:docPr id="273" name="Frame2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amendments, renewals, extensions, modifications and refundings of any indebtedness or obligations of that kind. </w:t>
      </w:r>
      <w:r>
        <mc:AlternateContent>
          <mc:Choice Requires="wps">
            <w:drawing>
              <wp:anchor behindDoc="0" distT="76200" distB="0" distL="254000" distR="0" simplePos="0" locked="0" layoutInCell="1" allowOverlap="1" relativeHeight="275">
                <wp:simplePos x="0" y="0"/>
                <wp:positionH relativeFrom="column">
                  <wp:align>left</wp:align>
                </wp:positionH>
                <wp:positionV relativeFrom="line">
                  <wp:align>top</wp:align>
                </wp:positionV>
                <wp:extent cx="127000" cy="350520"/>
                <wp:effectExtent l="0" t="0" r="0" b="0"/>
                <wp:wrapSquare wrapText="right"/>
                <wp:docPr id="274" name="Frame2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foregoing, “senior indebtedness” excludes (i) our indebtedness to our subsidiaries, (ii) trade accounts payable and accrued liabilities arising in the ordinary course of business and (iii) the junior subordinated debt securities and any other indebtedness or obligations that would otherwise constitute indebtedness if it is specifically designated as being subordinate, or not superior, in right of payment to the junior subordinated debt securities. “Senior indebtedness” includes, as of March 31, 2026, $828 million of our 2.0% Zero-Premium Exchangeable Subordinated Notes due 2029.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describe additional provisions of our junior subordinated debt securities in a prospectus supplement applicable to the particular series of junior subordinated debt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Defeasance.</w:t>
      </w:r>
      <w:r>
        <w:rPr>
          <w:rFonts w:ascii="Times New Roman;Times;serif" w:hAnsi="Times New Roman;Times;serif"/>
          <w:b w:val="false"/>
          <w:i w:val="false"/>
          <w:caps w:val="false"/>
          <w:smallCaps w:val="false"/>
          <w:color w:val="000000"/>
          <w:spacing w:val="4"/>
          <w:sz w:val="20"/>
        </w:rPr>
        <w:t>   Upon the effectiveness of any defeasance or covenant defeasance permitted with respect to our junior subordinated securities, the junior subordinated debt securities then outstanding shall cease to be subordinated. See “— Provisions Applicable to Each Indenture — Defeasance.”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tDOOC1"/>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OUR CAPITAL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April 15, 2026, our authorized capital stock consisted of: </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1,000,000,000 shares of common stock, par value $0.01 per share, of which 654,169,480 shares were outstanding, excluding 166 shares held as treasury stock, and </w:t>
      </w:r>
      <w:r>
        <mc:AlternateContent>
          <mc:Choice Requires="wps">
            <w:drawing>
              <wp:anchor behindDoc="0" distT="88900" distB="0" distL="254000" distR="0" simplePos="0" locked="0" layoutInCell="1" allowOverlap="1" relativeHeight="276">
                <wp:simplePos x="0" y="0"/>
                <wp:positionH relativeFrom="column">
                  <wp:align>left</wp:align>
                </wp:positionH>
                <wp:positionV relativeFrom="line">
                  <wp:align>top</wp:align>
                </wp:positionV>
                <wp:extent cx="127000" cy="350520"/>
                <wp:effectExtent l="0" t="0" r="0" b="0"/>
                <wp:wrapSquare wrapText="right"/>
                <wp:docPr id="275" name="Frame2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20,000,000 shares of preferred stock, par value $0.01 per share. </w:t>
      </w:r>
      <w:r>
        <mc:AlternateContent>
          <mc:Choice Requires="wps">
            <w:drawing>
              <wp:anchor behindDoc="0" distT="88900" distB="0" distL="254000" distR="0" simplePos="0" locked="0" layoutInCell="1" allowOverlap="1" relativeHeight="277">
                <wp:simplePos x="0" y="0"/>
                <wp:positionH relativeFrom="column">
                  <wp:align>left</wp:align>
                </wp:positionH>
                <wp:positionV relativeFrom="line">
                  <wp:align>top</wp:align>
                </wp:positionV>
                <wp:extent cx="127000" cy="350520"/>
                <wp:effectExtent l="0" t="0" r="0" b="0"/>
                <wp:wrapSquare wrapText="right"/>
                <wp:docPr id="276" name="Frame2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description of our common stock is a summary and does not purport to be complete. It is subject to and qualified in its entirety by reference to our Amended and Restated Certificate of Formation (“Certificate of Formation”) and Fifth Amended and Restated Bylaws (“Bylaws”), each of which is incorporated by reference as an exhibit to the registration statement of which this prospectus is a part. We encourage you to read our Certificate of Formation, our Bylaws and the applicable provisions of the Texas Business Organizations Code (“TBOC”) for additional information.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Voting Rights</w:t>
      </w:r>
      <w:r>
        <w:rPr>
          <w:rFonts w:ascii="Times New Roman;Times;serif" w:hAnsi="Times New Roman;Times;serif"/>
          <w:b w:val="false"/>
          <w:i w:val="false"/>
          <w:caps w:val="false"/>
          <w:smallCaps w:val="false"/>
          <w:color w:val="000000"/>
          <w:spacing w:val="4"/>
          <w:sz w:val="20"/>
        </w:rPr>
        <w:t xml:space="preserve">.   Holders of our common stock are entitled to one vote for each share on all matters submitted to a vote of shareholders, including the election of directors. There are no cumulative voting rights. Subject to the voting rights expressly conferred to the holders of our preferred stock, the holders of our common stock possess exclusive full voting power for the election of directors and for all other purposes. Our Bylaws provide that, in an uncontested election, director nominees are elected by the vote of a majority of the votes cast with respect to the director by shareholders entitled to vote in the election of directors at a meeting of shareholders at which a quorum is present. An election is contested if, (x) the secretary receives notice that one or more shareholders has proposed to nominate one or more persons for election or re-election to the board of directors, which notice purports to be in compliance with the advance notice requirements for shareholder nominations set forth in our Bylaws, irrespective of whether the board of directors at any time determines that any such notice is not in compliance with such requirements, and (y) such nomination or nominations have not been formally and irrevocably withdrawn by such shareholder(s) on or prior to the date that is 14 days in advance of the date we file our definitive proxy statement with the SEC, in which case directors will be elected by the vote of a plurality of the votes cast by shareholders entitled to vote in the election of directors at a meeting of shareholders at which a quorum is present.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Dividends</w:t>
      </w:r>
      <w:r>
        <w:rPr>
          <w:rFonts w:ascii="Times New Roman;Times;serif" w:hAnsi="Times New Roman;Times;serif"/>
          <w:b w:val="false"/>
          <w:i w:val="false"/>
          <w:caps w:val="false"/>
          <w:smallCaps w:val="false"/>
          <w:color w:val="000000"/>
          <w:spacing w:val="4"/>
          <w:sz w:val="20"/>
        </w:rPr>
        <w:t xml:space="preserve">.   Subject to preferences that may be applicable to any of our outstanding preferred stock, the holders of our common stock are entitled to dividends when, as and if declared by the board of directors out of funds legally available for that purpose.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Liquidation Rights</w:t>
      </w:r>
      <w:r>
        <w:rPr>
          <w:rFonts w:ascii="Times New Roman;Times;serif" w:hAnsi="Times New Roman;Times;serif"/>
          <w:b w:val="false"/>
          <w:i w:val="false"/>
          <w:caps w:val="false"/>
          <w:smallCaps w:val="false"/>
          <w:color w:val="000000"/>
          <w:spacing w:val="4"/>
          <w:sz w:val="20"/>
        </w:rPr>
        <w:t xml:space="preserve">.   If we are liquidated, terminated or wound up, the holders of our common stock will be entitled to a pro rata share in any distribution to shareholders, but only after satisfaction of all of our liabilities and of the prior rights of any outstanding class of our preferred stock, which may include the right to participate further with the holders of our common stock in the distribution of any of our remaining assets.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Preemptive Rights</w:t>
      </w:r>
      <w:r>
        <w:rPr>
          <w:rFonts w:ascii="Times New Roman;Times;serif" w:hAnsi="Times New Roman;Times;serif"/>
          <w:b w:val="false"/>
          <w:i w:val="false"/>
          <w:caps w:val="false"/>
          <w:smallCaps w:val="false"/>
          <w:color w:val="000000"/>
          <w:spacing w:val="4"/>
          <w:sz w:val="20"/>
        </w:rPr>
        <w:t xml:space="preserve">.   Holders of our common stock are not entitled to any preemptive or conversion rights or other subscription rights.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Transfer Agent and Registrar</w:t>
      </w:r>
      <w:r>
        <w:rPr>
          <w:rFonts w:ascii="Times New Roman;Times;serif" w:hAnsi="Times New Roman;Times;serif"/>
          <w:b w:val="false"/>
          <w:i w:val="false"/>
          <w:caps w:val="false"/>
          <w:smallCaps w:val="false"/>
          <w:color w:val="000000"/>
          <w:spacing w:val="4"/>
          <w:sz w:val="20"/>
        </w:rPr>
        <w:t xml:space="preserve">.   Broadridge Corporate Issuer Solutions, Inc. serves as transfer agent and registrar for our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Other Provisions</w:t>
      </w:r>
      <w:r>
        <w:rPr>
          <w:rFonts w:ascii="Times New Roman;Times;serif" w:hAnsi="Times New Roman;Times;serif"/>
          <w:b w:val="false"/>
          <w:i w:val="false"/>
          <w:caps w:val="false"/>
          <w:smallCaps w:val="false"/>
          <w:color w:val="000000"/>
          <w:spacing w:val="4"/>
          <w:sz w:val="20"/>
        </w:rPr>
        <w:t xml:space="preserve">.   There are no redemption or sinking fund provisions applicable to our common stock. No personal liability will attach to holders of such shares under the laws of the State of Texas. Subject to the provisions of our Certificate of Formation and Bylaws imposing certain supermajority voting provisions, the rights of the holders of shares of our common stock may not be modified except by a vote of at least a majority of the shares outstanding entitled to vote thereon, voting together as a single class.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Listing</w:t>
      </w:r>
      <w:r>
        <w:rPr>
          <w:rFonts w:ascii="Times New Roman;Times;serif" w:hAnsi="Times New Roman;Times;serif"/>
          <w:b w:val="false"/>
          <w:i w:val="false"/>
          <w:caps w:val="false"/>
          <w:smallCaps w:val="false"/>
          <w:color w:val="000000"/>
          <w:spacing w:val="4"/>
          <w:sz w:val="20"/>
        </w:rPr>
        <w:t xml:space="preserve">.   Our common stock is traded on the New York Stock Exchange and the NYSE Texas, in each case, under the trading symbol “CNP.”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may cause us to issue preferred stock from time to time in one or more series and may fix the number of shares and the terms of each series without the approval of our shareholders. Our board of directors may determine the terms of each series, including: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designation of the series, </w:t>
      </w:r>
      <w:r>
        <mc:AlternateContent>
          <mc:Choice Requires="wps">
            <w:drawing>
              <wp:anchor behindDoc="0" distT="76200" distB="0" distL="254000" distR="0" simplePos="0" locked="0" layoutInCell="1" allowOverlap="1" relativeHeight="278">
                <wp:simplePos x="0" y="0"/>
                <wp:positionH relativeFrom="column">
                  <wp:align>left</wp:align>
                </wp:positionH>
                <wp:positionV relativeFrom="line">
                  <wp:align>top</wp:align>
                </wp:positionV>
                <wp:extent cx="127000" cy="350520"/>
                <wp:effectExtent l="0" t="0" r="0" b="0"/>
                <wp:wrapSquare wrapText="right"/>
                <wp:docPr id="277" name="Frame2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dividend rates and payment dates, </w:t>
      </w:r>
      <w:r>
        <mc:AlternateContent>
          <mc:Choice Requires="wps">
            <w:drawing>
              <wp:anchor behindDoc="0" distT="76200" distB="0" distL="254000" distR="0" simplePos="0" locked="0" layoutInCell="1" allowOverlap="1" relativeHeight="279">
                <wp:simplePos x="0" y="0"/>
                <wp:positionH relativeFrom="column">
                  <wp:align>left</wp:align>
                </wp:positionH>
                <wp:positionV relativeFrom="line">
                  <wp:align>top</wp:align>
                </wp:positionV>
                <wp:extent cx="127000" cy="350520"/>
                <wp:effectExtent l="0" t="0" r="0" b="0"/>
                <wp:wrapSquare wrapText="right"/>
                <wp:docPr id="278" name="Frame2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dividends will be cumulative, non-cumulative or partially cumulative, and related terms, </w:t>
      </w:r>
      <w:r>
        <mc:AlternateContent>
          <mc:Choice Requires="wps">
            <w:drawing>
              <wp:anchor behindDoc="0" distT="76200" distB="0" distL="254000" distR="0" simplePos="0" locked="0" layoutInCell="1" allowOverlap="1" relativeHeight="280">
                <wp:simplePos x="0" y="0"/>
                <wp:positionH relativeFrom="column">
                  <wp:align>left</wp:align>
                </wp:positionH>
                <wp:positionV relativeFrom="line">
                  <wp:align>top</wp:align>
                </wp:positionV>
                <wp:extent cx="127000" cy="350520"/>
                <wp:effectExtent l="0" t="0" r="0" b="0"/>
                <wp:wrapSquare wrapText="right"/>
                <wp:docPr id="279" name="Frame2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redemption rights, </w:t>
      </w:r>
      <w:r>
        <mc:AlternateContent>
          <mc:Choice Requires="wps">
            <w:drawing>
              <wp:anchor behindDoc="0" distT="76200" distB="0" distL="254000" distR="0" simplePos="0" locked="0" layoutInCell="1" allowOverlap="1" relativeHeight="281">
                <wp:simplePos x="0" y="0"/>
                <wp:positionH relativeFrom="column">
                  <wp:align>left</wp:align>
                </wp:positionH>
                <wp:positionV relativeFrom="line">
                  <wp:align>top</wp:align>
                </wp:positionV>
                <wp:extent cx="127000" cy="350520"/>
                <wp:effectExtent l="0" t="0" r="0" b="0"/>
                <wp:wrapSquare wrapText="right"/>
                <wp:docPr id="280" name="Frame2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liquidation rights, </w:t>
      </w:r>
      <w:r>
        <mc:AlternateContent>
          <mc:Choice Requires="wps">
            <w:drawing>
              <wp:anchor behindDoc="0" distT="76200" distB="0" distL="254000" distR="0" simplePos="0" locked="0" layoutInCell="1" allowOverlap="1" relativeHeight="282">
                <wp:simplePos x="0" y="0"/>
                <wp:positionH relativeFrom="column">
                  <wp:align>left</wp:align>
                </wp:positionH>
                <wp:positionV relativeFrom="line">
                  <wp:align>top</wp:align>
                </wp:positionV>
                <wp:extent cx="127000" cy="350520"/>
                <wp:effectExtent l="0" t="0" r="0" b="0"/>
                <wp:wrapSquare wrapText="right"/>
                <wp:docPr id="281" name="Frame2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sinking fund provisions, </w:t>
      </w:r>
      <w:r>
        <mc:AlternateContent>
          <mc:Choice Requires="wps">
            <w:drawing>
              <wp:anchor behindDoc="0" distT="76200" distB="0" distL="254000" distR="0" simplePos="0" locked="0" layoutInCell="1" allowOverlap="1" relativeHeight="283">
                <wp:simplePos x="0" y="0"/>
                <wp:positionH relativeFrom="column">
                  <wp:align>left</wp:align>
                </wp:positionH>
                <wp:positionV relativeFrom="line">
                  <wp:align>top</wp:align>
                </wp:positionV>
                <wp:extent cx="127000" cy="350520"/>
                <wp:effectExtent l="0" t="0" r="0" b="0"/>
                <wp:wrapSquare wrapText="right"/>
                <wp:docPr id="282" name="Frame2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conversion rights, </w:t>
      </w:r>
      <w:r>
        <mc:AlternateContent>
          <mc:Choice Requires="wps">
            <w:drawing>
              <wp:anchor behindDoc="0" distT="76200" distB="0" distL="254000" distR="0" simplePos="0" locked="0" layoutInCell="1" allowOverlap="1" relativeHeight="284">
                <wp:simplePos x="0" y="0"/>
                <wp:positionH relativeFrom="column">
                  <wp:align>left</wp:align>
                </wp:positionH>
                <wp:positionV relativeFrom="line">
                  <wp:align>top</wp:align>
                </wp:positionV>
                <wp:extent cx="127000" cy="350520"/>
                <wp:effectExtent l="0" t="0" r="0" b="0"/>
                <wp:wrapSquare wrapText="right"/>
                <wp:docPr id="283" name="Frame2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voting rights, and </w:t>
      </w:r>
      <w:r>
        <mc:AlternateContent>
          <mc:Choice Requires="wps">
            <w:drawing>
              <wp:anchor behindDoc="0" distT="76200" distB="0" distL="254000" distR="0" simplePos="0" locked="0" layoutInCell="1" allowOverlap="1" relativeHeight="285">
                <wp:simplePos x="0" y="0"/>
                <wp:positionH relativeFrom="column">
                  <wp:align>left</wp:align>
                </wp:positionH>
                <wp:positionV relativeFrom="line">
                  <wp:align>top</wp:align>
                </wp:positionV>
                <wp:extent cx="127000" cy="350520"/>
                <wp:effectExtent l="0" t="0" r="0" b="0"/>
                <wp:wrapSquare wrapText="right"/>
                <wp:docPr id="284" name="Frame2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terms. </w:t>
      </w:r>
      <w:r>
        <mc:AlternateContent>
          <mc:Choice Requires="wps">
            <w:drawing>
              <wp:anchor behindDoc="0" distT="76200" distB="0" distL="254000" distR="0" simplePos="0" locked="0" layoutInCell="1" allowOverlap="1" relativeHeight="286">
                <wp:simplePos x="0" y="0"/>
                <wp:positionH relativeFrom="column">
                  <wp:align>left</wp:align>
                </wp:positionH>
                <wp:positionV relativeFrom="line">
                  <wp:align>top</wp:align>
                </wp:positionV>
                <wp:extent cx="127000" cy="350520"/>
                <wp:effectExtent l="0" t="0" r="0" b="0"/>
                <wp:wrapSquare wrapText="right"/>
                <wp:docPr id="285" name="Frame2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statement of resolutions establishing any series of preferred stock will include specific terms relating to such series of preferred stock. We will file the statement of resolutions with the Texas Secretary of State before we issue any of it. The statement of resolutions establishing a series of preferred stock will include some or all of the following terms: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title of the preferred stock, </w:t>
      </w:r>
      <w:r>
        <mc:AlternateContent>
          <mc:Choice Requires="wps">
            <w:drawing>
              <wp:anchor behindDoc="0" distT="76200" distB="0" distL="254000" distR="0" simplePos="0" locked="0" layoutInCell="1" allowOverlap="1" relativeHeight="287">
                <wp:simplePos x="0" y="0"/>
                <wp:positionH relativeFrom="column">
                  <wp:align>left</wp:align>
                </wp:positionH>
                <wp:positionV relativeFrom="line">
                  <wp:align>top</wp:align>
                </wp:positionV>
                <wp:extent cx="127000" cy="350520"/>
                <wp:effectExtent l="0" t="0" r="0" b="0"/>
                <wp:wrapSquare wrapText="right"/>
                <wp:docPr id="286" name="Frame2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maximum number of shares of the series, </w:t>
      </w:r>
      <w:r>
        <mc:AlternateContent>
          <mc:Choice Requires="wps">
            <w:drawing>
              <wp:anchor behindDoc="0" distT="76200" distB="0" distL="254000" distR="0" simplePos="0" locked="0" layoutInCell="1" allowOverlap="1" relativeHeight="288">
                <wp:simplePos x="0" y="0"/>
                <wp:positionH relativeFrom="column">
                  <wp:align>left</wp:align>
                </wp:positionH>
                <wp:positionV relativeFrom="line">
                  <wp:align>top</wp:align>
                </wp:positionV>
                <wp:extent cx="127000" cy="350520"/>
                <wp:effectExtent l="0" t="0" r="0" b="0"/>
                <wp:wrapSquare wrapText="right"/>
                <wp:docPr id="287" name="Frame2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dividend rate or the method of calculating the dividend, the date from which dividends will accrue and whether dividends will be cumulative, </w:t>
      </w:r>
      <w:r>
        <mc:AlternateContent>
          <mc:Choice Requires="wps">
            <w:drawing>
              <wp:anchor behindDoc="0" distT="76200" distB="0" distL="254000" distR="0" simplePos="0" locked="0" layoutInCell="1" allowOverlap="1" relativeHeight="289">
                <wp:simplePos x="0" y="0"/>
                <wp:positionH relativeFrom="column">
                  <wp:align>left</wp:align>
                </wp:positionH>
                <wp:positionV relativeFrom="line">
                  <wp:align>top</wp:align>
                </wp:positionV>
                <wp:extent cx="127000" cy="350520"/>
                <wp:effectExtent l="0" t="0" r="0" b="0"/>
                <wp:wrapSquare wrapText="right"/>
                <wp:docPr id="288" name="Frame2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liquidation preference, </w:t>
      </w:r>
      <w:r>
        <mc:AlternateContent>
          <mc:Choice Requires="wps">
            <w:drawing>
              <wp:anchor behindDoc="0" distT="76200" distB="0" distL="254000" distR="0" simplePos="0" locked="0" layoutInCell="1" allowOverlap="1" relativeHeight="290">
                <wp:simplePos x="0" y="0"/>
                <wp:positionH relativeFrom="column">
                  <wp:align>left</wp:align>
                </wp:positionH>
                <wp:positionV relativeFrom="line">
                  <wp:align>top</wp:align>
                </wp:positionV>
                <wp:extent cx="127000" cy="350520"/>
                <wp:effectExtent l="0" t="0" r="0" b="0"/>
                <wp:wrapSquare wrapText="right"/>
                <wp:docPr id="289" name="Frame2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optional redemption provisions, </w:t>
      </w:r>
      <w:r>
        <mc:AlternateContent>
          <mc:Choice Requires="wps">
            <w:drawing>
              <wp:anchor behindDoc="0" distT="76200" distB="0" distL="254000" distR="0" simplePos="0" locked="0" layoutInCell="1" allowOverlap="1" relativeHeight="291">
                <wp:simplePos x="0" y="0"/>
                <wp:positionH relativeFrom="column">
                  <wp:align>left</wp:align>
                </wp:positionH>
                <wp:positionV relativeFrom="line">
                  <wp:align>top</wp:align>
                </wp:positionV>
                <wp:extent cx="127000" cy="350520"/>
                <wp:effectExtent l="0" t="0" r="0" b="0"/>
                <wp:wrapSquare wrapText="right"/>
                <wp:docPr id="290" name="Frame2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sinking fund or other provisions that would obligate us to redeem or purchase the preferred stock, </w:t>
      </w:r>
      <w:r>
        <mc:AlternateContent>
          <mc:Choice Requires="wps">
            <w:drawing>
              <wp:anchor behindDoc="0" distT="76200" distB="0" distL="254000" distR="0" simplePos="0" locked="0" layoutInCell="1" allowOverlap="1" relativeHeight="292">
                <wp:simplePos x="0" y="0"/>
                <wp:positionH relativeFrom="column">
                  <wp:align>left</wp:align>
                </wp:positionH>
                <wp:positionV relativeFrom="line">
                  <wp:align>top</wp:align>
                </wp:positionV>
                <wp:extent cx="127000" cy="350520"/>
                <wp:effectExtent l="0" t="0" r="0" b="0"/>
                <wp:wrapSquare wrapText="right"/>
                <wp:docPr id="291" name="Frame2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terms for the conversion or exchange of the preferred stock for other securities of us or any other entity, </w:t>
      </w:r>
      <w:r>
        <mc:AlternateContent>
          <mc:Choice Requires="wps">
            <w:drawing>
              <wp:anchor behindDoc="0" distT="76200" distB="0" distL="254000" distR="0" simplePos="0" locked="0" layoutInCell="1" allowOverlap="1" relativeHeight="293">
                <wp:simplePos x="0" y="0"/>
                <wp:positionH relativeFrom="column">
                  <wp:align>left</wp:align>
                </wp:positionH>
                <wp:positionV relativeFrom="line">
                  <wp:align>top</wp:align>
                </wp:positionV>
                <wp:extent cx="127000" cy="350520"/>
                <wp:effectExtent l="0" t="0" r="0" b="0"/>
                <wp:wrapSquare wrapText="right"/>
                <wp:docPr id="292" name="Frame2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voting rights, and </w:t>
      </w:r>
      <w:r>
        <mc:AlternateContent>
          <mc:Choice Requires="wps">
            <w:drawing>
              <wp:anchor behindDoc="0" distT="76200" distB="0" distL="254000" distR="0" simplePos="0" locked="0" layoutInCell="1" allowOverlap="1" relativeHeight="294">
                <wp:simplePos x="0" y="0"/>
                <wp:positionH relativeFrom="column">
                  <wp:align>left</wp:align>
                </wp:positionH>
                <wp:positionV relativeFrom="line">
                  <wp:align>top</wp:align>
                </wp:positionV>
                <wp:extent cx="127000" cy="350520"/>
                <wp:effectExtent l="0" t="0" r="0" b="0"/>
                <wp:wrapSquare wrapText="right"/>
                <wp:docPr id="293" name="Frame2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preferences and relative, participating, optional or other special rights or any qualifications, limitations or restrictions on the rights of the shares. </w:t>
      </w:r>
      <w:r>
        <mc:AlternateContent>
          <mc:Choice Requires="wps">
            <w:drawing>
              <wp:anchor behindDoc="0" distT="76200" distB="0" distL="254000" distR="0" simplePos="0" locked="0" layoutInCell="1" allowOverlap="1" relativeHeight="295">
                <wp:simplePos x="0" y="0"/>
                <wp:positionH relativeFrom="column">
                  <wp:align>left</wp:align>
                </wp:positionH>
                <wp:positionV relativeFrom="line">
                  <wp:align>top</wp:align>
                </wp:positionV>
                <wp:extent cx="127000" cy="350520"/>
                <wp:effectExtent l="0" t="0" r="0" b="0"/>
                <wp:wrapSquare wrapText="right"/>
                <wp:docPr id="294" name="Frame2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issuance of preferred stock, while providing desired flexibility in connection with possible acquisitions and other corporate purposes, could adversely affect the voting power of holders of our common stock. It could also affect the likelihood that holders of our common stock will receive dividend payments and payments upon liquidation. The issuance of shares of preferred stock, or the issuance of rights to purchase shares of preferred stock, could be used to discourage an attempt to obtain control of us. For example, if, in the exercise of its fiduciary obligations, our board were to determine that a takeover proposal was not in our best interest, the board could authorize the issuance of a series of preferred stock containing class voting rights that would enable the holder or holders of the series to prevent or make the change of control transaction more difficult. Alternatively, a change of control transaction deemed by the board to be in our best interest could be facilitated by issuing a series of preferred stock having sufficient voting rights to provide a required percentage vote of the shareholders.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Anti-Takeover Effects of Texas Laws and Our Charter and Bylaw Provisions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Some provisions of Texas law and our Certificate of Formation and Bylaws could make the following actions more difficult: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acquisition of us by means of a tender offer, </w:t>
      </w:r>
      <w:r>
        <mc:AlternateContent>
          <mc:Choice Requires="wps">
            <w:drawing>
              <wp:anchor behindDoc="0" distT="77470" distB="0" distL="254000" distR="0" simplePos="0" locked="0" layoutInCell="1" allowOverlap="1" relativeHeight="296">
                <wp:simplePos x="0" y="0"/>
                <wp:positionH relativeFrom="column">
                  <wp:align>left</wp:align>
                </wp:positionH>
                <wp:positionV relativeFrom="line">
                  <wp:align>top</wp:align>
                </wp:positionV>
                <wp:extent cx="127000" cy="350520"/>
                <wp:effectExtent l="0" t="0" r="0" b="0"/>
                <wp:wrapSquare wrapText="right"/>
                <wp:docPr id="295" name="Frame2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acquisition of control of us by means of a proxy contest or otherwise, or </w:t>
      </w:r>
      <w:r>
        <mc:AlternateContent>
          <mc:Choice Requires="wps">
            <w:drawing>
              <wp:anchor behindDoc="0" distT="77470" distB="0" distL="254000" distR="0" simplePos="0" locked="0" layoutInCell="1" allowOverlap="1" relativeHeight="297">
                <wp:simplePos x="0" y="0"/>
                <wp:positionH relativeFrom="column">
                  <wp:align>left</wp:align>
                </wp:positionH>
                <wp:positionV relativeFrom="line">
                  <wp:align>top</wp:align>
                </wp:positionV>
                <wp:extent cx="127000" cy="350520"/>
                <wp:effectExtent l="0" t="0" r="0" b="0"/>
                <wp:wrapSquare wrapText="right"/>
                <wp:docPr id="296" name="Frame2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removal of our incumbent officers and directors. </w:t>
      </w:r>
      <w:r>
        <mc:AlternateContent>
          <mc:Choice Requires="wps">
            <w:drawing>
              <wp:anchor behindDoc="0" distT="77470" distB="0" distL="254000" distR="0" simplePos="0" locked="0" layoutInCell="1" allowOverlap="1" relativeHeight="298">
                <wp:simplePos x="0" y="0"/>
                <wp:positionH relativeFrom="column">
                  <wp:align>left</wp:align>
                </wp:positionH>
                <wp:positionV relativeFrom="line">
                  <wp:align>top</wp:align>
                </wp:positionV>
                <wp:extent cx="127000" cy="350520"/>
                <wp:effectExtent l="0" t="0" r="0" b="0"/>
                <wp:wrapSquare wrapText="right"/>
                <wp:docPr id="297" name="Frame2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provisions are designed to discourage coercive takeover practices and inadequate takeover bids. These provisions are also designed to encourage persons seeking to acquire control of us to first negotiate with our board of directors. We believe that the benefits of this increased protection gives us the potential ability to negotiate with the proponent of an unfriendly or unsolicited proposal to acquire or restructure us, and that the benefits of this increased protection outweigh the disadvantages of discouraging those proposals, because negotiation of those proposals could result in an improvement of their terms.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Charter and Bylaw Provisions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Election and Removal of Directors</w:t>
      </w:r>
      <w:r>
        <w:rPr>
          <w:rFonts w:ascii="Times New Roman;Times;serif" w:hAnsi="Times New Roman;Times;serif"/>
          <w:b w:val="false"/>
          <w:i w:val="false"/>
          <w:caps w:val="false"/>
          <w:smallCaps w:val="false"/>
          <w:color w:val="000000"/>
          <w:spacing w:val="4"/>
          <w:sz w:val="20"/>
        </w:rPr>
        <w:t xml:space="preserve">.   The number of members of our board of directors will be fixed from time to time by resolution of the board of directors. Except for voting rights as may be provided to holders of preferred stock, at each annual meeting of shareholders, all directors are elected to hold office for a term expiring at the next succeeding annual meeting of shareholders and until their successors have been elected and qualified.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director may be removed except for cause, and, subject to the voting rights expressly conferred to the holders of our preferred stock, directors may be removed for cause only by the affirmative vote of the holders of at least a majority of the voting power of all outstanding shares of capital stock entitled to vote at an election of directors, voting together as a single class at a meeting of shareholders expressly called for that purpose. Subject to the voting rights expressly conferred to the holders of our preferred stock, any vacancy occurring on the board of directors and any newly created directorship may be filled by the affirmative vote of a majority of the remaining directors in office or by election by the shareholders at a meeting called for that purpose.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Shareholder Meetings</w:t>
      </w:r>
      <w:r>
        <w:rPr>
          <w:rFonts w:ascii="Times New Roman;Times;serif" w:hAnsi="Times New Roman;Times;serif"/>
          <w:b w:val="false"/>
          <w:i w:val="false"/>
          <w:caps w:val="false"/>
          <w:smallCaps w:val="false"/>
          <w:color w:val="000000"/>
          <w:spacing w:val="4"/>
          <w:sz w:val="20"/>
        </w:rPr>
        <w:t xml:space="preserve">.   Our Certificate of Formation and Bylaws provide that special meetings of holders of common stock may be called only by the chair of our board of directors, our chief executive officer, the president, the secretary, a majority of our board of directors or the holders of at least 50% of the shares of our capital stock outstanding and entitled to vote at such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Modification of Certificate of Formation</w:t>
      </w:r>
      <w:r>
        <w:rPr>
          <w:rFonts w:ascii="Times New Roman;Times;serif" w:hAnsi="Times New Roman;Times;serif"/>
          <w:b w:val="false"/>
          <w:i w:val="false"/>
          <w:caps w:val="false"/>
          <w:smallCaps w:val="false"/>
          <w:color w:val="000000"/>
          <w:spacing w:val="4"/>
          <w:sz w:val="20"/>
        </w:rPr>
        <w:t>.   In general, amendments to our Certificate of Formation that are recommended by the board of directors require the affirmative vote of holders of at least a majority of the outstanding shares of capital stock entitled to vote thereon. The provisions described above under “— Election and Removal of Directors” and “— Shareholder Meetings” may be amended only by the affirmative vote of holders of at least 66</w:t>
      </w:r>
      <w:r>
        <w:rPr>
          <w:rFonts w:ascii="Times New Roman;Times;serif" w:hAnsi="Times New Roman;Times;serif"/>
          <w:b w:val="false"/>
          <w:i w:val="false"/>
          <w:caps w:val="false"/>
          <w:smallCaps w:val="false"/>
          <w:color w:val="000000"/>
          <w:spacing w:val="3"/>
          <w:sz w:val="14"/>
        </w:rPr>
        <w:t>2</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xml:space="preserve">% of the voting power of all outstanding shares of capital stock generally entitled to vote in the election of directors, voting together as a single class. The provisions described below under “— Modification of Bylaws” may be amended only by the affirmative vote of holders of at least 80% of the voting power of all outstanding shares of capital stock entitled to vote in the election of directors.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Modification of Bylaws</w:t>
      </w:r>
      <w:r>
        <w:rPr>
          <w:rFonts w:ascii="Times New Roman;Times;serif" w:hAnsi="Times New Roman;Times;serif"/>
          <w:b w:val="false"/>
          <w:i w:val="false"/>
          <w:caps w:val="false"/>
          <w:smallCaps w:val="false"/>
          <w:color w:val="000000"/>
          <w:spacing w:val="4"/>
          <w:sz w:val="20"/>
        </w:rPr>
        <w:t xml:space="preserve">.   Our board of directors has the power to alter, amend or repeal our Bylaws or adopt new Bylaws by the affirmative vote of at least 80% of all directors then in office at any regular or special meeting of the board of directors. The shareholders also have the power to alter, amend or repeal our Bylaws or adopt new Bylaws by the affirmative vote of holders of at least 80% of the voting power of all outstanding shares of capital stock entitled to vote in the election of directors, voting together as a single class.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Other Limitations on Shareholder Actions</w:t>
      </w:r>
      <w:r>
        <w:rPr>
          <w:rFonts w:ascii="Times New Roman;Times;serif" w:hAnsi="Times New Roman;Times;serif"/>
          <w:b w:val="false"/>
          <w:i w:val="false"/>
          <w:caps w:val="false"/>
          <w:smallCaps w:val="false"/>
          <w:color w:val="000000"/>
          <w:spacing w:val="4"/>
          <w:sz w:val="20"/>
        </w:rPr>
        <w:t xml:space="preserve">.   Our Bylaws also impose some procedural requirements on shareholders who wish to: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nominations in the election of directors, </w:t>
      </w:r>
      <w:r>
        <mc:AlternateContent>
          <mc:Choice Requires="wps">
            <w:drawing>
              <wp:anchor behindDoc="0" distT="76200" distB="0" distL="254000" distR="0" simplePos="0" locked="0" layoutInCell="1" allowOverlap="1" relativeHeight="299">
                <wp:simplePos x="0" y="0"/>
                <wp:positionH relativeFrom="column">
                  <wp:align>left</wp:align>
                </wp:positionH>
                <wp:positionV relativeFrom="line">
                  <wp:align>top</wp:align>
                </wp:positionV>
                <wp:extent cx="127000" cy="350520"/>
                <wp:effectExtent l="0" t="0" r="0" b="0"/>
                <wp:wrapSquare wrapText="right"/>
                <wp:docPr id="298" name="Frame2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propose that a director be removed, </w:t>
      </w:r>
      <w:r>
        <mc:AlternateContent>
          <mc:Choice Requires="wps">
            <w:drawing>
              <wp:anchor behindDoc="0" distT="0" distB="0" distL="254000" distR="0" simplePos="0" locked="0" layoutInCell="1" allowOverlap="1" relativeHeight="300">
                <wp:simplePos x="0" y="0"/>
                <wp:positionH relativeFrom="column">
                  <wp:align>left</wp:align>
                </wp:positionH>
                <wp:positionV relativeFrom="line">
                  <wp:posOffset>635</wp:posOffset>
                </wp:positionV>
                <wp:extent cx="127000" cy="350520"/>
                <wp:effectExtent l="0" t="0" r="0" b="0"/>
                <wp:wrapSquare wrapText="right"/>
                <wp:docPr id="299" name="Frame2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propose any repeal or change in our Bylaws, or </w:t>
      </w:r>
      <w:r>
        <mc:AlternateContent>
          <mc:Choice Requires="wps">
            <w:drawing>
              <wp:anchor behindDoc="0" distT="72390" distB="0" distL="254000" distR="0" simplePos="0" locked="0" layoutInCell="1" allowOverlap="1" relativeHeight="301">
                <wp:simplePos x="0" y="0"/>
                <wp:positionH relativeFrom="column">
                  <wp:align>left</wp:align>
                </wp:positionH>
                <wp:positionV relativeFrom="line">
                  <wp:align>top</wp:align>
                </wp:positionV>
                <wp:extent cx="127000" cy="350520"/>
                <wp:effectExtent l="0" t="0" r="0" b="0"/>
                <wp:wrapSquare wrapText="right"/>
                <wp:docPr id="300" name="Frame2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propose any other business to be brought before an annual or special meeting of shareholders. </w:t>
      </w:r>
      <w:r>
        <mc:AlternateContent>
          <mc:Choice Requires="wps">
            <w:drawing>
              <wp:anchor behindDoc="0" distT="72390" distB="0" distL="254000" distR="0" simplePos="0" locked="0" layoutInCell="1" allowOverlap="1" relativeHeight="302">
                <wp:simplePos x="0" y="0"/>
                <wp:positionH relativeFrom="column">
                  <wp:align>left</wp:align>
                </wp:positionH>
                <wp:positionV relativeFrom="line">
                  <wp:align>top</wp:align>
                </wp:positionV>
                <wp:extent cx="127000" cy="350520"/>
                <wp:effectExtent l="0" t="0" r="0" b="0"/>
                <wp:wrapSquare wrapText="right"/>
                <wp:docPr id="301" name="Frame3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these procedural requirements, a shareholder must deliver timely notice in proper written form (as specified in our Bylaws) to our secretary of the nomination or proposal along with evidence of, among other things: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shareholder’s status as a shareholder, </w:t>
      </w:r>
      <w:r>
        <mc:AlternateContent>
          <mc:Choice Requires="wps">
            <w:drawing>
              <wp:anchor behindDoc="0" distT="72390" distB="0" distL="254000" distR="0" simplePos="0" locked="0" layoutInCell="1" allowOverlap="1" relativeHeight="303">
                <wp:simplePos x="0" y="0"/>
                <wp:positionH relativeFrom="column">
                  <wp:align>left</wp:align>
                </wp:positionH>
                <wp:positionV relativeFrom="line">
                  <wp:align>top</wp:align>
                </wp:positionV>
                <wp:extent cx="127000" cy="350520"/>
                <wp:effectExtent l="0" t="0" r="0" b="0"/>
                <wp:wrapSquare wrapText="right"/>
                <wp:docPr id="302" name="Frame3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shares beneficially owned by the shareholder, </w:t>
      </w:r>
      <w:r>
        <mc:AlternateContent>
          <mc:Choice Requires="wps">
            <w:drawing>
              <wp:anchor behindDoc="0" distT="72390" distB="0" distL="254000" distR="0" simplePos="0" locked="0" layoutInCell="1" allowOverlap="1" relativeHeight="304">
                <wp:simplePos x="0" y="0"/>
                <wp:positionH relativeFrom="column">
                  <wp:align>left</wp:align>
                </wp:positionH>
                <wp:positionV relativeFrom="line">
                  <wp:align>top</wp:align>
                </wp:positionV>
                <wp:extent cx="127000" cy="350520"/>
                <wp:effectExtent l="0" t="0" r="0" b="0"/>
                <wp:wrapSquare wrapText="right"/>
                <wp:docPr id="303" name="Frame3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list of the persons with whom the shareholder is acting in concert, and </w:t>
      </w:r>
      <w:r>
        <mc:AlternateContent>
          <mc:Choice Requires="wps">
            <w:drawing>
              <wp:anchor behindDoc="0" distT="72390" distB="0" distL="254000" distR="0" simplePos="0" locked="0" layoutInCell="1" allowOverlap="1" relativeHeight="305">
                <wp:simplePos x="0" y="0"/>
                <wp:positionH relativeFrom="column">
                  <wp:align>left</wp:align>
                </wp:positionH>
                <wp:positionV relativeFrom="line">
                  <wp:align>top</wp:align>
                </wp:positionV>
                <wp:extent cx="127000" cy="350520"/>
                <wp:effectExtent l="0" t="0" r="0" b="0"/>
                <wp:wrapSquare wrapText="right"/>
                <wp:docPr id="304" name="Frame3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shares such persons beneficially own. </w:t>
      </w:r>
      <w:r>
        <mc:AlternateContent>
          <mc:Choice Requires="wps">
            <w:drawing>
              <wp:anchor behindDoc="0" distT="72390" distB="0" distL="254000" distR="0" simplePos="0" locked="0" layoutInCell="1" allowOverlap="1" relativeHeight="306">
                <wp:simplePos x="0" y="0"/>
                <wp:positionH relativeFrom="column">
                  <wp:align>left</wp:align>
                </wp:positionH>
                <wp:positionV relativeFrom="line">
                  <wp:align>top</wp:align>
                </wp:positionV>
                <wp:extent cx="127000" cy="350520"/>
                <wp:effectExtent l="0" t="0" r="0" b="0"/>
                <wp:wrapSquare wrapText="right"/>
                <wp:docPr id="305" name="Frame3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be timely, a shareholder must deliver the notice: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an annual meeting of shareholders, not later than the close of business on the 90th day nor earlier than the close of business on the 180th day prior to the first anniversary of the date on which the immediately preceding year’s annual meeting of shareholders was held; provided that if the date of the annual meeting is advanced by more than 30 days prior to or delayed by more than 60 days after the first anniversary of the preceding year’s annual meeting of shareholders, not earlier than the close of business 180 days prior to the annual meeting and not later than the last to occur of the close of business (i) the 90th day prior to the annual meeting or (ii) the 10th day following the day on which we first make public announcement of the date of such meeting, or </w:t>
      </w:r>
      <w:r>
        <mc:AlternateContent>
          <mc:Choice Requires="wps">
            <w:drawing>
              <wp:anchor behindDoc="0" distT="72390" distB="0" distL="254000" distR="0" simplePos="0" locked="0" layoutInCell="1" allowOverlap="1" relativeHeight="307">
                <wp:simplePos x="0" y="0"/>
                <wp:positionH relativeFrom="column">
                  <wp:align>left</wp:align>
                </wp:positionH>
                <wp:positionV relativeFrom="line">
                  <wp:align>top</wp:align>
                </wp:positionV>
                <wp:extent cx="127000" cy="350520"/>
                <wp:effectExtent l="0" t="0" r="0" b="0"/>
                <wp:wrapSquare wrapText="right"/>
                <wp:docPr id="306" name="Frame3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nomination of director candidates at a special meeting of shareholders, generally not later than the close of business on the 40th day nor earlier than the close of business on the 60th day prior to the date of the special meeting. </w:t>
      </w:r>
      <w:r>
        <mc:AlternateContent>
          <mc:Choice Requires="wps">
            <w:drawing>
              <wp:anchor behindDoc="0" distT="73660" distB="0" distL="254000" distR="0" simplePos="0" locked="0" layoutInCell="1" allowOverlap="1" relativeHeight="308">
                <wp:simplePos x="0" y="0"/>
                <wp:positionH relativeFrom="column">
                  <wp:align>left</wp:align>
                </wp:positionH>
                <wp:positionV relativeFrom="line">
                  <wp:align>top</wp:align>
                </wp:positionV>
                <wp:extent cx="127000" cy="350520"/>
                <wp:effectExtent l="0" t="0" r="0" b="0"/>
                <wp:wrapSquare wrapText="right"/>
                <wp:docPr id="307" name="Frame3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submit a nomination for the board of directors, a shareholder must also submit information with respect to the nominee that we would be required to include in a proxy statement, and, with respect to a nomination for an annual meeting, reasonable evidence that it has complied with the requirements of Rule 14a-19 of the Securities Exchange Act of 1934, as amended, not later than eight business days prior to the date of the meeting, as well as certain other information relating to the candidate’s eligibility, including any required updates or supplements to such information as of the record date for the meeting and as of the date that is ten business days prior to the meeting. If a shareholder fails to follow the required procedures, the shareholder’s nominee or proposal will be ineligible and will not be voted on by our shareholders.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the director nomination provisions described above, our Bylaws contain a “proxy access” provision that provides that any shareholder or group of up to twenty shareholders who have owned 3% or more of our outstanding capital stock continuously for at least three years to nominate and include in our proxy materials for an annual meeting of shareholders, director candidates constituting up to 20% (or, if such amount is not a whole number, the closest whole number below 20%) of our board of directors or two directors, whichever is greater, provided that the shareholder (or group) and each nominee satisfy the eligibility requirements specified in our Bylaws. An eligible shareholder (or group) proposing to nominate a person for election to our board of directors through the proxy access provision must provide us with a notice requesting the inclusion of the director nominee in our proxy materials and other required information not less than 120 days nor more than 150 days prior to the first anniversary of the date on which the immediately preceding year’s annual meeting of shareholders was held. In addition, an eligible shareholder (or group) may include a written statement of not more than 500 words supporting the candidacy of such shareholder nominee. The complete proxy access provision for director nominations is set forth in our Bylaws.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a special meeting of shareholders, the only business that will be conducted is that stated in the notice of special meeting, or otherwise properly brought and made in proper written form before the meeting by or at the direction of the Chair of the Meeting or the board of directors. Shareholders requesting a special meeting are permitted to make proposals for matters to be brought before the meeting in their request.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Limitation on Liability of Directors and Officers</w:t>
      </w:r>
      <w:r>
        <w:rPr>
          <w:rFonts w:ascii="Times New Roman;Times;serif" w:hAnsi="Times New Roman;Times;serif"/>
          <w:b w:val="false"/>
          <w:i w:val="false"/>
          <w:caps w:val="false"/>
          <w:smallCaps w:val="false"/>
          <w:color w:val="000000"/>
          <w:spacing w:val="4"/>
          <w:sz w:val="20"/>
        </w:rPr>
        <w:t xml:space="preserve">.   Our Certificate of Formation provides that no director or officer will be personally liable to us or our shareholders for monetary damages for any act or omission in the director’s capacity as a director or officer’s capacity as an officer, as applicable, except for the liability of (1) a director or officer to the extent the director or officer is found liable under applicable law for: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breach of the director’s or officer’s duty of loyalty to us or our shareholders, </w:t>
      </w:r>
      <w:r>
        <mc:AlternateContent>
          <mc:Choice Requires="wps">
            <w:drawing>
              <wp:anchor behindDoc="0" distT="77470" distB="0" distL="254000" distR="0" simplePos="0" locked="0" layoutInCell="1" allowOverlap="1" relativeHeight="309">
                <wp:simplePos x="0" y="0"/>
                <wp:positionH relativeFrom="column">
                  <wp:align>left</wp:align>
                </wp:positionH>
                <wp:positionV relativeFrom="line">
                  <wp:align>top</wp:align>
                </wp:positionV>
                <wp:extent cx="127000" cy="350520"/>
                <wp:effectExtent l="0" t="0" r="0" b="0"/>
                <wp:wrapSquare wrapText="right"/>
                <wp:docPr id="308" name="Frame3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act or omission not in good faith that (i) constitutes a breach of duty of the director or officer to us or (ii) involves intentional misconduct or a knowing violation of law, </w:t>
      </w:r>
      <w:r>
        <mc:AlternateContent>
          <mc:Choice Requires="wps">
            <w:drawing>
              <wp:anchor behindDoc="0" distT="77470" distB="0" distL="254000" distR="0" simplePos="0" locked="0" layoutInCell="1" allowOverlap="1" relativeHeight="310">
                <wp:simplePos x="0" y="0"/>
                <wp:positionH relativeFrom="column">
                  <wp:align>left</wp:align>
                </wp:positionH>
                <wp:positionV relativeFrom="line">
                  <wp:align>top</wp:align>
                </wp:positionV>
                <wp:extent cx="127000" cy="350520"/>
                <wp:effectExtent l="0" t="0" r="0" b="0"/>
                <wp:wrapSquare wrapText="right"/>
                <wp:docPr id="309" name="Frame3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transaction from which the director or officer received an improper benefit, regardless of whether the benefit resulted from an action taken within the scope of a director’s or officer’s duties, </w:t>
      </w:r>
      <w:r>
        <mc:AlternateContent>
          <mc:Choice Requires="wps">
            <w:drawing>
              <wp:anchor behindDoc="0" distT="77470" distB="0" distL="254000" distR="0" simplePos="0" locked="0" layoutInCell="1" allowOverlap="1" relativeHeight="311">
                <wp:simplePos x="0" y="0"/>
                <wp:positionH relativeFrom="column">
                  <wp:align>left</wp:align>
                </wp:positionH>
                <wp:positionV relativeFrom="line">
                  <wp:align>top</wp:align>
                </wp:positionV>
                <wp:extent cx="127000" cy="350520"/>
                <wp:effectExtent l="0" t="0" r="0" b="0"/>
                <wp:wrapSquare wrapText="right"/>
                <wp:docPr id="310" name="Frame3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act or omission for which the liability of a director or officer is expressly provided by an applicable statute; and </w:t>
      </w:r>
      <w:r>
        <mc:AlternateContent>
          <mc:Choice Requires="wps">
            <w:drawing>
              <wp:anchor behindDoc="0" distT="77470" distB="0" distL="254000" distR="0" simplePos="0" locked="0" layoutInCell="1" allowOverlap="1" relativeHeight="312">
                <wp:simplePos x="0" y="0"/>
                <wp:positionH relativeFrom="column">
                  <wp:align>left</wp:align>
                </wp:positionH>
                <wp:positionV relativeFrom="line">
                  <wp:align>top</wp:align>
                </wp:positionV>
                <wp:extent cx="127000" cy="350520"/>
                <wp:effectExtent l="0" t="0" r="0" b="0"/>
                <wp:wrapSquare wrapText="right"/>
                <wp:docPr id="311" name="Frame3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an officer in any action by or in our right.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Bylaws provide that we will indemnify our current or former officers and directors and advance expenses to them in connection with proceedings and claims, to the fullest extent permitted by the TBOC. Our Bylaws authorize our board of directors to indemnify and advance expenses to people other than our current or former officers and directors in certain circumstances.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Choice of Forum</w:t>
      </w:r>
      <w:r>
        <w:rPr>
          <w:rFonts w:ascii="Times New Roman;Times;serif" w:hAnsi="Times New Roman;Times;serif"/>
          <w:b w:val="false"/>
          <w:i w:val="false"/>
          <w:caps w:val="false"/>
          <w:smallCaps w:val="false"/>
          <w:color w:val="000000"/>
          <w:spacing w:val="4"/>
          <w:sz w:val="20"/>
        </w:rPr>
        <w:t xml:space="preserve">.   Our Bylaws provide that, unless we consent to the selection of an alternative forum, the United States District Court for the Southern District of Texas or, if such court lacks jurisdiction, the Eleventh Business Court Division of the Texas Business Court, located in Harris County, Texas, shall be the sole and exclusive forum for certain actions brought on behalf of the company or asserting claims against the company or its directors, officers or employees. Our Bylaws also provide that the federal district courts of the United States will be the sole and exclusive forum for claims arising under the Securities Act of 1933, as amended (the “Securities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Shareholder Derivative Proceedings</w:t>
      </w:r>
      <w:r>
        <w:rPr>
          <w:rFonts w:ascii="Times New Roman;Times;serif" w:hAnsi="Times New Roman;Times;serif"/>
          <w:b w:val="false"/>
          <w:i w:val="false"/>
          <w:caps w:val="false"/>
          <w:smallCaps w:val="false"/>
          <w:color w:val="000000"/>
          <w:spacing w:val="4"/>
          <w:sz w:val="20"/>
        </w:rPr>
        <w:t xml:space="preserve">.   As permitted by the TBOC, our Bylaws provide that no shareholder (as defined in Section 21.551(2) of the TBOC) or group of such shareholders may institute or maintain a derivative proceeding brought on behalf of the company against any director and/or officer of the company in such person’s official capacity unless the shareholder or group of shareholders, at the time the derivative proceeding is instituted, beneficially owns a number of shares of our common stock sufficient to meet an ownership threshold of at least 3% of the outstanding shares of our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Jury Trial Waiver</w:t>
      </w:r>
      <w:r>
        <w:rPr>
          <w:rFonts w:ascii="Times New Roman;Times;serif" w:hAnsi="Times New Roman;Times;serif"/>
          <w:b w:val="false"/>
          <w:i w:val="false"/>
          <w:caps w:val="false"/>
          <w:smallCaps w:val="false"/>
          <w:color w:val="000000"/>
          <w:spacing w:val="4"/>
          <w:sz w:val="20"/>
        </w:rPr>
        <w:t xml:space="preserve">.   As permitted by the TBOC, our Bylaws provide that, unless we consent in writing to a jury trial, the company and each shareholder, director, and officer of the company irrevocably and unconditionally waives any right that such person or entity may have to a trial by jury in any claim that such person or entity may have in any legal action, proceeding, cause of action, counterclaim, cross-claim, or third-party claim arising out of or relating to any “internal entity claim” under the TBOC, and each shareholder agrees that their holdings or acquisition of shares of capital stock of the company or, to the extent permitted by law, options or rights to acquire shares of capital stock of the company, constitutes such shareholder’s intentional and knowing waiver of any right to trial by jury with respect to such claim.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Texas Anti-Takeover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subject to Section 21.606 of the TBOC. That section prohibits Texas public corporations from engaging in a wide range of specified transactions with any affiliated shareholder during the three-year period immediately following the affiliated shareholder’s acquisition of shares in the absence of certain board of director or shareholder approvals. An affiliated shareholder of a corporation is any person, other than the corporation and any of its wholly owned subsidiaries, that is or was within the preceding three-year period the beneficial owner of 20% or more of the outstanding shares of stock entitled to vote generally in the election of directors. Section 21.606 may deter any potential unfriendly offers or other efforts to obtain control of us that are not approved by our board of directors. This may deprive our shareholders of opportunities to sell shares of our common stock at a premium to the prevailing market price.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tDOSP1"/>
      <w:bookmarkEnd w:id="26"/>
      <w:r>
        <w:rPr>
          <w:rFonts w:ascii="calibri;arial;sans-serif" w:hAnsi="calibri;arial;sans-serif"/>
          <w:b w:val="false"/>
          <w:i w:val="false"/>
          <w:caps w:val="false"/>
          <w:smallCaps w:val="false"/>
          <w:color w:val="000000"/>
          <w:sz w:val="16"/>
        </w:rPr>
        <w:t>​</w:t>
      </w:r>
      <w:bookmarkStart w:id="27" w:name="tDODS1"/>
      <w:bookmarkEnd w:id="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6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STOCK PURCHASE CONTRACTS AND EQUITY UNITS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stock purchase contracts, including contracts obligating holders to purchase from us, and obligating us to sell to the holders, a specified number of shares of common stock, preferred stock or other securities at a future date or dates. We may fix the price and number of securities subject to the stock purchase contracts at the time we issue the stock purchase contracts, or we may provide that the price and number of securities will be determined pursuant to a formula set forth in the stock purchase contracts. The stock purchase contracts may be issued separately or as part of units consisting of a stock purchase contract and our debt securities or debt obligations of third parties, including U.S. treasury securities, securing the obligations of the holders of the units to purchase the securities under the stock purchase contracts. We refer to these units as equity units. The stock purchase contracts may require holders to secure their obligations under the stock purchase contracts in a specified manner. The stock purchase contracts also may require us to make periodic payments to the holders of the equity units or vice versa, and those payments may be unsecured on some basis.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prospectus supplement will describe the terms of the stock purchase contracts or equity units offered by such prospectus supplement. The description in the prospectus supplement will not necessarily be complete, and reference will be made to the stock purchase contracts or equity units, and, if applicable, collateral or depositary arrangements, relating to the stock purchase contracts or equity units, which will be filed with the SEC or otherwise incorporated by reference in our previous filings each time we issue stock purchase contracts or equity units. Certain material United States federal income tax considerations applicable to the equity units and the stock purchase contracts will also be discussed in the prospectus supplement.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DEPOSITARY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fractional shares of preferred stock, rather than full shares of preferred stock. If we do so, we may issue receipts for depositary shares that each represent a fraction of a share of a particular series of preferred stock. A related prospectus supplement will indicate that fraction. The shares of preferred stock represented by depositary shares will be deposited under a depositary agreement between us and a bank, trust company or other institution that is selected by us, which we refer to as the “depositary.” Each owner of a depositary share will be entitled to all the designations, powers, preferences, rights, qualifications, limitations and restrictions of the preferred stock represented by the depositary share. The depositary share will be evidenced by depositary receipts issued pursuant to the depositary agreement. Depositary receipts will be distributed to those persons purchasing the fractional shares of preferred stock in accordance with the terms of the offering.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forms of the depositary agreement and the depositary receipts relating to any particular issue of depositary shares will be filed with the SEC each time we issue depositary shares, and any prospectus supplement relating to any particular depositary shares will describe, among other things, the following: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material terms of the depositary shares and of the underlying preferred stock, </w:t>
      </w:r>
      <w:r>
        <mc:AlternateContent>
          <mc:Choice Requires="wps">
            <w:drawing>
              <wp:anchor behindDoc="0" distT="76200" distB="0" distL="254000" distR="0" simplePos="0" locked="0" layoutInCell="1" allowOverlap="1" relativeHeight="313">
                <wp:simplePos x="0" y="0"/>
                <wp:positionH relativeFrom="column">
                  <wp:align>left</wp:align>
                </wp:positionH>
                <wp:positionV relativeFrom="line">
                  <wp:align>top</wp:align>
                </wp:positionV>
                <wp:extent cx="127000" cy="350520"/>
                <wp:effectExtent l="0" t="0" r="0" b="0"/>
                <wp:wrapSquare wrapText="right"/>
                <wp:docPr id="312" name="Frame3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identity of the depositary and the material terms of the depositary agreement, </w:t>
      </w:r>
      <w:r>
        <mc:AlternateContent>
          <mc:Choice Requires="wps">
            <w:drawing>
              <wp:anchor behindDoc="0" distT="76200" distB="0" distL="254000" distR="0" simplePos="0" locked="0" layoutInCell="1" allowOverlap="1" relativeHeight="314">
                <wp:simplePos x="0" y="0"/>
                <wp:positionH relativeFrom="column">
                  <wp:align>left</wp:align>
                </wp:positionH>
                <wp:positionV relativeFrom="line">
                  <wp:align>top</wp:align>
                </wp:positionV>
                <wp:extent cx="127000" cy="350520"/>
                <wp:effectExtent l="0" t="0" r="0" b="0"/>
                <wp:wrapSquare wrapText="right"/>
                <wp:docPr id="313" name="Frame3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material provisions relating to the issuance, payment, settlement, transfer or exchange of the depositary shares, and </w:t>
      </w:r>
      <w:r>
        <mc:AlternateContent>
          <mc:Choice Requires="wps">
            <w:drawing>
              <wp:anchor behindDoc="0" distT="76200" distB="0" distL="254000" distR="0" simplePos="0" locked="0" layoutInCell="1" allowOverlap="1" relativeHeight="315">
                <wp:simplePos x="0" y="0"/>
                <wp:positionH relativeFrom="column">
                  <wp:align>left</wp:align>
                </wp:positionH>
                <wp:positionV relativeFrom="line">
                  <wp:align>top</wp:align>
                </wp:positionV>
                <wp:extent cx="127000" cy="350520"/>
                <wp:effectExtent l="0" t="0" r="0" b="0"/>
                <wp:wrapSquare wrapText="right"/>
                <wp:docPr id="314" name="Frame3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5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applicable material United States federal income tax considerations. </w:t>
      </w:r>
      <w:r>
        <mc:AlternateContent>
          <mc:Choice Requires="wps">
            <w:drawing>
              <wp:anchor behindDoc="0" distT="76200" distB="0" distL="254000" distR="0" simplePos="0" locked="0" layoutInCell="1" allowOverlap="1" relativeHeight="316">
                <wp:simplePos x="0" y="0"/>
                <wp:positionH relativeFrom="column">
                  <wp:align>left</wp:align>
                </wp:positionH>
                <wp:positionV relativeFrom="line">
                  <wp:align>top</wp:align>
                </wp:positionV>
                <wp:extent cx="127000" cy="350520"/>
                <wp:effectExtent l="0" t="0" r="0" b="0"/>
                <wp:wrapSquare wrapText="right"/>
                <wp:docPr id="315" name="Frame3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 w:name="tHCS1"/>
      <w:bookmarkEnd w:id="28"/>
      <w:r>
        <w:rPr>
          <w:rFonts w:ascii="calibri;arial;sans-serif" w:hAnsi="calibri;arial;sans-serif"/>
          <w:b w:val="false"/>
          <w:i w:val="false"/>
          <w:caps w:val="false"/>
          <w:smallCaps w:val="false"/>
          <w:color w:val="000000"/>
          <w:sz w:val="16"/>
        </w:rPr>
        <w:t>​</w:t>
      </w:r>
      <w:bookmarkStart w:id="29" w:name="tPOD1"/>
      <w:bookmarkEnd w:id="2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HOLDING COMPANY STRUCTURE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holding company that derives all of our operating income from, and holds substantially all of our assets through, our subsidiaries. As a result, we depend on the performance of and distributions from our subsidiaries to meet our debt service obligations and to pay dividends on our common stock and any future preferred stock we may issue. In general, our subsidiaries are separate and distinct legal entities and have no obligation to provide us with funds for our payment obligations, whether by dividends, distributions, loans or otherwise. In addition, provisions of applicable law, such as those limiting the legal sources of dividends, limit our subsidiaries’ ability to make payments or other distributions to us, and our subsidiaries could agree to contractual restrictions on their ability to make payments or other distributions. Our right to receive assets of any subsidiary, and therefore the right of our creditors to participate in those assets, are structurally subordinated to the claims of our subsidiaries’ creditors, including trade creditors. In addition, even if we were a creditor of any subsidiary, our rights as a creditor would likely be effectively subordinated to any security interest in the assets of that subsidiary and any senior indebtedness of that subsidiary.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the offered securities in and outside the United States: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underwriters or dealers, </w:t>
      </w:r>
      <w:r>
        <mc:AlternateContent>
          <mc:Choice Requires="wps">
            <w:drawing>
              <wp:anchor behindDoc="0" distT="72390" distB="0" distL="254000" distR="0" simplePos="0" locked="0" layoutInCell="1" allowOverlap="1" relativeHeight="317">
                <wp:simplePos x="0" y="0"/>
                <wp:positionH relativeFrom="column">
                  <wp:align>left</wp:align>
                </wp:positionH>
                <wp:positionV relativeFrom="line">
                  <wp:align>top</wp:align>
                </wp:positionV>
                <wp:extent cx="127000" cy="350520"/>
                <wp:effectExtent l="0" t="0" r="0" b="0"/>
                <wp:wrapSquare wrapText="right"/>
                <wp:docPr id="316" name="Frame3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directly to purchasers, including our affiliates, </w:t>
      </w:r>
      <w:r>
        <mc:AlternateContent>
          <mc:Choice Requires="wps">
            <w:drawing>
              <wp:anchor behindDoc="0" distT="72390" distB="0" distL="254000" distR="0" simplePos="0" locked="0" layoutInCell="1" allowOverlap="1" relativeHeight="318">
                <wp:simplePos x="0" y="0"/>
                <wp:positionH relativeFrom="column">
                  <wp:align>left</wp:align>
                </wp:positionH>
                <wp:positionV relativeFrom="line">
                  <wp:align>top</wp:align>
                </wp:positionV>
                <wp:extent cx="127000" cy="350520"/>
                <wp:effectExtent l="0" t="0" r="0" b="0"/>
                <wp:wrapSquare wrapText="right"/>
                <wp:docPr id="317" name="Frame3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agents, or </w:t>
      </w:r>
      <w:r>
        <mc:AlternateContent>
          <mc:Choice Requires="wps">
            <w:drawing>
              <wp:anchor behindDoc="0" distT="72390" distB="0" distL="254000" distR="0" simplePos="0" locked="0" layoutInCell="1" allowOverlap="1" relativeHeight="319">
                <wp:simplePos x="0" y="0"/>
                <wp:positionH relativeFrom="column">
                  <wp:align>left</wp:align>
                </wp:positionH>
                <wp:positionV relativeFrom="line">
                  <wp:align>top</wp:align>
                </wp:positionV>
                <wp:extent cx="127000" cy="350520"/>
                <wp:effectExtent l="0" t="0" r="0" b="0"/>
                <wp:wrapSquare wrapText="right"/>
                <wp:docPr id="318" name="Frame3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 combination of any of these methods. </w:t>
      </w:r>
      <w:r>
        <mc:AlternateContent>
          <mc:Choice Requires="wps">
            <w:drawing>
              <wp:anchor behindDoc="0" distT="72390" distB="0" distL="254000" distR="0" simplePos="0" locked="0" layoutInCell="1" allowOverlap="1" relativeHeight="320">
                <wp:simplePos x="0" y="0"/>
                <wp:positionH relativeFrom="column">
                  <wp:align>left</wp:align>
                </wp:positionH>
                <wp:positionV relativeFrom="line">
                  <wp:align>top</wp:align>
                </wp:positionV>
                <wp:extent cx="127000" cy="350520"/>
                <wp:effectExtent l="0" t="0" r="0" b="0"/>
                <wp:wrapSquare wrapText="right"/>
                <wp:docPr id="319" name="Frame3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prospectus supplement will include the following information: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the offering, </w:t>
      </w:r>
      <w:r>
        <mc:AlternateContent>
          <mc:Choice Requires="wps">
            <w:drawing>
              <wp:anchor behindDoc="0" distT="72390" distB="0" distL="254000" distR="0" simplePos="0" locked="0" layoutInCell="1" allowOverlap="1" relativeHeight="321">
                <wp:simplePos x="0" y="0"/>
                <wp:positionH relativeFrom="column">
                  <wp:align>left</wp:align>
                </wp:positionH>
                <wp:positionV relativeFrom="line">
                  <wp:align>top</wp:align>
                </wp:positionV>
                <wp:extent cx="127000" cy="350520"/>
                <wp:effectExtent l="0" t="0" r="0" b="0"/>
                <wp:wrapSquare wrapText="right"/>
                <wp:docPr id="320" name="Frame3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names of any underwriters or agents, </w:t>
      </w:r>
      <w:r>
        <mc:AlternateContent>
          <mc:Choice Requires="wps">
            <w:drawing>
              <wp:anchor behindDoc="0" distT="72390" distB="0" distL="254000" distR="0" simplePos="0" locked="0" layoutInCell="1" allowOverlap="1" relativeHeight="322">
                <wp:simplePos x="0" y="0"/>
                <wp:positionH relativeFrom="column">
                  <wp:align>left</wp:align>
                </wp:positionH>
                <wp:positionV relativeFrom="line">
                  <wp:align>top</wp:align>
                </wp:positionV>
                <wp:extent cx="127000" cy="350520"/>
                <wp:effectExtent l="0" t="0" r="0" b="0"/>
                <wp:wrapSquare wrapText="right"/>
                <wp:docPr id="321" name="Frame3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 or names of any managing underwriter or underwriters, </w:t>
      </w:r>
      <w:r>
        <mc:AlternateContent>
          <mc:Choice Requires="wps">
            <w:drawing>
              <wp:anchor behindDoc="0" distT="72390" distB="0" distL="254000" distR="0" simplePos="0" locked="0" layoutInCell="1" allowOverlap="1" relativeHeight="323">
                <wp:simplePos x="0" y="0"/>
                <wp:positionH relativeFrom="column">
                  <wp:align>left</wp:align>
                </wp:positionH>
                <wp:positionV relativeFrom="line">
                  <wp:align>top</wp:align>
                </wp:positionV>
                <wp:extent cx="127000" cy="350520"/>
                <wp:effectExtent l="0" t="0" r="0" b="0"/>
                <wp:wrapSquare wrapText="right"/>
                <wp:docPr id="322" name="Frame3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purchase price of the securities, </w:t>
      </w:r>
      <w:r>
        <mc:AlternateContent>
          <mc:Choice Requires="wps">
            <w:drawing>
              <wp:anchor behindDoc="0" distT="72390" distB="0" distL="254000" distR="0" simplePos="0" locked="0" layoutInCell="1" allowOverlap="1" relativeHeight="324">
                <wp:simplePos x="0" y="0"/>
                <wp:positionH relativeFrom="column">
                  <wp:align>left</wp:align>
                </wp:positionH>
                <wp:positionV relativeFrom="line">
                  <wp:align>top</wp:align>
                </wp:positionV>
                <wp:extent cx="127000" cy="350520"/>
                <wp:effectExtent l="0" t="0" r="0" b="0"/>
                <wp:wrapSquare wrapText="right"/>
                <wp:docPr id="323" name="Frame3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net proceeds to us from the sale of the securities, </w:t>
      </w:r>
      <w:r>
        <mc:AlternateContent>
          <mc:Choice Requires="wps">
            <w:drawing>
              <wp:anchor behindDoc="0" distT="72390" distB="0" distL="254000" distR="0" simplePos="0" locked="0" layoutInCell="1" allowOverlap="1" relativeHeight="325">
                <wp:simplePos x="0" y="0"/>
                <wp:positionH relativeFrom="column">
                  <wp:align>left</wp:align>
                </wp:positionH>
                <wp:positionV relativeFrom="line">
                  <wp:align>top</wp:align>
                </wp:positionV>
                <wp:extent cx="127000" cy="350520"/>
                <wp:effectExtent l="0" t="0" r="0" b="0"/>
                <wp:wrapSquare wrapText="right"/>
                <wp:docPr id="324" name="Frame3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delayed delivery arrangements, </w:t>
      </w:r>
      <w:r>
        <mc:AlternateContent>
          <mc:Choice Requires="wps">
            <w:drawing>
              <wp:anchor behindDoc="0" distT="72390" distB="0" distL="254000" distR="0" simplePos="0" locked="0" layoutInCell="1" allowOverlap="1" relativeHeight="326">
                <wp:simplePos x="0" y="0"/>
                <wp:positionH relativeFrom="column">
                  <wp:align>left</wp:align>
                </wp:positionH>
                <wp:positionV relativeFrom="line">
                  <wp:align>top</wp:align>
                </wp:positionV>
                <wp:extent cx="127000" cy="350520"/>
                <wp:effectExtent l="0" t="0" r="0" b="0"/>
                <wp:wrapSquare wrapText="right"/>
                <wp:docPr id="325" name="Frame3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underwriting discounts, commissions and other items constituting underwriters’ compensation, </w:t>
      </w:r>
      <w:r>
        <mc:AlternateContent>
          <mc:Choice Requires="wps">
            <w:drawing>
              <wp:anchor behindDoc="0" distT="72390" distB="0" distL="254000" distR="0" simplePos="0" locked="0" layoutInCell="1" allowOverlap="1" relativeHeight="327">
                <wp:simplePos x="0" y="0"/>
                <wp:positionH relativeFrom="column">
                  <wp:align>left</wp:align>
                </wp:positionH>
                <wp:positionV relativeFrom="line">
                  <wp:align>top</wp:align>
                </wp:positionV>
                <wp:extent cx="127000" cy="350520"/>
                <wp:effectExtent l="0" t="0" r="0" b="0"/>
                <wp:wrapSquare wrapText="right"/>
                <wp:docPr id="326" name="Frame3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initial public offering price, </w:t>
      </w:r>
      <w:r>
        <mc:AlternateContent>
          <mc:Choice Requires="wps">
            <w:drawing>
              <wp:anchor behindDoc="0" distT="72390" distB="0" distL="254000" distR="0" simplePos="0" locked="0" layoutInCell="1" allowOverlap="1" relativeHeight="328">
                <wp:simplePos x="0" y="0"/>
                <wp:positionH relativeFrom="column">
                  <wp:align>left</wp:align>
                </wp:positionH>
                <wp:positionV relativeFrom="line">
                  <wp:align>top</wp:align>
                </wp:positionV>
                <wp:extent cx="127000" cy="350520"/>
                <wp:effectExtent l="0" t="0" r="0" b="0"/>
                <wp:wrapSquare wrapText="right"/>
                <wp:docPr id="327" name="Frame3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discounts or concessions allowed or reallowed or paid to dealers, and </w:t>
      </w:r>
      <w:r>
        <mc:AlternateContent>
          <mc:Choice Requires="wps">
            <w:drawing>
              <wp:anchor behindDoc="0" distT="72390" distB="0" distL="254000" distR="0" simplePos="0" locked="0" layoutInCell="1" allowOverlap="1" relativeHeight="329">
                <wp:simplePos x="0" y="0"/>
                <wp:positionH relativeFrom="column">
                  <wp:align>left</wp:align>
                </wp:positionH>
                <wp:positionV relativeFrom="line">
                  <wp:align>top</wp:align>
                </wp:positionV>
                <wp:extent cx="127000" cy="350520"/>
                <wp:effectExtent l="0" t="0" r="0" b="0"/>
                <wp:wrapSquare wrapText="right"/>
                <wp:docPr id="328" name="Frame3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commissions paid to agents. </w:t>
      </w:r>
      <w:r>
        <mc:AlternateContent>
          <mc:Choice Requires="wps">
            <w:drawing>
              <wp:anchor behindDoc="0" distT="72390" distB="0" distL="254000" distR="0" simplePos="0" locked="0" layoutInCell="1" allowOverlap="1" relativeHeight="330">
                <wp:simplePos x="0" y="0"/>
                <wp:positionH relativeFrom="column">
                  <wp:align>left</wp:align>
                </wp:positionH>
                <wp:positionV relativeFrom="line">
                  <wp:align>top</wp:align>
                </wp:positionV>
                <wp:extent cx="127000" cy="350520"/>
                <wp:effectExtent l="0" t="0" r="0" b="0"/>
                <wp:wrapSquare wrapText="right"/>
                <wp:docPr id="329" name="Frame3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Sale Through Underwriters or Dealers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use underwriters in the sale, the underwriters will acquire the securities for their own account. The underwriters may resell the securities from time to time in one or more transactions, including negotiated transactions, at a fixed public offering price or at varying prices determined at the time of sale. Underwriters may offer securities to the public either through underwriting syndicates represented by one or more managing underwriters or directly by one or more firms acting as underwriters. Unless we inform you otherwise in the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initial public offering price and any discounts or concessions allowed or reallowed or paid to dealers.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Underwriters may sell shares of our common stock under this prospectus by any method permitted by law deemed to be an “at the market” offering as defined in Rule 415 under the Securities Act, which includes sales made directly on the New York Stock Exchange, the NYSE Texas, on any other existing trading market for our common stock or to or through a market maker, or in privately negotiated transactions,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including block trades. Unless we inform you otherwise in the applicable prospectus supplement, the sales agent with respect to any such at-the-market offering will make all sales using commercially reasonable efforts consistent with its normal trading and sales practices, on mutually agreeable terms between the sales agent and us. We will include in the applicable prospectus supplement the amount of any compensation to be received by the sales agent.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and after an offering through underwriters, the underwriters may purchase and sell the securities in the open market. These transactions may include overallotment and stabilizing transactions and purchases to cover syndicate short positions created in connection with the offering. The underwriters also may impose a penalty bid, which means that selling concessions allowed to syndicate members or other broker-dealers for the offered securities sold for their account may be reclaimed by the syndicate if the offered securities are repurchased by the syndicate in stabilizing or covering transactions. These activities may stabilize, maintain or otherwise affect the market price of the offered securities, which may be higher than the price that might otherwise prevail in the open market. If commenced, the underwriters may discontinue these activities at any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use dealers in the sale of securities, we may sell the securities to them as principals. They may then resell those securities to the public at varying prices determined by the dealers at the time of resale. The dealers participating in any sale of the securities may be deemed to be underwriters within the meaning of the Securities Act of 1933, with respect to any sale of these securities. We will include in the prospectus supplement the names of the dealers and the terms of the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that we make sales through one or more underwriters or agents in at-the-market offerings, we will do so pursuant to the terms of a sales agency agreement or other at-the-market offering arrangement between us and the underwriters or agents. If we engage in at-the-market sales pursuant to any such agreement, we will issue and sell common stock through one or more underwriters or agents, which may act on an agency basis or on a principal basis. During the term of any such agreement, we may sell common stock on a daily basis in exchange transactions or otherwise as we agree with the underwriters or agents. The agreement will provide that any common stock sold will be sold at prices related to the then prevailing market prices for such securities. Therefore, exact figures regarding proceeds that will be raised or commissions to be paid cannot be determined at this time. Pursuant to the terms of the agreement, we also may agree to sell, and the relevant underwriters or agents may agree to solicit offers to purchase, blocks of common stock. The terms of each such agreement will be set forth in more detail in the applicable prospectus supplement and any related free writing prospectus. In the event that any underwriter or agent acts as principal, or any broker-dealer acts as underwriter, it may engage in certain transactions that stabilize, maintain, or otherwise affect the price of common stock. We will describe any such activities in the prospectus supplement or any related free writing prospectus relating to the transaction.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 Sales and Sales Through Agents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the securities directly. In that event, no underwriters or agents would be involved. We may also sell the securities through agents we designate from time to time. In the prospectus supplement, we will name any agent involved in the offer or sale of the offered securities, and we will describe any commissions payable by us to the agent. Unless we inform you otherwise in the prospectus supplement, any agent will agree to use its reasonable best efforts to solicit purchases for the period of its appointment.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the securities directly to institutional investors or others who may be deemed to be underwriters within the meaning of the Securities Act with respect to any sale of those securities. We will describe the terms of any such sales in the prospectus supplement.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Delayed Delivery Contracts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so indicate in the prospectus supplement, we may authorize agents, underwriters or dealers to solicit offers from certain types of institutions to purchase securities from us at the public offering price under delayed delivery contracts. These contracts would provide for payment and delivery on a specified date in the future. The contracts would be subject only to those conditions described in the prospectus supplement. The prospectus supplement will describe the commission payable for solicitation of those contracts.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 w:name="tLEMA1"/>
      <w:bookmarkEnd w:id="30"/>
      <w:r>
        <w:rPr>
          <w:rFonts w:ascii="calibri;arial;sans-serif" w:hAnsi="calibri;arial;sans-serif"/>
          <w:b w:val="false"/>
          <w:i w:val="false"/>
          <w:caps w:val="false"/>
          <w:smallCaps w:val="false"/>
          <w:color w:val="000000"/>
          <w:sz w:val="16"/>
        </w:rPr>
        <w:t>​</w:t>
      </w:r>
      <w:bookmarkStart w:id="31" w:name="tEXP1"/>
      <w:bookmarkEnd w:id="3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Remarketing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and sell any of the offered securities in connection with a remarketing upon their purchase, in accordance with a redemption or repayment by their terms or otherwise by one or more remarketing firms acting as principals for their own accounts or as our agents. We will identify any remarketing firm, the terms of any remarketing agreement and the compensation to be paid to the remarketing firm in the prospectus supplement. Remarketing firms may be deemed underwriters under the Securities Act.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Derivative Transactions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parties may use securities pledged by us or borrowed from us or others to settle those sales or to close out any related open borrowings of securities, and may use securities received from us in settlement of those derivatives to close out any related open borrowings of securities. The third parties in these sale transactions will be underwriters and, if not identified in this prospectus, will be identified in the applicable prospectus supplement or in a post-effective amendment to the registration statement of which this prospectus forms a part.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have agreements with the remarketing firms, agents, dealers and underwriters to indemnify them against certain civil liabilities, including liabilities under the Securities Act, or to contribute with respect to payments that the agents, dealers or underwriters may be required to make. Such firms, agents, dealers and underwriters may be customers of, engage in transactions with or perform services for us in the ordinary course of their businesses.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required, this prospectus may be amended or supplemented from time to time to describe a particular plan of distribution. The place and time of delivery for the securities in respect of which this prospectus is delivered will be set forth in the accompanying prospectus supplement.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series of offered securities will be a new issue, and other than the common stock, which is listed on the New York Stock Exchange and the NYSE Texas, will have no established trading market. We may elect to list any series of offered securities on an exchange, but we are not obligated to do so. It is possible that one or more underwriters may make a market in a series of offered securities. However, they will not be obligated to do so and may discontinue market making at any time without notice. We cannot assure you that a liquid trading market for any of our offered securities will develop.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validity of the securities described in this prospectus will be passed upon for us by Baker Botts L.L.P., Houston, Texas. Monica Karuturi, Esq., our Executive Vice President and General Counsel, may pass on other legal matters for us. Ms. Karuturi is the beneficial owner of less than 1% of our common stock. Any underwriters will be advised regarding issues relating to any offering by Hunton Andrews Kurth LLP, New York, New York. From time to time, Hunton Andrews Kurth LLP acts as counsel to us and our affiliates on certain matters.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financial statements of CenterPoint Energy, Inc. as of December 31, 2025 and 2024, and for each of the three years in the period ended December 31, 2025, incorporated by reference in this Prospectus by reference to CenterPoint Energy, Inc.’s </w:t>
      </w:r>
      <w:hyperlink r:id="rId25">
        <w:r>
          <w:rPr>
            <w:rStyle w:val="InternetLink"/>
          </w:rPr>
          <w:t>annual report on Form 10-K for the year ended December 31, 2025</w:t>
        </w:r>
      </w:hyperlink>
      <w:r>
        <w:rPr>
          <w:rFonts w:ascii="Times New Roman;Times;serif" w:hAnsi="Times New Roman;Times;serif"/>
          <w:b w:val="false"/>
          <w:i w:val="false"/>
          <w:caps w:val="false"/>
          <w:smallCaps w:val="false"/>
          <w:color w:val="000000"/>
          <w:spacing w:val="4"/>
          <w:sz w:val="20"/>
        </w:rPr>
        <w:t>, and the effectiveness of CenterPoint Energy, Inc.’s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56"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20" w:before="1109"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400" w:before="720"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CENTERPOINT ENERGY, INC.</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310" w:before="720" w:after="283"/>
        <w:jc w:val="center"/>
        <w:rPr>
          <w:caps w:val="false"/>
          <w:smallCaps w:val="false"/>
          <w:color w:val="000000"/>
        </w:rPr>
      </w:pPr>
      <w:r>
        <w:rPr>
          <w:caps w:val="false"/>
          <w:smallCaps w:val="false"/>
          <w:color w:val="000000"/>
          <w:spacing w:val="-6"/>
        </w:rPr>
        <w:t>     </w:t>
      </w:r>
      <w:r>
        <w:rPr>
          <w:rFonts w:ascii="Times New Roman;Times;serif" w:hAnsi="Times New Roman;Times;serif"/>
          <w:b/>
          <w:i w:val="false"/>
          <w:caps w:val="false"/>
          <w:smallCaps w:val="false"/>
          <w:color w:val="000000"/>
          <w:spacing w:val="-6"/>
          <w:sz w:val="28"/>
        </w:rPr>
        <w:t>% Fixed-to-Fixed Reset Rate Junior Subordinated Notes, Series E, due 2058</w:t>
      </w:r>
      <w:r>
        <w:rPr>
          <w:rFonts w:ascii="Times New Roman;Times;serif" w:hAnsi="Times New Roman;Times;serif"/>
          <w:b/>
          <w:i w:val="false"/>
          <w:caps w:val="false"/>
          <w:smallCaps w:val="false"/>
          <w:color w:val="000000"/>
          <w:spacing w:val="6"/>
          <w:sz w:val="28"/>
        </w:rPr>
        <w:t xml:space="preserve"> </w:t>
      </w:r>
    </w:p>
    <w:p>
      <w:pPr>
        <w:pStyle w:val="TextBody"/>
        <w:bidi w:val="0"/>
        <w:spacing w:before="383"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80" w:before="29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PROSPECTUS SUPPLEMENT</w:t>
      </w:r>
      <w:r>
        <w:rPr>
          <w:rFonts w:ascii="Times New Roman;Times;serif" w:hAnsi="Times New Roman;Times;serif"/>
          <w:b/>
          <w:i w:val="false"/>
          <w:caps w:val="false"/>
          <w:smallCaps w:val="false"/>
          <w:color w:val="000000"/>
          <w:spacing w:val="5"/>
          <w:sz w:val="24"/>
        </w:rPr>
        <w:t xml:space="preserve"> </w:t>
      </w:r>
    </w:p>
    <w:p>
      <w:pPr>
        <w:pStyle w:val="TextBody"/>
        <w:bidi w:val="0"/>
        <w:spacing w:before="277"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504" w:after="283"/>
        <w:jc w:val="center"/>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Joint Book-Running Managers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390" w:before="358"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 xml:space="preserve">Mizuho </w:t>
      </w:r>
      <w:r>
        <w:rPr>
          <w:rFonts w:ascii="Times New Roman;Times;serif" w:hAnsi="Times New Roman;Times;serif"/>
          <w:b/>
          <w:i w:val="false"/>
          <w:caps w:val="false"/>
          <w:smallCaps w:val="false"/>
          <w:color w:val="000000"/>
          <w:sz w:val="36"/>
        </w:rPr>
        <w:br/>
      </w:r>
      <w:r>
        <w:rPr>
          <w:rFonts w:ascii="Times New Roman;Times;serif" w:hAnsi="Times New Roman;Times;serif"/>
          <w:b/>
          <w:i w:val="false"/>
          <w:caps w:val="false"/>
          <w:smallCaps w:val="false"/>
          <w:color w:val="000000"/>
          <w:spacing w:val="-7"/>
          <w:sz w:val="36"/>
        </w:rPr>
        <w:t xml:space="preserve">PNC Capital Markets LLC </w:t>
      </w:r>
      <w:r>
        <w:rPr>
          <w:rFonts w:ascii="Times New Roman;Times;serif" w:hAnsi="Times New Roman;Times;serif"/>
          <w:b/>
          <w:i w:val="false"/>
          <w:caps w:val="false"/>
          <w:smallCaps w:val="false"/>
          <w:color w:val="000000"/>
          <w:sz w:val="36"/>
        </w:rPr>
        <w:br/>
      </w:r>
      <w:r>
        <w:rPr>
          <w:rFonts w:ascii="Times New Roman;Times;serif" w:hAnsi="Times New Roman;Times;serif"/>
          <w:b/>
          <w:i w:val="false"/>
          <w:caps w:val="false"/>
          <w:smallCaps w:val="false"/>
          <w:color w:val="000000"/>
          <w:spacing w:val="-7"/>
          <w:sz w:val="36"/>
        </w:rPr>
        <w:t xml:space="preserve">Scotiabank </w:t>
      </w:r>
      <w:r>
        <w:rPr>
          <w:rFonts w:ascii="Times New Roman;Times;serif" w:hAnsi="Times New Roman;Times;serif"/>
          <w:b/>
          <w:i w:val="false"/>
          <w:caps w:val="false"/>
          <w:smallCaps w:val="false"/>
          <w:color w:val="000000"/>
          <w:sz w:val="36"/>
        </w:rPr>
        <w:br/>
      </w:r>
      <w:r>
        <w:rPr>
          <w:rFonts w:ascii="Times New Roman;Times;serif" w:hAnsi="Times New Roman;Times;serif"/>
          <w:b/>
          <w:i w:val="false"/>
          <w:caps w:val="false"/>
          <w:smallCaps w:val="false"/>
          <w:color w:val="000000"/>
          <w:spacing w:val="-7"/>
          <w:sz w:val="36"/>
        </w:rPr>
        <w:t xml:space="preserve">TD Securities </w:t>
      </w:r>
      <w:r>
        <w:rPr>
          <w:rFonts w:ascii="Times New Roman;Times;serif" w:hAnsi="Times New Roman;Times;serif"/>
          <w:b/>
          <w:i w:val="false"/>
          <w:caps w:val="false"/>
          <w:smallCaps w:val="false"/>
          <w:color w:val="000000"/>
          <w:sz w:val="36"/>
        </w:rPr>
        <w:br/>
      </w:r>
      <w:r>
        <w:rPr>
          <w:rFonts w:ascii="Times New Roman;Times;serif" w:hAnsi="Times New Roman;Times;serif"/>
          <w:b/>
          <w:i w:val="false"/>
          <w:caps w:val="false"/>
          <w:smallCaps w:val="false"/>
          <w:color w:val="000000"/>
          <w:spacing w:val="-7"/>
          <w:sz w:val="36"/>
        </w:rPr>
        <w:t xml:space="preserve">US Bancorp </w:t>
      </w:r>
      <w:r>
        <w:rPr>
          <w:rFonts w:ascii="Times New Roman;Times;serif" w:hAnsi="Times New Roman;Times;serif"/>
          <w:b/>
          <w:i w:val="false"/>
          <w:caps w:val="false"/>
          <w:smallCaps w:val="false"/>
          <w:color w:val="000000"/>
          <w:sz w:val="36"/>
        </w:rPr>
        <w:br/>
      </w:r>
      <w:r>
        <w:rPr>
          <w:rFonts w:ascii="Times New Roman;Times;serif" w:hAnsi="Times New Roman;Times;serif"/>
          <w:b/>
          <w:i w:val="false"/>
          <w:caps w:val="false"/>
          <w:smallCaps w:val="false"/>
          <w:color w:val="000000"/>
          <w:spacing w:val="-7"/>
          <w:sz w:val="36"/>
        </w:rPr>
        <w:t xml:space="preserve">BMO Capital Markets </w:t>
      </w:r>
      <w:r>
        <w:rPr>
          <w:rFonts w:ascii="Times New Roman;Times;serif" w:hAnsi="Times New Roman;Times;serif"/>
          <w:b/>
          <w:i w:val="false"/>
          <w:caps w:val="false"/>
          <w:smallCaps w:val="false"/>
          <w:color w:val="000000"/>
          <w:sz w:val="36"/>
        </w:rPr>
        <w:br/>
      </w:r>
      <w:r>
        <w:rPr>
          <w:rFonts w:ascii="Times New Roman;Times;serif" w:hAnsi="Times New Roman;Times;serif"/>
          <w:b/>
          <w:i w:val="false"/>
          <w:caps w:val="false"/>
          <w:smallCaps w:val="false"/>
          <w:color w:val="000000"/>
          <w:spacing w:val="-7"/>
          <w:sz w:val="36"/>
        </w:rPr>
        <w:t xml:space="preserve">BNP PARIBAS </w:t>
      </w:r>
      <w:r>
        <w:rPr>
          <w:rFonts w:ascii="Times New Roman;Times;serif" w:hAnsi="Times New Roman;Times;serif"/>
          <w:b/>
          <w:i w:val="false"/>
          <w:caps w:val="false"/>
          <w:smallCaps w:val="false"/>
          <w:color w:val="000000"/>
          <w:sz w:val="36"/>
        </w:rPr>
        <w:br/>
      </w:r>
      <w:r>
        <w:rPr>
          <w:rFonts w:ascii="Times New Roman;Times;serif" w:hAnsi="Times New Roman;Times;serif"/>
          <w:b/>
          <w:i w:val="false"/>
          <w:caps w:val="false"/>
          <w:smallCaps w:val="false"/>
          <w:color w:val="000000"/>
          <w:spacing w:val="-7"/>
          <w:sz w:val="36"/>
        </w:rPr>
        <w:t>Wells Fargo Securities</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240" w:before="720" w:after="283"/>
        <w:jc w:val="center"/>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Co-Managers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350" w:before="24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 xml:space="preserve">Academy Securities </w:t>
      </w:r>
      <w:r>
        <w:rPr>
          <w:rFonts w:ascii="Times New Roman;Times;serif" w:hAnsi="Times New Roman;Times;serif"/>
          <w:b/>
          <w:i w:val="false"/>
          <w:caps w:val="false"/>
          <w:smallCaps w:val="false"/>
          <w:color w:val="000000"/>
          <w:sz w:val="32"/>
        </w:rPr>
        <w:br/>
      </w:r>
      <w:r>
        <w:rPr>
          <w:rFonts w:ascii="Times New Roman;Times;serif" w:hAnsi="Times New Roman;Times;serif"/>
          <w:b/>
          <w:i w:val="false"/>
          <w:caps w:val="false"/>
          <w:smallCaps w:val="false"/>
          <w:color w:val="000000"/>
          <w:spacing w:val="-6"/>
          <w:sz w:val="32"/>
        </w:rPr>
        <w:t>Fifth Third Securities</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240" w:before="120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July           , 2026</w:t>
      </w:r>
      <w:r>
        <w:rPr>
          <w:rFonts w:ascii="Times New Roman;Times;serif" w:hAnsi="Times New Roman;Times;serif"/>
          <w:b/>
          <w:i w:val="false"/>
          <w:caps w:val="false"/>
          <w:smallCaps w:val="false"/>
          <w:color w:val="000000"/>
          <w:sz w:val="20"/>
        </w:rPr>
        <w:t xml:space="preserve"> </w:t>
      </w:r>
    </w:p>
    <w:p>
      <w:pPr>
        <w:pStyle w:val="TextBody"/>
        <w:bidi w:val="0"/>
        <w:spacing w:before="125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56"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Helvetica">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ix?doc=/Archives/edgar/data/48732/000113031026000008/cnp-20251231.htm" TargetMode="External"/><Relationship Id="rId4" Type="http://schemas.openxmlformats.org/officeDocument/2006/relationships/hyperlink" Target="http://www.sec.gov/ix?doc=/Archives/edgar/data/48732/000113031026000028/cnp-20260331.htm" TargetMode="External"/><Relationship Id="rId5" Type="http://schemas.openxmlformats.org/officeDocument/2006/relationships/hyperlink" Target="http://www.sec.gov/ix?doc=/Archives/edgar/data/48732/000113031026000041/cnp-20260630.htm" TargetMode="External"/><Relationship Id="rId6" Type="http://schemas.openxmlformats.org/officeDocument/2006/relationships/hyperlink" Target="http://www.sec.gov/ix?doc=/Archives/edgar/data/48732/000113031026000008/cnp-20251231.htm" TargetMode="External"/><Relationship Id="rId7" Type="http://schemas.openxmlformats.org/officeDocument/2006/relationships/hyperlink" Target="https://www.sec.gov/ix?doc=/Archives/edgar/data/48732/000113031026000008/cnp-20251231.htm" TargetMode="External"/><Relationship Id="rId8" Type="http://schemas.openxmlformats.org/officeDocument/2006/relationships/hyperlink" Target="https://www.sec.gov/ix?doc=/Archives/edgar/data/1130310/000110465926023457/tm261341-3_def14a.htm" TargetMode="External"/><Relationship Id="rId9" Type="http://schemas.openxmlformats.org/officeDocument/2006/relationships/hyperlink" Target="https://www.sec.gov/ix?doc=/Archives/edgar/data/48732/000113031026000028/cnp-20260331.htm" TargetMode="External"/><Relationship Id="rId10" Type="http://schemas.openxmlformats.org/officeDocument/2006/relationships/hyperlink" Target="https://www.sec.gov/ix?doc=/Archives/edgar/data/48732/000113031026000041/cnp-20260630.htm" TargetMode="External"/><Relationship Id="rId11" Type="http://schemas.openxmlformats.org/officeDocument/2006/relationships/hyperlink" Target="https://www.sec.gov/ix?doc=/Archives/edgar/data/1042773/000110465926014406/tm265560d1_8k.htm" TargetMode="External"/><Relationship Id="rId12" Type="http://schemas.openxmlformats.org/officeDocument/2006/relationships/hyperlink" Target="https://www.sec.gov/ix?doc=/Archives/edgar/data/48732/000113031026000013/cnp-20260218.htm" TargetMode="External"/><Relationship Id="rId13" Type="http://schemas.openxmlformats.org/officeDocument/2006/relationships/hyperlink" Target="https://www.sec.gov/ix?doc=/Archives/edgar/data/1130310/000110465926020626/tm267410d1_8k.htm" TargetMode="External"/><Relationship Id="rId14" Type="http://schemas.openxmlformats.org/officeDocument/2006/relationships/hyperlink" Target="https://www.sec.gov/ix?doc=/Archives/edgar/data/1130310/000110465926044889/tm2612010d1_8k.htm" TargetMode="External"/><Relationship Id="rId15" Type="http://schemas.openxmlformats.org/officeDocument/2006/relationships/hyperlink" Target="https://www.sec.gov/ix?doc=/Archives/edgar/data/1130310/000110465926062779/tm2614151d3_8k.htm" TargetMode="External"/><Relationship Id="rId16" Type="http://schemas.openxmlformats.org/officeDocument/2006/relationships/hyperlink" Target="https://www.sec.gov/ix?doc=/Archives/edgar/data/48732/000113031026000008/cnp-20251231.htm" TargetMode="External"/><Relationship Id="rId17" Type="http://schemas.openxmlformats.org/officeDocument/2006/relationships/hyperlink" Target="https://www.sec.gov/ix?doc=/Archives/edgar/data/1130310/000110465926023457/tm261341-3_def14a.htm" TargetMode="External"/><Relationship Id="rId18" Type="http://schemas.openxmlformats.org/officeDocument/2006/relationships/hyperlink" Target="https://www.sec.gov/ix?doc=/Archives/edgar/data/1130310/000113031026000028/cnp-20260331.htm" TargetMode="External"/><Relationship Id="rId19" Type="http://schemas.openxmlformats.org/officeDocument/2006/relationships/hyperlink" Target="https://www.sec.gov/ix?doc=/Archives/edgar/data/1042773/000110465926014406/tm265560d1_8k.htm" TargetMode="External"/><Relationship Id="rId20" Type="http://schemas.openxmlformats.org/officeDocument/2006/relationships/hyperlink" Target="https://www.sec.gov/ix?doc=/Archives/edgar/data/48732/000113031026000013/cnp-20260218.htm" TargetMode="External"/><Relationship Id="rId21" Type="http://schemas.openxmlformats.org/officeDocument/2006/relationships/hyperlink" Target="https://www.sec.gov/ix?doc=/Archives/edgar/data/1130310/000110465926020626/tm267410d1_8k.htm" TargetMode="External"/><Relationship Id="rId22" Type="http://schemas.openxmlformats.org/officeDocument/2006/relationships/hyperlink" Target="https://www.sec.gov/ix?doc=/Archives/edgar/data/1130310/000110465926044889/tm2612010d1_8k.htm" TargetMode="External"/><Relationship Id="rId23" Type="http://schemas.openxmlformats.org/officeDocument/2006/relationships/hyperlink" Target="https://www.sec.gov/Archives/edgar/data/48732/000113031026000008/cnp_exhibit4tx12312025.htm" TargetMode="External"/><Relationship Id="rId24" Type="http://schemas.openxmlformats.org/officeDocument/2006/relationships/hyperlink" Target="https://www.sec.gov/ix?doc=/Archives/edgar/data/0000048732/000113031026000008/cnp-20251231.htm" TargetMode="External"/><Relationship Id="rId25" Type="http://schemas.openxmlformats.org/officeDocument/2006/relationships/hyperlink" Target="https://www.sec.gov/ix?doc=/Archives/edgar/data/0000048732/000113031026000008/cnp-20251231.htm"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45916</Words>
  <Characters>241514</Characters>
  <CharactersWithSpaces>289441</CharactersWithSpaces>
  <Paragraphs>2688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