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9064" w:type="dxa"/>
        <w:jc w:val="left"/>
        <w:tblInd w:w="0" w:type="dxa"/>
        <w:tblLayout w:type="fixed"/>
        <w:tblCellMar>
          <w:top w:w="28" w:type="dxa"/>
          <w:left w:w="28" w:type="dxa"/>
          <w:bottom w:w="28" w:type="dxa"/>
          <w:right w:w="28" w:type="dxa"/>
        </w:tblCellMar>
      </w:tblPr>
      <w:tblGrid>
        <w:gridCol w:w="138"/>
        <w:gridCol w:w="121"/>
        <w:gridCol w:w="121"/>
        <w:gridCol w:w="2538"/>
        <w:gridCol w:w="2538"/>
        <w:gridCol w:w="3608"/>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0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2"/>
              </w:rPr>
            </w:pPr>
            <w:r>
              <w:rPr>
                <w:rFonts w:ascii="Times New Roman;sans-serif" w:hAnsi="Times New Roman;sans-serif"/>
                <w:b/>
                <w:color w:val="000000"/>
                <w:sz w:val="12"/>
              </w:rPr>
              <w:t>(Mark One)</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TRANSITION PERIOD FROM __________________ TO __________________</w:t>
            </w:r>
          </w:p>
        </w:tc>
      </w:tr>
    </w:tbl>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1-31447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CenterPoint Energy, Inc. </w:t>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74-0694415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bidi w:val="0"/>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1-3187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CenterPoint Energy Houston Electric, LLC </w:t>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22-3865106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bidi w:val="0"/>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1-13265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CenterPoint Energy Resources Corp.</w:t>
      </w:r>
    </w:p>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Layout w:type="fixed"/>
        <w:tblCellMar>
          <w:top w:w="28" w:type="dxa"/>
          <w:left w:w="28" w:type="dxa"/>
          <w:bottom w:w="28" w:type="dxa"/>
          <w:right w:w="28" w:type="dxa"/>
        </w:tblCellMar>
      </w:tblPr>
      <w:tblGrid>
        <w:gridCol w:w="1549"/>
        <w:gridCol w:w="1364"/>
        <w:gridCol w:w="1376"/>
        <w:gridCol w:w="255"/>
        <w:gridCol w:w="255"/>
        <w:gridCol w:w="256"/>
        <w:gridCol w:w="185"/>
        <w:gridCol w:w="185"/>
        <w:gridCol w:w="186"/>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76-0511406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bidi w:val="0"/>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tbl>
      <w:tblPr>
        <w:tblW w:w="9654" w:type="dxa"/>
        <w:jc w:val="left"/>
        <w:tblInd w:w="0" w:type="dxa"/>
        <w:tblLayout w:type="fixed"/>
        <w:tblCellMar>
          <w:top w:w="28" w:type="dxa"/>
          <w:left w:w="28" w:type="dxa"/>
          <w:bottom w:w="28" w:type="dxa"/>
          <w:right w:w="28" w:type="dxa"/>
        </w:tblCellMar>
      </w:tblPr>
      <w:tblGrid>
        <w:gridCol w:w="1120"/>
        <w:gridCol w:w="985"/>
        <w:gridCol w:w="985"/>
        <w:gridCol w:w="1015"/>
        <w:gridCol w:w="1015"/>
        <w:gridCol w:w="1015"/>
        <w:gridCol w:w="363"/>
        <w:gridCol w:w="363"/>
        <w:gridCol w:w="363"/>
        <w:gridCol w:w="712"/>
        <w:gridCol w:w="712"/>
        <w:gridCol w:w="1006"/>
      </w:tblGrid>
      <w:tr>
        <w:trPr/>
        <w:tc>
          <w:tcPr>
            <w:tcW w:w="112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96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Registrant</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Title of each class</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Trading Symbol(s)</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Name of each exchange on which registered</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CenterPoint Energy, Inc.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CNP</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NYSE Chicago</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6.95% General Mortgage Bonds due 2033</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6.625% Senior Notes due 2037</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803" w:type="dxa"/>
        <w:jc w:val="center"/>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4803" w:type="dxa"/>
        <w:jc w:val="left"/>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92"/>
        <w:gridCol w:w="783"/>
        <w:gridCol w:w="788"/>
        <w:gridCol w:w="504"/>
        <w:gridCol w:w="504"/>
        <w:gridCol w:w="506"/>
        <w:gridCol w:w="401"/>
        <w:gridCol w:w="401"/>
        <w:gridCol w:w="402"/>
        <w:gridCol w:w="511"/>
        <w:gridCol w:w="511"/>
        <w:gridCol w:w="512"/>
        <w:gridCol w:w="573"/>
        <w:gridCol w:w="573"/>
        <w:gridCol w:w="575"/>
        <w:gridCol w:w="514"/>
        <w:gridCol w:w="514"/>
        <w:gridCol w:w="741"/>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Large accelerated filer</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Accelerated filer</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Non-accelerated filer</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Smaller reporting company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growth company</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151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shell company (as defined in Rule 12b-2 of the Exchange Act). </w:t>
      </w:r>
    </w:p>
    <w:tbl>
      <w:tblPr>
        <w:tblW w:w="4803" w:type="dxa"/>
        <w:jc w:val="left"/>
        <w:tblInd w:w="0" w:type="dxa"/>
        <w:tblLayout w:type="fixed"/>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April 22, 2024:</w:t>
      </w:r>
    </w:p>
    <w:tbl>
      <w:tblPr>
        <w:tblW w:w="10205" w:type="dxa"/>
        <w:jc w:val="left"/>
        <w:tblInd w:w="0" w:type="dxa"/>
        <w:tblLayout w:type="fixed"/>
        <w:tblCellMar>
          <w:top w:w="28" w:type="dxa"/>
          <w:left w:w="28" w:type="dxa"/>
          <w:bottom w:w="28" w:type="dxa"/>
          <w:right w:w="28" w:type="dxa"/>
        </w:tblCellMar>
      </w:tblPr>
      <w:tblGrid>
        <w:gridCol w:w="1011"/>
        <w:gridCol w:w="704"/>
        <w:gridCol w:w="704"/>
        <w:gridCol w:w="109"/>
        <w:gridCol w:w="109"/>
        <w:gridCol w:w="109"/>
        <w:gridCol w:w="335"/>
        <w:gridCol w:w="335"/>
        <w:gridCol w:w="336"/>
        <w:gridCol w:w="1928"/>
        <w:gridCol w:w="1873"/>
        <w:gridCol w:w="2652"/>
      </w:tblGrid>
      <w:tr>
        <w:trPr/>
        <w:tc>
          <w:tcPr>
            <w:tcW w:w="10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639,724,143</w:t>
            </w:r>
          </w:p>
        </w:tc>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outstanding, excluding 166 shares held as treasury stock</w:t>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outstanding, all held by Utility Holding, LLC, a wholly-owned subsidiary of CenterPoint Energy, Inc.</w:t>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CenterPoint Energy Resources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outstanding, all held by Utility Holding, LLC, a wholly-owned subsidiary of CenterPoint Energy, Inc.</w:t>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948" w:type="dxa"/>
        <w:jc w:val="left"/>
        <w:tblInd w:w="0" w:type="dxa"/>
        <w:tblLayout w:type="fixed"/>
        <w:tblCellMar>
          <w:top w:w="28" w:type="dxa"/>
          <w:left w:w="28" w:type="dxa"/>
          <w:bottom w:w="28" w:type="dxa"/>
          <w:right w:w="28" w:type="dxa"/>
        </w:tblCellMar>
      </w:tblPr>
      <w:tblGrid>
        <w:gridCol w:w="320"/>
        <w:gridCol w:w="281"/>
        <w:gridCol w:w="283"/>
        <w:gridCol w:w="109"/>
        <w:gridCol w:w="109"/>
        <w:gridCol w:w="109"/>
        <w:gridCol w:w="2454"/>
        <w:gridCol w:w="2454"/>
        <w:gridCol w:w="2457"/>
        <w:gridCol w:w="109"/>
        <w:gridCol w:w="109"/>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9">
              <w:r>
                <w:rPr>
                  <w:rStyle w:val="InternetLink"/>
                  <w:rFonts w:ascii="Times New Roman;sans-serif" w:hAnsi="Times New Roman;sans-serif"/>
                  <w:b w:val="false"/>
                  <w:color w:val="0000FF"/>
                  <w:sz w:val="20"/>
                  <w:u w:val="single"/>
                </w:rPr>
                <w:t>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9">
              <w:r>
                <w:rPr>
                  <w:rStyle w:val="InternetLink"/>
                  <w:rFonts w:ascii="Times New Roman;sans-serif" w:hAnsi="Times New Roman;sans-serif"/>
                  <w:b w:val="false"/>
                  <w:color w:val="0000FF"/>
                  <w:sz w:val="20"/>
                  <w:u w:val="singl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22">
              <w:r>
                <w:rPr>
                  <w:rStyle w:val="InternetLink"/>
                  <w:rFonts w:ascii="Times New Roman;sans-serif" w:hAnsi="Times New Roman;sans-serif"/>
                  <w:b w:val="false"/>
                  <w:color w:val="0000FF"/>
                  <w:sz w:val="20"/>
                  <w:u w:val="single"/>
                </w:rPr>
                <w:t>CenterPoint Energy, Inc.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22">
              <w:r>
                <w:rPr>
                  <w:rStyle w:val="InternetLink"/>
                  <w:rFonts w:ascii="Times New Roman;sans-serif" w:hAnsi="Times New Roman;sans-serif"/>
                  <w:b w:val="false"/>
                  <w:color w:val="0000FF"/>
                  <w:sz w:val="20"/>
                  <w:u w:val="single"/>
                </w:rPr>
                <w:t>1</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43">
              <w:r>
                <w:rPr>
                  <w:rStyle w:val="InternetLink"/>
                  <w:rFonts w:ascii="Times New Roman;sans-serif" w:hAnsi="Times New Roman;sans-serif"/>
                  <w:b w:val="false"/>
                  <w:color w:val="0000FF"/>
                  <w:sz w:val="20"/>
                  <w:u w:val="single"/>
                </w:rPr>
                <w:t>CenterPoint Energy Houston Electric, LLC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43">
              <w:r>
                <w:rPr>
                  <w:rStyle w:val="InternetLink"/>
                  <w:rFonts w:ascii="Times New Roman;sans-serif" w:hAnsi="Times New Roman;sans-serif"/>
                  <w:b w:val="false"/>
                  <w:color w:val="0000FF"/>
                  <w:sz w:val="20"/>
                  <w:u w:val="single"/>
                </w:rPr>
                <w:t>7</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58">
              <w:r>
                <w:rPr>
                  <w:rStyle w:val="InternetLink"/>
                  <w:rFonts w:ascii="Times New Roman;sans-serif" w:hAnsi="Times New Roman;sans-serif"/>
                  <w:b w:val="false"/>
                  <w:color w:val="0000FF"/>
                  <w:sz w:val="20"/>
                  <w:u w:val="single"/>
                </w:rPr>
                <w:t>CenterPoint Energy Resources Corp.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58">
              <w:r>
                <w:rPr>
                  <w:rStyle w:val="InternetLink"/>
                  <w:rFonts w:ascii="Times New Roman;sans-serif" w:hAnsi="Times New Roman;sans-serif"/>
                  <w:b w:val="false"/>
                  <w:color w:val="0000FF"/>
                  <w:sz w:val="20"/>
                  <w:u w:val="single"/>
                </w:rPr>
                <w:t>12</w:t>
              </w:r>
            </w:hyperlink>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76">
              <w:r>
                <w:rPr>
                  <w:rStyle w:val="InternetLink"/>
                  <w:rFonts w:ascii="Times New Roman;sans-serif" w:hAnsi="Times New Roman;sans-serif"/>
                  <w:b w:val="false"/>
                  <w:color w:val="0000FF"/>
                  <w:sz w:val="20"/>
                  <w:u w:val="single"/>
                </w:rPr>
                <w:t>Combined Notes to Interim Condensed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76">
              <w:r>
                <w:rPr>
                  <w:rStyle w:val="InternetLink"/>
                  <w:rFonts w:ascii="Times New Roman;sans-serif" w:hAnsi="Times New Roman;sans-serif"/>
                  <w:b w:val="false"/>
                  <w:color w:val="0000FF"/>
                  <w:sz w:val="20"/>
                  <w:u w:val="single"/>
                </w:rPr>
                <w:t>18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79">
              <w:r>
                <w:rPr>
                  <w:rStyle w:val="InternetLink"/>
                  <w:rFonts w:ascii="Times New Roman;sans-serif" w:hAnsi="Times New Roman;sans-serif"/>
                  <w:b w:val="false"/>
                  <w:color w:val="0000FF"/>
                  <w:sz w:val="20"/>
                  <w:u w:val="single"/>
                </w:rPr>
                <w:t xml:space="preserve">(1) Background and Basis of Presentation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79">
              <w:r>
                <w:rPr>
                  <w:rStyle w:val="InternetLink"/>
                  <w:rFonts w:ascii="Times New Roman;sans-serif" w:hAnsi="Times New Roman;sans-serif"/>
                  <w:b w:val="false"/>
                  <w:color w:val="0000FF"/>
                  <w:sz w:val="20"/>
                  <w:u w:val="single"/>
                </w:rPr>
                <w:t>18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82">
              <w:r>
                <w:rPr>
                  <w:rStyle w:val="InternetLink"/>
                  <w:rFonts w:ascii="Times New Roman;sans-serif" w:hAnsi="Times New Roman;sans-serif"/>
                  <w:b w:val="false"/>
                  <w:color w:val="0000FF"/>
                  <w:sz w:val="20"/>
                  <w:u w:val="single"/>
                </w:rPr>
                <w:t>(2) New Accounting Pronouncements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82">
              <w:r>
                <w:rPr>
                  <w:rStyle w:val="InternetLink"/>
                  <w:rFonts w:ascii="Times New Roman;sans-serif" w:hAnsi="Times New Roman;sans-serif"/>
                  <w:b w:val="false"/>
                  <w:color w:val="0000FF"/>
                  <w:sz w:val="20"/>
                  <w:u w:val="single"/>
                </w:rPr>
                <w:t>19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85">
              <w:r>
                <w:rPr>
                  <w:rStyle w:val="InternetLink"/>
                  <w:rFonts w:ascii="Times New Roman;sans-serif" w:hAnsi="Times New Roman;sans-serif"/>
                  <w:b w:val="false"/>
                  <w:color w:val="0000FF"/>
                  <w:sz w:val="20"/>
                  <w:u w:val="single"/>
                </w:rPr>
                <w:t>(3) Held for Sale and Divestitures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85">
              <w:r>
                <w:rPr>
                  <w:rStyle w:val="InternetLink"/>
                  <w:rFonts w:ascii="Times New Roman;sans-serif" w:hAnsi="Times New Roman;sans-serif"/>
                  <w:b w:val="false"/>
                  <w:color w:val="0000FF"/>
                  <w:sz w:val="20"/>
                  <w:u w:val="single"/>
                </w:rPr>
                <w:t>19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88">
              <w:r>
                <w:rPr>
                  <w:rStyle w:val="InternetLink"/>
                  <w:rFonts w:ascii="Times New Roman;sans-serif" w:hAnsi="Times New Roman;sans-serif"/>
                  <w:b w:val="false"/>
                  <w:color w:val="0000FF"/>
                  <w:sz w:val="20"/>
                  <w:u w:val="single"/>
                </w:rPr>
                <w:t>(4) Revenue Recognition and Allowance for Credit Losses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88">
              <w:r>
                <w:rPr>
                  <w:rStyle w:val="InternetLink"/>
                  <w:rFonts w:ascii="Times New Roman;sans-serif" w:hAnsi="Times New Roman;sans-serif"/>
                  <w:b w:val="false"/>
                  <w:color w:val="0000FF"/>
                  <w:sz w:val="20"/>
                  <w:u w:val="single"/>
                </w:rPr>
                <w:t>21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91">
              <w:r>
                <w:rPr>
                  <w:rStyle w:val="InternetLink"/>
                  <w:rFonts w:ascii="Times New Roman;sans-serif" w:hAnsi="Times New Roman;sans-serif"/>
                  <w:b w:val="false"/>
                  <w:color w:val="0000FF"/>
                  <w:sz w:val="20"/>
                  <w:u w:val="single"/>
                </w:rPr>
                <w:t xml:space="preserve">(5) Employee Benefit Plans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91">
              <w:r>
                <w:rPr>
                  <w:rStyle w:val="InternetLink"/>
                  <w:rFonts w:ascii="Times New Roman;sans-serif" w:hAnsi="Times New Roman;sans-serif"/>
                  <w:b w:val="false"/>
                  <w:color w:val="0000FF"/>
                  <w:sz w:val="20"/>
                  <w:u w:val="single"/>
                </w:rPr>
                <w:t>24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94">
              <w:r>
                <w:rPr>
                  <w:rStyle w:val="InternetLink"/>
                  <w:rFonts w:ascii="Times New Roman;sans-serif" w:hAnsi="Times New Roman;sans-serif"/>
                  <w:b w:val="false"/>
                  <w:color w:val="0000FF"/>
                  <w:sz w:val="20"/>
                  <w:u w:val="single"/>
                </w:rPr>
                <w:t>(6) Regulatory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94">
              <w:r>
                <w:rPr>
                  <w:rStyle w:val="InternetLink"/>
                  <w:rFonts w:ascii="Times New Roman;sans-serif" w:hAnsi="Times New Roman;sans-serif"/>
                  <w:b w:val="false"/>
                  <w:color w:val="0000FF"/>
                  <w:sz w:val="20"/>
                  <w:u w:val="single"/>
                </w:rPr>
                <w:t>25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00">
              <w:r>
                <w:rPr>
                  <w:rStyle w:val="InternetLink"/>
                  <w:rFonts w:ascii="Times New Roman;sans-serif" w:hAnsi="Times New Roman;sans-serif"/>
                  <w:b w:val="false"/>
                  <w:color w:val="0000FF"/>
                  <w:sz w:val="20"/>
                  <w:u w:val="single"/>
                </w:rPr>
                <w:t xml:space="preserve">(7) Derivative Instruments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00">
              <w:r>
                <w:rPr>
                  <w:rStyle w:val="InternetLink"/>
                  <w:rFonts w:ascii="Times New Roman;sans-serif" w:hAnsi="Times New Roman;sans-serif"/>
                  <w:b w:val="false"/>
                  <w:color w:val="0000FF"/>
                  <w:sz w:val="20"/>
                  <w:u w:val="single"/>
                </w:rPr>
                <w:t>27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03">
              <w:r>
                <w:rPr>
                  <w:rStyle w:val="InternetLink"/>
                  <w:rFonts w:ascii="Times New Roman;sans-serif" w:hAnsi="Times New Roman;sans-serif"/>
                  <w:b w:val="false"/>
                  <w:color w:val="0000FF"/>
                  <w:sz w:val="20"/>
                  <w:u w:val="single"/>
                </w:rPr>
                <w:t xml:space="preserve">(8) Fair Value Measurements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03">
              <w:r>
                <w:rPr>
                  <w:rStyle w:val="InternetLink"/>
                  <w:rFonts w:ascii="Times New Roman;sans-serif" w:hAnsi="Times New Roman;sans-serif"/>
                  <w:b w:val="false"/>
                  <w:color w:val="0000FF"/>
                  <w:sz w:val="20"/>
                  <w:u w:val="single"/>
                </w:rPr>
                <w:t>29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06">
              <w:r>
                <w:rPr>
                  <w:rStyle w:val="InternetLink"/>
                  <w:rFonts w:ascii="Times New Roman;sans-serif" w:hAnsi="Times New Roman;sans-serif"/>
                  <w:b w:val="false"/>
                  <w:color w:val="0000FF"/>
                  <w:sz w:val="20"/>
                  <w:u w:val="single"/>
                </w:rPr>
                <w:t>(9) Goodwill</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06">
              <w:r>
                <w:rPr>
                  <w:rStyle w:val="InternetLink"/>
                  <w:rFonts w:ascii="Times New Roman;sans-serif" w:hAnsi="Times New Roman;sans-serif"/>
                  <w:b w:val="false"/>
                  <w:color w:val="0000FF"/>
                  <w:sz w:val="20"/>
                  <w:u w:val="single"/>
                </w:rPr>
                <w:t>31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09">
              <w:r>
                <w:rPr>
                  <w:rStyle w:val="InternetLink"/>
                  <w:rFonts w:ascii="Times New Roman;sans-serif" w:hAnsi="Times New Roman;sans-serif"/>
                  <w:b w:val="false"/>
                  <w:color w:val="0000FF"/>
                  <w:sz w:val="20"/>
                  <w:u w:val="single"/>
                </w:rPr>
                <w:t>(10) Equity Securities and Indexed Debt Securities (ZENS)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09">
              <w:r>
                <w:rPr>
                  <w:rStyle w:val="InternetLink"/>
                  <w:rFonts w:ascii="Times New Roman;sans-serif" w:hAnsi="Times New Roman;sans-serif"/>
                  <w:b w:val="false"/>
                  <w:color w:val="0000FF"/>
                  <w:sz w:val="20"/>
                  <w:u w:val="singl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12">
              <w:r>
                <w:rPr>
                  <w:rStyle w:val="InternetLink"/>
                  <w:rFonts w:ascii="Times New Roman;sans-serif" w:hAnsi="Times New Roman;sans-serif"/>
                  <w:b w:val="false"/>
                  <w:color w:val="0000FF"/>
                  <w:sz w:val="20"/>
                  <w:u w:val="single"/>
                </w:rPr>
                <w:t>(11) Short-term Borrowings and Long-term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12">
              <w:r>
                <w:rPr>
                  <w:rStyle w:val="InternetLink"/>
                  <w:rFonts w:ascii="Times New Roman;sans-serif" w:hAnsi="Times New Roman;sans-serif"/>
                  <w:b w:val="false"/>
                  <w:color w:val="0000FF"/>
                  <w:sz w:val="20"/>
                  <w:u w:val="singl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18">
              <w:r>
                <w:rPr>
                  <w:rStyle w:val="InternetLink"/>
                  <w:rFonts w:ascii="Times New Roman;sans-serif" w:hAnsi="Times New Roman;sans-serif"/>
                  <w:b w:val="false"/>
                  <w:color w:val="0000FF"/>
                  <w:sz w:val="20"/>
                  <w:u w:val="single"/>
                </w:rPr>
                <w:t>(12) Income Taxes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18">
              <w:r>
                <w:rPr>
                  <w:rStyle w:val="InternetLink"/>
                  <w:rFonts w:ascii="Times New Roman;sans-serif" w:hAnsi="Times New Roman;sans-serif"/>
                  <w:b w:val="false"/>
                  <w:color w:val="0000FF"/>
                  <w:sz w:val="20"/>
                  <w:u w:val="single"/>
                </w:rPr>
                <w:t>35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21">
              <w:r>
                <w:rPr>
                  <w:rStyle w:val="InternetLink"/>
                  <w:rFonts w:ascii="Times New Roman;sans-serif" w:hAnsi="Times New Roman;sans-serif"/>
                  <w:b w:val="false"/>
                  <w:color w:val="0000FF"/>
                  <w:sz w:val="20"/>
                  <w:u w:val="single"/>
                </w:rPr>
                <w:t>(13) Commitments and Contingencies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21">
              <w:r>
                <w:rPr>
                  <w:rStyle w:val="InternetLink"/>
                  <w:rFonts w:ascii="Times New Roman;sans-serif" w:hAnsi="Times New Roman;sans-serif"/>
                  <w:b w:val="false"/>
                  <w:color w:val="0000FF"/>
                  <w:sz w:val="20"/>
                  <w:u w:val="single"/>
                </w:rPr>
                <w:t>35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24">
              <w:r>
                <w:rPr>
                  <w:rStyle w:val="InternetLink"/>
                  <w:rFonts w:ascii="Times New Roman;sans-serif" w:hAnsi="Times New Roman;sans-serif"/>
                  <w:b w:val="false"/>
                  <w:color w:val="0000FF"/>
                  <w:sz w:val="20"/>
                  <w:u w:val="single"/>
                </w:rPr>
                <w:t>(14) Earnings Per Share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24">
              <w:r>
                <w:rPr>
                  <w:rStyle w:val="InternetLink"/>
                  <w:rFonts w:ascii="Times New Roman;sans-serif" w:hAnsi="Times New Roman;sans-serif"/>
                  <w:b w:val="false"/>
                  <w:color w:val="0000FF"/>
                  <w:sz w:val="20"/>
                  <w:u w:val="single"/>
                </w:rPr>
                <w:t>41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27">
              <w:r>
                <w:rPr>
                  <w:rStyle w:val="InternetLink"/>
                  <w:rFonts w:ascii="Times New Roman;sans-serif" w:hAnsi="Times New Roman;sans-serif"/>
                  <w:b w:val="false"/>
                  <w:color w:val="0000FF"/>
                  <w:sz w:val="20"/>
                  <w:u w:val="single"/>
                </w:rPr>
                <w:t>(15) Reportable Segments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27">
              <w:r>
                <w:rPr>
                  <w:rStyle w:val="InternetLink"/>
                  <w:rFonts w:ascii="Times New Roman;sans-serif" w:hAnsi="Times New Roman;sans-serif"/>
                  <w:b w:val="false"/>
                  <w:color w:val="0000FF"/>
                  <w:sz w:val="20"/>
                  <w:u w:val="single"/>
                </w:rPr>
                <w:t>42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30">
              <w:r>
                <w:rPr>
                  <w:rStyle w:val="InternetLink"/>
                  <w:rFonts w:ascii="Times New Roman;sans-serif" w:hAnsi="Times New Roman;sans-serif"/>
                  <w:b w:val="false"/>
                  <w:color w:val="000080"/>
                  <w:sz w:val="20"/>
                  <w:u w:val="single"/>
                </w:rPr>
                <w:t>(16) Supplemental Disclosure of Cash Flow</w:t>
              </w:r>
            </w:hyperlink>
            <w:hyperlink w:anchor="ied809f3a65c1456cabe653223c905996_130">
              <w:r>
                <w:rPr>
                  <w:rStyle w:val="InternetLink"/>
                  <w:rFonts w:ascii="Times New Roman;sans-serif" w:hAnsi="Times New Roman;sans-serif"/>
                  <w:b w:val="false"/>
                  <w:color w:val="000080"/>
                  <w:sz w:val="20"/>
                  <w:u w:val="single"/>
                </w:rPr>
                <w:t xml:space="preserve"> and Balance Sheet</w:t>
              </w:r>
            </w:hyperlink>
            <w:hyperlink w:anchor="ied809f3a65c1456cabe653223c905996_130">
              <w:r>
                <w:rPr>
                  <w:rStyle w:val="InternetLink"/>
                  <w:rFonts w:ascii="Times New Roman;sans-serif" w:hAnsi="Times New Roman;sans-serif"/>
                  <w:b w:val="false"/>
                  <w:color w:val="000080"/>
                  <w:sz w:val="20"/>
                  <w:u w:val="single"/>
                </w:rPr>
                <w:t xml:space="preserve">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30">
              <w:r>
                <w:rPr>
                  <w:rStyle w:val="InternetLink"/>
                  <w:rFonts w:ascii="Times New Roman;sans-serif" w:hAnsi="Times New Roman;sans-serif"/>
                  <w:b w:val="false"/>
                  <w:color w:val="0000FF"/>
                  <w:sz w:val="20"/>
                  <w:u w:val="single"/>
                </w:rPr>
                <w:t>43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33">
              <w:r>
                <w:rPr>
                  <w:rStyle w:val="InternetLink"/>
                  <w:rFonts w:ascii="Times New Roman;sans-serif" w:hAnsi="Times New Roman;sans-serif"/>
                  <w:b w:val="false"/>
                  <w:color w:val="0000FF"/>
                  <w:sz w:val="20"/>
                  <w:u w:val="single"/>
                </w:rPr>
                <w:t>(17) Related Party Transactions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33">
              <w:r>
                <w:rPr>
                  <w:rStyle w:val="InternetLink"/>
                  <w:rFonts w:ascii="Times New Roman;sans-serif" w:hAnsi="Times New Roman;sans-serif"/>
                  <w:b w:val="false"/>
                  <w:color w:val="0000FF"/>
                  <w:sz w:val="20"/>
                  <w:u w:val="single"/>
                </w:rPr>
                <w:t>44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39">
              <w:r>
                <w:rPr>
                  <w:rStyle w:val="InternetLink"/>
                  <w:rFonts w:ascii="Times New Roman;sans-serif" w:hAnsi="Times New Roman;sans-serif"/>
                  <w:b w:val="false"/>
                  <w:color w:val="0000FF"/>
                  <w:sz w:val="20"/>
                  <w:u w:val="single"/>
                </w:rPr>
                <w:t>(18)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39">
              <w:r>
                <w:rPr>
                  <w:rStyle w:val="InternetLink"/>
                  <w:rFonts w:ascii="Times New Roman;sans-serif" w:hAnsi="Times New Roman;sans-serif"/>
                  <w:b w:val="false"/>
                  <w:color w:val="0000FF"/>
                  <w:sz w:val="20"/>
                  <w:u w:val="singl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45">
              <w:r>
                <w:rPr>
                  <w:rStyle w:val="InternetLink"/>
                  <w:rFonts w:ascii="Times New Roman;sans-serif" w:hAnsi="Times New Roman;sans-serif"/>
                  <w:b w:val="false"/>
                  <w:color w:val="0000FF"/>
                  <w:sz w:val="20"/>
                  <w:u w:val="single"/>
                </w:rPr>
                <w:t>(19) Leases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42">
              <w:r>
                <w:rPr>
                  <w:rStyle w:val="InternetLink"/>
                  <w:rFonts w:ascii="Times New Roman;sans-serif" w:hAnsi="Times New Roman;sans-serif"/>
                  <w:b w:val="false"/>
                  <w:color w:val="0000FF"/>
                  <w:sz w:val="20"/>
                  <w:u w:val="single"/>
                </w:rPr>
                <w:t>46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45">
              <w:r>
                <w:rPr>
                  <w:rStyle w:val="InternetLink"/>
                  <w:rFonts w:ascii="Times New Roman;sans-serif" w:hAnsi="Times New Roman;sans-serif"/>
                  <w:b w:val="false"/>
                  <w:color w:val="0000FF"/>
                  <w:sz w:val="20"/>
                  <w:u w:val="single"/>
                </w:rPr>
                <w:t>(20) Subsequent Events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45">
              <w:r>
                <w:rPr>
                  <w:rStyle w:val="InternetLink"/>
                  <w:rFonts w:ascii="Times New Roman;sans-serif" w:hAnsi="Times New Roman;sans-serif"/>
                  <w:b w:val="false"/>
                  <w:color w:val="0000FF"/>
                  <w:sz w:val="20"/>
                  <w:u w:val="single"/>
                </w:rPr>
                <w:t>49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4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48">
              <w:r>
                <w:rPr>
                  <w:rStyle w:val="InternetLink"/>
                  <w:rFonts w:ascii="Times New Roman;sans-serif" w:hAnsi="Times New Roman;sans-serif"/>
                  <w:b w:val="false"/>
                  <w:color w:val="0000FF"/>
                  <w:sz w:val="20"/>
                  <w:u w:val="single"/>
                </w:rPr>
                <w:t>50</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51">
              <w:r>
                <w:rPr>
                  <w:rStyle w:val="InternetLink"/>
                  <w:rFonts w:ascii="Times New Roman;sans-serif" w:hAnsi="Times New Roman;sans-serif"/>
                  <w:b w:val="false"/>
                  <w:color w:val="0000FF"/>
                  <w:sz w:val="20"/>
                  <w:u w:val="single"/>
                </w:rPr>
                <w:t>Recent Events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51">
              <w:r>
                <w:rPr>
                  <w:rStyle w:val="InternetLink"/>
                  <w:rFonts w:ascii="Times New Roman;sans-serif" w:hAnsi="Times New Roman;sans-serif"/>
                  <w:b w:val="false"/>
                  <w:color w:val="0000FF"/>
                  <w:sz w:val="20"/>
                  <w:u w:val="singl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Results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54">
              <w:r>
                <w:rPr>
                  <w:rStyle w:val="InternetLink"/>
                  <w:rFonts w:ascii="Times New Roman;sans-serif" w:hAnsi="Times New Roman;sans-serif"/>
                  <w:b w:val="false"/>
                  <w:color w:val="0000FF"/>
                  <w:sz w:val="20"/>
                  <w:u w:val="single"/>
                </w:rPr>
                <w:t>51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Results of Operations by Reportable Segment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57">
              <w:r>
                <w:rPr>
                  <w:rStyle w:val="InternetLink"/>
                  <w:rFonts w:ascii="Times New Roman;sans-serif" w:hAnsi="Times New Roman;sans-serif"/>
                  <w:b w:val="false"/>
                  <w:color w:val="0000FF"/>
                  <w:sz w:val="20"/>
                  <w:u w:val="single"/>
                </w:rPr>
                <w:t>52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66">
              <w:r>
                <w:rPr>
                  <w:rStyle w:val="InternetLink"/>
                  <w:rFonts w:ascii="Times New Roman;sans-serif" w:hAnsi="Times New Roman;sans-serif"/>
                  <w:b w:val="false"/>
                  <w:color w:val="0000FF"/>
                  <w:sz w:val="20"/>
                  <w:u w:val="single"/>
                </w:rPr>
                <w:t>Certain Factors Affecting Future Earnings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66">
              <w:r>
                <w:rPr>
                  <w:rStyle w:val="InternetLink"/>
                  <w:rFonts w:ascii="Times New Roman;sans-serif" w:hAnsi="Times New Roman;sans-serif"/>
                  <w:b w:val="false"/>
                  <w:color w:val="0000FF"/>
                  <w:sz w:val="20"/>
                  <w:u w:val="single"/>
                </w:rPr>
                <w:t>59</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69">
              <w:r>
                <w:rPr>
                  <w:rStyle w:val="InternetLink"/>
                  <w:rFonts w:ascii="Times New Roman;sans-serif" w:hAnsi="Times New Roman;sans-serif"/>
                  <w:b w:val="false"/>
                  <w:color w:val="0000FF"/>
                  <w:sz w:val="20"/>
                  <w:u w:val="single"/>
                </w:rPr>
                <w:t>Liquidity and Capital Resources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69">
              <w:r>
                <w:rPr>
                  <w:rStyle w:val="InternetLink"/>
                  <w:rFonts w:ascii="Times New Roman;sans-serif" w:hAnsi="Times New Roman;sans-serif"/>
                  <w:b w:val="false"/>
                  <w:color w:val="0000FF"/>
                  <w:sz w:val="20"/>
                  <w:u w:val="singl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81">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81">
              <w:r>
                <w:rPr>
                  <w:rStyle w:val="InternetLink"/>
                  <w:rFonts w:ascii="Times New Roman;sans-serif" w:hAnsi="Times New Roman;sans-serif"/>
                  <w:b w:val="false"/>
                  <w:color w:val="0000FF"/>
                  <w:sz w:val="20"/>
                  <w:u w:val="single"/>
                </w:rPr>
                <w:t>75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84">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84">
              <w:r>
                <w:rPr>
                  <w:rStyle w:val="InternetLink"/>
                  <w:rFonts w:ascii="Times New Roman;sans-serif" w:hAnsi="Times New Roman;sans-serif"/>
                  <w:b w:val="false"/>
                  <w:color w:val="0000FF"/>
                  <w:sz w:val="20"/>
                  <w:u w:val="single"/>
                </w:rPr>
                <w:t>76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90">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90">
              <w:r>
                <w:rPr>
                  <w:rStyle w:val="InternetLink"/>
                  <w:rFonts w:ascii="Times New Roman;sans-serif" w:hAnsi="Times New Roman;sans-serif"/>
                  <w:b w:val="false"/>
                  <w:color w:val="0000FF"/>
                  <w:sz w:val="20"/>
                  <w:u w:val="single"/>
                </w:rPr>
                <w:t>77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93">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93">
              <w:r>
                <w:rPr>
                  <w:rStyle w:val="InternetLink"/>
                  <w:rFonts w:ascii="Times New Roman;sans-serif" w:hAnsi="Times New Roman;sans-serif"/>
                  <w:b w:val="false"/>
                  <w:color w:val="0000FF"/>
                  <w:sz w:val="20"/>
                  <w:u w:val="singl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96">
              <w:r>
                <w:rPr>
                  <w:rStyle w:val="InternetLink"/>
                  <w:rFonts w:ascii="Times New Roman;sans-serif" w:hAnsi="Times New Roman;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96">
              <w:r>
                <w:rPr>
                  <w:rStyle w:val="InternetLink"/>
                  <w:rFonts w:ascii="Times New Roman;sans-serif" w:hAnsi="Times New Roman;sans-serif"/>
                  <w:b w:val="false"/>
                  <w:color w:val="0000FF"/>
                  <w:sz w:val="20"/>
                  <w:u w:val="single"/>
                </w:rPr>
                <w:t>77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199">
              <w:r>
                <w:rPr>
                  <w:rStyle w:val="InternetLink"/>
                  <w:rFonts w:ascii="Times New Roman;sans-serif" w:hAnsi="Times New Roman;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199">
              <w:r>
                <w:rPr>
                  <w:rStyle w:val="InternetLink"/>
                  <w:rFonts w:ascii="Times New Roman;sans-serif" w:hAnsi="Times New Roman;sans-serif"/>
                  <w:b w:val="false"/>
                  <w:color w:val="0000FF"/>
                  <w:sz w:val="20"/>
                  <w:u w:val="single"/>
                </w:rPr>
                <w:t>77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d809f3a65c1456cabe653223c905996_202">
              <w:r>
                <w:rPr>
                  <w:rStyle w:val="InternetLink"/>
                  <w:rFonts w:ascii="Times New Roman;sans-serif" w:hAnsi="Times New Roman;sans-serif"/>
                  <w:b w:val="false"/>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809f3a65c1456cabe653223c905996_202">
              <w:r>
                <w:rPr>
                  <w:rStyle w:val="InternetLink"/>
                  <w:rFonts w:ascii="Times New Roman;sans-serif" w:hAnsi="Times New Roman;sans-serif"/>
                  <w:b w:val="false"/>
                  <w:color w:val="0000FF"/>
                  <w:sz w:val="20"/>
                  <w:u w:val="single"/>
                </w:rPr>
                <w:t>81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28"/>
        <w:gridCol w:w="447"/>
        <w:gridCol w:w="455"/>
        <w:gridCol w:w="114"/>
        <w:gridCol w:w="114"/>
        <w:gridCol w:w="114"/>
        <w:gridCol w:w="2585"/>
        <w:gridCol w:w="2321"/>
        <w:gridCol w:w="3427"/>
      </w:tblGrid>
      <w:tr>
        <w:trPr/>
        <w:tc>
          <w:tcPr>
            <w:tcW w:w="62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ACE</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Affordable Clean Energy</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AFUDC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funds used during construction</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ALJ</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Administrative Law Judge</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AMA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Management Agreement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Arevon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Arevon Energy, Inc., which was formed through the combination of Capital Dynamics, Inc.’s U.S. Clean Energy Infrastructure business unit and Arevon Asset Management</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ARO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Alternative revenue program</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ASC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Codification</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ASU</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Update</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AT&amp;T Common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Inc. common stock</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ATM Forward Purchasers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Bank of America, N.A., Barclays Bank PLC, Citibank, N.A., Goldman Sachs &amp; Co. LLC, JPMorgan Chase Bank, National Association, Mizuho Markets Americas LLC, MUFG Securities EMEA plc and Royal Bank of Canada </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ATM Forward Sellers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BofA Securities, Inc. Barclays Capital Inc., Citigroup Global Markets Inc., Goldman Sachs &amp; Co. LLC, J.P. Morgan Securities LLC, Mizuho Securities USA LLC, MUFG Securities Americas Inc. and RBC Capital Markets, LLC</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ATM Managers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BofA Securities, Inc., Barclays Capital Inc., Citigroup Global Markets Inc., Goldman Sachs &amp; Co. LLC, J.P. Morgan Securities LLC, Mizuho Securities USA LLC, MUFG Securities Americas Inc. and RBC Capital Markets, LLC</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Bcf</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Billion cubic feet</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Bond Companies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Company IV and Restoration Bond Company, each a wholly-owned, bankruptcy remote entity formed solely for the purpose of purchasing and owning transition or system restoration property through the issuance of Securitization Bonds</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Bond Company IV</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Transition Bond Company IV, LLC, a wholly-owned subsidiary of Houston Electric</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BTA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 Transfer Agreement</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CAMT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Alternative Minimum Tax</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CCN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of Convenience and Necessity</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CCR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Coal Combustion Residuals</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CECA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Cost Adjustment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CEIP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Intrastate Pipelines, LLC, a wholly-owned subsidiary of CERC Corp.</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CenterPoint Energy</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Inc., and its subsidiaries</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CERC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 Corp., together with its subsidiaries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CERC Corp.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Resources Corp.</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Services, Inc. (now known as Symmetry Energy Solutions, LLC), previously a wholly-owned subsidiary of CERC Corp.</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Charter Common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Communications, Inc. common stock</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CIP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Conservation Improvement Program</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CODM</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Operating Decision Maker, who is each Registrant’s Chief Operating Executive</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Common Stock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Inc. common stock, par value $0.01 per share</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Convertible Notes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CenterPoint Energy’s 4.25% Convertible Senior Notes due 2026 </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Convertible Notes Indenture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Indenture dated as of August 4, 2023 by and between CenterPoint Energy and The Bank of New York Mellon Trust Company, National Association, as trustee</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COVID-19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Novel coronavirus disease 2019, and any mutations or variants thereof, and related global outbreak that was subsequently declared a pandemic by the World Health Organization</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CPCN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of Public Convenience and Necessity</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CPP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Power Plan</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CSIA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Compliance and System Improvement Adjustment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DCRF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Cost Recovery Factor</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Commerce</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DRR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Replacement Rider</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DSMA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Demand Side Management Adjustment</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3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ECA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Cost Adjustment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EDF Renewables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EDF Renewables Development, Inc.</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EDIT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deferred income taxes</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EECR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Cost Recovery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50"/>
        <w:gridCol w:w="479"/>
        <w:gridCol w:w="484"/>
        <w:gridCol w:w="114"/>
        <w:gridCol w:w="114"/>
        <w:gridCol w:w="114"/>
        <w:gridCol w:w="2525"/>
        <w:gridCol w:w="2263"/>
        <w:gridCol w:w="3362"/>
      </w:tblGrid>
      <w:tr>
        <w:trPr/>
        <w:tc>
          <w:tcPr>
            <w:tcW w:w="75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EECRF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Cost Recovery Factor</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EEFC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Funding Component</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EEFR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Funding Rider</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Energy Systems Group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Systems Group, LLC, previously a wholly-owned subsidiary of Vectren</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EPA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Protection Agency</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Equity Distribution Agreement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Distribution Agreement, dated as of January 10, 2024, by and between CenterPoint Energy, the ATM Managers, the ATM Forward Purchasers and the ATM Forward Sellers</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Equity Purchase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Purchase Agreement, dated as of May 21, 2023, by and between Vectren Energy Services and ESG Holdings Group</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ERCOT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 Reliability Council of Texas</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ESG Holdings Group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ESG Holdings Group, LLC, a Delaware limited liability company, and an affiliate of Oaktree Capital Management</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Exchange Act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Securities Exchange Act of 1934, as amended </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February 2021 Winter Storm Event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extreme and unprecedented winter weather event in February 2021 (Winter Storm Uri) that resulted in electricity generation supply shortages, including in Texas, and natural gas supply shortages and increased wholesale prices of natural gas in the United States, primarily due to prolonged freezing temperatures</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FASB</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Financial Accounting Standards Board</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FERC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Energy Regulatory Commission</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Fitch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Fitch Ratings, Inc.</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Form 10-Q</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GHG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Greenhouse gases</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GRIP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Reliability Infrastructure Program</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GWh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Gigawatt-hours</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Houston Electric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LLC and its subsidiaries</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IAS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Accounting Standards</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IDEM</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Department of Environmental Management</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Electric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of SIGECO’s electric transmission and distribution services, and includes its power generating and wholesale power operations</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Gas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Gas Company, Inc., formerly a wholly-owned subsidiary of Vectren, acquired by CERC on June 30, 2022</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North</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operations of Indiana Gas</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South</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operations of SIGECO</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Indiana Utilities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combination of Indiana Electric, Indiana North and Indiana South</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Interim Condensed Financial Statements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Unaudited condensed consolidated interim financial statements and combined notes</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IRA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Inflation Reduction Act of 2022</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Integrated Resource Plan</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 Revenue Service</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IURC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Utility Regulatory Commission</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kV</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Kilovolt</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LAMS Asset Purchase Agreement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Purchase Agreement, dated as of February 19, 2024, by and among CERC Corp. and the LAMS Buyers</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LAMS Buyers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Delta Utilities No. LA, LLC, a Delaware limited liability company, Delta Utilities S. LA, LLC, a Delaware limited liability company, Delta Utilities MS, LLC, a Delaware limited liability company, and Delta Shared Services Co., LLC, a Delaware limited liability company</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LDC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Local distribution company</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LPSC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 Public Service Commission</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M&amp;DOT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Mortgage and Deed of Trust, dated November 1, 1944, between Houston Lighting and Power Company and Chase Bank of Texas, National Association (formerly, South Texas Commercial National Bank of Houston), as Trustee, as amended and supplemented</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MDL</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Multi-district litigation</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Merger</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merger of Merger Sub with and into Vectren on the terms and subject to the conditions set forth in the Merger Agreement, with Vectren continuing as the surviving corporation and as a wholly-owned subsidiary of CenterPoint Energy, Inc.</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Merger Agreement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Agreement and Plan of Merger, dated as of April 21, 2018, among CenterPoint Energy, Vectren and Merger Sub</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Merger Sub</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Pacer Merger Sub, Inc., an Indiana corporation and wholly-owned subsidiary of CenterPoint Energy </w:t>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71"/>
        <w:gridCol w:w="624"/>
        <w:gridCol w:w="646"/>
        <w:gridCol w:w="114"/>
        <w:gridCol w:w="114"/>
        <w:gridCol w:w="114"/>
        <w:gridCol w:w="2329"/>
        <w:gridCol w:w="2215"/>
        <w:gridCol w:w="3278"/>
      </w:tblGrid>
      <w:tr>
        <w:trPr/>
        <w:tc>
          <w:tcPr>
            <w:tcW w:w="77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MGP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gas plant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MISO</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Midcontinent Independent System Operator</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MMBtu</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Moody’s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Moody’s Investors Service, Inc.</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MPSC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Mississippi Public Service Corporation</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MPUC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 Public Utilities Commission</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MW</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Megawatt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NERC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American Electric Reliability Corporation</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NOLs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losses</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NRG</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NRG Energy, Inc.</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NYSE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Oriden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Oriden LLC</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Origis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Origis Energy USA Inc. </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OUCC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Office of Utility Consumer Counselor</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Posey Solar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Posey Solar, LLC, a special purpose entity</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PPA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PRPs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Potentially responsible parties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PTCs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Tax Credits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PUCO</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Utilities Commission of Ohio</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PUCT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Utility Commission of Texas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Railroad Commission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Railroad Commission of Texas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RCRA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Resource Conservation and Recovery Act of 1976</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Registrants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and CERC, collectively</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 electric provider</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Restoration Bond Company</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Restoration Bond Company, LLC, a wholly-owned subsidiary of Houston Electric</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Restructuring</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 Corp.’s common control acquisition of Indiana Gas and VEDO from VUH on June 30, 2022</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ROE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on equity</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ROU</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RRA</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 Regulation Adjustment</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RSP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 Stabilization Plan</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S&amp;P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S&amp;P Global Ratings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Scope 1 emissions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source of emissions from a company’s operations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Scope 2 emissions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source of emissions from a company’s energy usage</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Scope 3 emissions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source of emissions from a company’s end-users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and Exchange Commission</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Securitization Bonds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and system restoration bonds issued by the Bond Companies and SIGECO Securitization Bonds issued by the SIGECO Securitization Subsidiary</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Series A Preferred Stock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Energy’s Series A Fixed-to-Floating Rate Cumulative Redeemable Perpetual Preferred Stock, par value $0.01 per share, with a liquidation preference of $1,000 per share</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SIGECO</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Southern Indiana Gas and Electric Company, a wholly-owned subsidiary of Vectren</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SIGECO Securitization Bonds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SIGECO Securitization Subsidiary’s Series 2023-A Senior Secured Securitization Bonds </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SIGECO Securitization Subsidiary</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SIGECO Securitization I, LLC, a direct, wholly-owned subsidiary of SIGECO </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SOFR</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Overnight Financing Rate</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SRC</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Reconciliation Component</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TBD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 be determined</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TCJA</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reform legislation informally called the Tax Cuts and Jobs Act of 2017</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TCOS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 of Service</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TCRF</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 Recovery Factor</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TDSIC</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Distribution and Storage System Improvement Charge</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TDU</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and distribution utility</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TEEEF</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leased or costs incurred as “temporary emergency electric energy facilities” under the Public Utility Regulatory Act Section 39.918, also referred to as mobile generation</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1"/>
        <w:gridCol w:w="444"/>
        <w:gridCol w:w="356"/>
        <w:gridCol w:w="114"/>
        <w:gridCol w:w="114"/>
        <w:gridCol w:w="114"/>
        <w:gridCol w:w="2401"/>
        <w:gridCol w:w="2401"/>
        <w:gridCol w:w="3560"/>
      </w:tblGrid>
      <w:tr>
        <w:trPr/>
        <w:tc>
          <w:tcPr>
            <w:tcW w:w="70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GLOSSARY</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Topic 326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Update 2016-13 - Financial Instruments - Credit Losses (Topic 326): Measurement of Credit Losses on Financial Instruments</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6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Utility Holding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Holding, LLC, a wholly-owned subsidiary of CenterPoint Energy</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Vectren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Vectren, LLC, which converted its corporate structure from Vectren Corporation to a limited liability company on June 30, 2022, a wholly-owned subsidiary of CenterPoint Energy as of February 1, 2019</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Vectren Energy Services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Vectren Energy Services Corporation, an Indiana corporation and a wholly-owned subsidiary of CenterPoint Energy </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VEDO</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Vectren Energy Delivery of Ohio, LLC, which converted its corporate structure from Vectren Energy Delivery of Ohio, Inc. to a limited liability company on June 13, 2022, formerly a wholly-owned subsidiary of Vectren, acquired by CERC on June 30, 2022</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VIE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interest entity</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6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Vistra Energy Corp.</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Texas-based energy company focused on the competitive energy and power generation markets</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VRP</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Voluntary Remediation Program</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VUH</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Vectren Utility Holdings, LLC, which converted its corporate structure from Vectren Utility Holdings, Inc. to a limited liability company on June 30, 2022, a wholly-owned subsidiary of Vectren</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36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WBD Common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Warner Bros. Discovery, Inc. Series A common stock</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Winter Storm Elliott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From December 21 to 26, 2022, a historic extratropical cyclone created winter storm conditions, including blizzards, high winds, snowfall and record cold temperatures across the majority of the United States and parts of Canada </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ZENS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 Zero-Premium Exchangeable Subordinated Notes due 2029</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ZENS-Related Securities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2024 and December 31, 2023, consisted of AT&amp;T Common, Charter Common and WBD Common</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2023 Form 10-K</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for the fiscal year ended December 31, 2023 as filed with the SEC on February 20,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are some of the factors that could cause actual results to differ from those expressed or implied by the Registrants’ forward-looking statements and apply to all Registrants unless otherwise indicated:</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CenterPoint Energy’s business strategies and strategic initiatives, restructurings, including the completed Restructuring, joint ventures and acquisitions or dispositions of assets or businesses, including the announced sale of our Louisiana and Mississippi natural gas LDC businesses, and the completed sale of Energy Systems Group, which we cannot assure will have the anticipated benefits to us;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industrial, commercial and residential growth in our service territories and changes in market demand, including the effects of energy efficiency measures and demographic patterns;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fund and invest planned capital and the timely recovery of our investments, including those related to Indiana Electric’s generation transition plan as part of its IRPs;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timely and appropriate rate actions that allow and authorize requested and timely recovery of costs and a reasonable return on investment, including the timing and amount of recovery of Houston Electric’s TEEEF leases, and requested or favorable adjustments to rates and approval of other requested items as part of base rate proceedings;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economic conditions in regional and national markets, including changes to inflation and interest rates, and instability of banking institutions, and their effect on sales, prices and costs;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weather variations and other natural phenomena, including the impact of severe weather events on operations, capital and legislation such as seen in connection with the February 2021 Winter Storm Event;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volatility in the markets for natural gas as a result of, among other factors, armed conflicts, including the conflict in the Middle East and any broader related conflict, and the conflict in Ukraine, and the related sanctions on certain Russian entities;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disruptions to the global supply chain, including volatility in commodity prices, and tariffs and other legislation impacting the supply chain, that could prevent CenterPoint Energy from securing the resources needed to, among other things, fully execute on its 10-year capital plan or achieve its net zero and carbon emissions reduction goals;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direct or indirect effects on our facilities, resources, operations and financial condition resulting from terrorism, cyberattacks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relating to potential wildfires, including costs of potential regulatory penalties and damages in excess of insurance liability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tax legislation, including the effects of the IRA (which includes but is not limited to any potential changes to tax rates, CAMT imposed, tax credits and/or interest deductibility), as well as any changes in tax laws under the current or future administrations, and uncertainties involving state commissions’ and local municipalities’ regulatory requirements and determinations regarding the treatment of EDIT and our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mitigate weather impacts through normalization or rate mechanisms, and the effectiveness of such mechanisms;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actions by credit rating agencies, including any potential downgrades to credit ratings;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matters affecting regulatory approval, legislative actions, construction, implementation of necessary technology or other issues with respect to major capital projects that result in delays or cancellation or in costs that cannot be recouped in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unplanned facility outages or other closures;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sufficiency of our insurance coverage, including availability, cost, coverage and terms and ability to recover claims;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and prices of raw materials and services and changes in labor for current and future construction projects and operations and maintenance costs, including our ability to control such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impacts from CenterPoint Energy’s pension and postretirement benefit plans, such as the investment performance and increases to net periodic costs as a result of plan settlements and changes in assumptions, including discount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their impact on costs of borrowing and the valuation of CenterPoint Energy’s pension benefit obligation;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commercial bank and financial market conditions, including disruptions in the banking industry, our access to capital, the cost of such capital, impacts on our vendors, customers and suppliers, and the results of our financing and refinancing efforts, including availability of funds in the debt capital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inability of various counterparties to meet their obligations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extent and effectiveness of our risk management activities;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timely and appropriate regulatory actions, which include actions allowing securitization, for any hurricanes or other severe weather events, or natural disasters or other recovery of costs, including stranded coal-fired generation asset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 and merger or divestiture activities involving us or our industry, including the ability to successfully complete merger, acquisition and divestiture plans on the timelines we expect or at all, such as the proposed sale of our Louisiana and Mississippi natural gas LDC businesses;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recruit, effectively transition, motivate and retain management and key employees and maintain good labor relations;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technology, particularly with respect to efficient battery storage or the emergence or growth of new, developing or alternative sources of generation, and their adoption by consumers;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climate change and alternate energy sources on the demand for natural gas and electricity generated or transmitted by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outcome of any audits, disputes and other proceedings related to taxes;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recording of impairment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political and economic developments, including energy and environmental policies under the current administration;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ability to execute on its strategy, initiatives, targets and goals, including its net zero and carbon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emissions reduction goals and its operations and maintenance expenditure goals;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litigation, including litigation related to the February 2021 Winter Storm Event;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obligations related to warranties, guarantees and other contractual and legal obligations;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changes in and application of accounting standards and pronouncements;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discussed in “Risk Factors” in Item 1A of Part I of the Registrants’ combined 2023 Form 10-K, which are incorporated herein by reference, and in other reports that the Registrants file from time to time with the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73" w:type="dxa"/>
        <w:jc w:val="left"/>
        <w:tblInd w:w="0" w:type="dxa"/>
        <w:tblLayout w:type="fixed"/>
        <w:tblCellMar>
          <w:top w:w="28" w:type="dxa"/>
          <w:left w:w="28" w:type="dxa"/>
          <w:bottom w:w="28" w:type="dxa"/>
          <w:right w:w="28" w:type="dxa"/>
        </w:tblCellMar>
      </w:tblPr>
      <w:tblGrid>
        <w:gridCol w:w="1645"/>
        <w:gridCol w:w="1445"/>
        <w:gridCol w:w="1455"/>
        <w:gridCol w:w="109"/>
        <w:gridCol w:w="109"/>
        <w:gridCol w:w="260"/>
        <w:gridCol w:w="260"/>
        <w:gridCol w:w="468"/>
        <w:gridCol w:w="1329"/>
        <w:gridCol w:w="260"/>
        <w:gridCol w:w="109"/>
        <w:gridCol w:w="109"/>
        <w:gridCol w:w="109"/>
        <w:gridCol w:w="196"/>
        <w:gridCol w:w="556"/>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50" w:type="dxa"/>
            <w:gridSpan w:val="10"/>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9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 fuel and purchased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indexed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Securitization Bonds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preferred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0.55 </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806" w:type="dxa"/>
        <w:jc w:val="center"/>
        <w:tblInd w:w="0" w:type="dxa"/>
        <w:tblLayout w:type="fixed"/>
        <w:tblCellMar>
          <w:top w:w="28" w:type="dxa"/>
          <w:left w:w="28" w:type="dxa"/>
          <w:bottom w:w="28" w:type="dxa"/>
          <w:right w:w="28" w:type="dxa"/>
        </w:tblCellMar>
      </w:tblPr>
      <w:tblGrid>
        <w:gridCol w:w="2138"/>
        <w:gridCol w:w="1874"/>
        <w:gridCol w:w="1898"/>
        <w:gridCol w:w="109"/>
        <w:gridCol w:w="109"/>
        <w:gridCol w:w="298"/>
        <w:gridCol w:w="298"/>
        <w:gridCol w:w="535"/>
        <w:gridCol w:w="1151"/>
        <w:gridCol w:w="298"/>
        <w:gridCol w:w="109"/>
        <w:gridCol w:w="109"/>
        <w:gridCol w:w="109"/>
        <w:gridCol w:w="196"/>
        <w:gridCol w:w="421"/>
        <w:gridCol w:w="154"/>
      </w:tblGrid>
      <w:tr>
        <w:trPr/>
        <w:tc>
          <w:tcPr>
            <w:tcW w:w="213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pension and other postretirement plans (net of tax of $-0- and $-0-)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gain from cash flow hedges (net of tax of $-0- and $-0-)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Income allocated to preferred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48"/>
        <w:gridCol w:w="2278"/>
        <w:gridCol w:w="2288"/>
        <w:gridCol w:w="249"/>
        <w:gridCol w:w="822"/>
        <w:gridCol w:w="138"/>
        <w:gridCol w:w="109"/>
        <w:gridCol w:w="109"/>
        <w:gridCol w:w="109"/>
        <w:gridCol w:w="285"/>
        <w:gridCol w:w="941"/>
        <w:gridCol w:w="229"/>
      </w:tblGrid>
      <w:tr>
        <w:trPr/>
        <w:tc>
          <w:tcPr>
            <w:tcW w:w="264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($132 and $90 related to VIEs, respectively)</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2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equity securities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($20 and $21 related to VIEs, respectively), less allowance for credit losses of $32 and $27, respectively </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Accrued unbilled revenues ($2 and $2 related to VIEs, respectively), less allowance for credit losses of $2 and $2, respectively</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and coal inventory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 and supplies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held for sale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($15 and $15 related to VIEs, respectively)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 ($367 and $402 related to VIEs, respectively)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2"/>
        <w:gridCol w:w="2305"/>
        <w:gridCol w:w="2314"/>
        <w:gridCol w:w="247"/>
        <w:gridCol w:w="818"/>
        <w:gridCol w:w="137"/>
        <w:gridCol w:w="110"/>
        <w:gridCol w:w="110"/>
        <w:gridCol w:w="110"/>
        <w:gridCol w:w="280"/>
        <w:gridCol w:w="926"/>
        <w:gridCol w:w="226"/>
      </w:tblGrid>
      <w:tr>
        <w:trPr/>
        <w:tc>
          <w:tcPr>
            <w:tcW w:w="2622"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par value and shares)</w:t>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VIE Securitization Bonds long-term debt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Indexed debt, net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other long-term debt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Indexed debt securities derivative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accrued</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accrued</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accrued</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liabilities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held for sale</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Non-trading derivative liabilities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Long-term Debt, net:</w:t>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 Securitization Bonds, net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debt, net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1,000,000,000 shares authorized, 633,166,053 shares and 631,225,829 shares outstanding, respectively</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10" w:type="dxa"/>
        <w:jc w:val="center"/>
        <w:tblInd w:w="0" w:type="dxa"/>
        <w:tblLayout w:type="fixed"/>
        <w:tblCellMar>
          <w:top w:w="28" w:type="dxa"/>
          <w:left w:w="28" w:type="dxa"/>
          <w:bottom w:w="28" w:type="dxa"/>
          <w:right w:w="28" w:type="dxa"/>
        </w:tblCellMar>
      </w:tblPr>
      <w:tblGrid>
        <w:gridCol w:w="2094"/>
        <w:gridCol w:w="1844"/>
        <w:gridCol w:w="1851"/>
        <w:gridCol w:w="282"/>
        <w:gridCol w:w="606"/>
        <w:gridCol w:w="156"/>
        <w:gridCol w:w="156"/>
        <w:gridCol w:w="156"/>
        <w:gridCol w:w="156"/>
        <w:gridCol w:w="282"/>
        <w:gridCol w:w="606"/>
        <w:gridCol w:w="221"/>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equity securities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indexed debt securities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contributions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 and liabilities: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unbilled revenues,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regulatory assets and liabilities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short-term borrowings,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(payments of) commercial paper,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term loans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 and term loans, including make-whole premiums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dividends on Common Stock</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dividends on Preferred Stock</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Cash Equivalents and Restricted Cash at End of Period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See Combined Notes to Interim Condensed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79"/>
        <w:gridCol w:w="831"/>
        <w:gridCol w:w="834"/>
        <w:gridCol w:w="109"/>
        <w:gridCol w:w="109"/>
        <w:gridCol w:w="171"/>
        <w:gridCol w:w="171"/>
        <w:gridCol w:w="261"/>
        <w:gridCol w:w="171"/>
        <w:gridCol w:w="171"/>
        <w:gridCol w:w="171"/>
        <w:gridCol w:w="337"/>
        <w:gridCol w:w="305"/>
        <w:gridCol w:w="223"/>
        <w:gridCol w:w="128"/>
        <w:gridCol w:w="128"/>
        <w:gridCol w:w="128"/>
        <w:gridCol w:w="231"/>
        <w:gridCol w:w="656"/>
        <w:gridCol w:w="128"/>
        <w:gridCol w:w="128"/>
        <w:gridCol w:w="128"/>
        <w:gridCol w:w="128"/>
        <w:gridCol w:w="248"/>
        <w:gridCol w:w="247"/>
        <w:gridCol w:w="249"/>
        <w:gridCol w:w="128"/>
        <w:gridCol w:w="128"/>
        <w:gridCol w:w="128"/>
        <w:gridCol w:w="231"/>
        <w:gridCol w:w="762"/>
        <w:gridCol w:w="128"/>
        <w:gridCol w:w="109"/>
        <w:gridCol w:w="109"/>
        <w:gridCol w:w="109"/>
        <w:gridCol w:w="109"/>
        <w:gridCol w:w="109"/>
        <w:gridCol w:w="109"/>
        <w:gridCol w:w="109"/>
        <w:gridCol w:w="167"/>
      </w:tblGrid>
      <w:tr>
        <w:trPr/>
        <w:tc>
          <w:tcPr>
            <w:tcW w:w="137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6"/>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of dollars and shares, except authorized shares and par value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Cumulative Preferred Stock, $0.01 par value; authorized 20,000,000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Common Stock, $0.01 par value; authorized 1,000,000,000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 related to benefit and investment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 of Common Stock,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 related to benefit and investment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Retained Earnings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001" w:type="dxa"/>
        <w:jc w:val="center"/>
        <w:tblInd w:w="0" w:type="dxa"/>
        <w:tblLayout w:type="fixed"/>
        <w:tblCellMar>
          <w:top w:w="28" w:type="dxa"/>
          <w:left w:w="28" w:type="dxa"/>
          <w:bottom w:w="28" w:type="dxa"/>
          <w:right w:w="28" w:type="dxa"/>
        </w:tblCellMar>
      </w:tblPr>
      <w:tblGrid>
        <w:gridCol w:w="1122"/>
        <w:gridCol w:w="984"/>
        <w:gridCol w:w="999"/>
        <w:gridCol w:w="109"/>
        <w:gridCol w:w="109"/>
        <w:gridCol w:w="298"/>
        <w:gridCol w:w="298"/>
        <w:gridCol w:w="535"/>
        <w:gridCol w:w="1151"/>
        <w:gridCol w:w="298"/>
        <w:gridCol w:w="109"/>
        <w:gridCol w:w="109"/>
        <w:gridCol w:w="109"/>
        <w:gridCol w:w="196"/>
        <w:gridCol w:w="42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Securitization Bonds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79"/>
        <w:gridCol w:w="2271"/>
        <w:gridCol w:w="2282"/>
        <w:gridCol w:w="245"/>
        <w:gridCol w:w="840"/>
        <w:gridCol w:w="126"/>
        <w:gridCol w:w="109"/>
        <w:gridCol w:w="109"/>
        <w:gridCol w:w="109"/>
        <w:gridCol w:w="278"/>
        <w:gridCol w:w="951"/>
        <w:gridCol w:w="206"/>
      </w:tblGrid>
      <w:tr>
        <w:trPr/>
        <w:tc>
          <w:tcPr>
            <w:tcW w:w="2679"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2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2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($109 and $76 related to VIEs, respectively)</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($18 and $19 related to VIEs, respectively), less allowance for credit losses of $1 and $1, respectively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receivable–affiliated companies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revenues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receivable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3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($13 and $13 related to VIEs, respectively)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($42 and $74 related to VIEs, respectively)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Total Assets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554" w:type="dxa"/>
        <w:jc w:val="center"/>
        <w:tblInd w:w="0" w:type="dxa"/>
        <w:tblLayout w:type="fixed"/>
        <w:tblCellMar>
          <w:top w:w="28" w:type="dxa"/>
          <w:left w:w="28" w:type="dxa"/>
          <w:bottom w:w="28" w:type="dxa"/>
          <w:right w:w="28" w:type="dxa"/>
        </w:tblCellMar>
      </w:tblPr>
      <w:tblGrid>
        <w:gridCol w:w="1576"/>
        <w:gridCol w:w="1383"/>
        <w:gridCol w:w="1390"/>
        <w:gridCol w:w="266"/>
        <w:gridCol w:w="876"/>
        <w:gridCol w:w="147"/>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LIABILITIES AND MEMBER’S EQUITY</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VIE Securitization Bonds long-term debt</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notes payable–affiliated companies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accrued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accrued</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Long-Term Debt, net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Member’s Equity: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member’s equity</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Total Liabilities and Member’s Equity</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10" w:type="dxa"/>
        <w:jc w:val="center"/>
        <w:tblInd w:w="0" w:type="dxa"/>
        <w:tblLayout w:type="fixed"/>
        <w:tblCellMar>
          <w:top w:w="28" w:type="dxa"/>
          <w:left w:w="28" w:type="dxa"/>
          <w:bottom w:w="28" w:type="dxa"/>
          <w:right w:w="28" w:type="dxa"/>
        </w:tblCellMar>
      </w:tblPr>
      <w:tblGrid>
        <w:gridCol w:w="2094"/>
        <w:gridCol w:w="1844"/>
        <w:gridCol w:w="1851"/>
        <w:gridCol w:w="282"/>
        <w:gridCol w:w="606"/>
        <w:gridCol w:w="156"/>
        <w:gridCol w:w="156"/>
        <w:gridCol w:w="156"/>
        <w:gridCol w:w="156"/>
        <w:gridCol w:w="282"/>
        <w:gridCol w:w="606"/>
        <w:gridCol w:w="221"/>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 and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notes receivable,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receivable/payable–affiliated companies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regulatory assets and liabilities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notes receivable–affiliated companies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notes payable–affiliated companies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to parent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from parent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82" w:type="dxa"/>
        <w:jc w:val="left"/>
        <w:tblInd w:w="0" w:type="dxa"/>
        <w:tblLayout w:type="fixed"/>
        <w:tblCellMar>
          <w:top w:w="28" w:type="dxa"/>
          <w:left w:w="28" w:type="dxa"/>
          <w:bottom w:w="28" w:type="dxa"/>
          <w:right w:w="28" w:type="dxa"/>
        </w:tblCellMar>
      </w:tblPr>
      <w:tblGrid>
        <w:gridCol w:w="786"/>
        <w:gridCol w:w="693"/>
        <w:gridCol w:w="696"/>
        <w:gridCol w:w="109"/>
        <w:gridCol w:w="109"/>
        <w:gridCol w:w="286"/>
        <w:gridCol w:w="286"/>
        <w:gridCol w:w="286"/>
        <w:gridCol w:w="286"/>
        <w:gridCol w:w="286"/>
        <w:gridCol w:w="286"/>
        <w:gridCol w:w="286"/>
        <w:gridCol w:w="286"/>
        <w:gridCol w:w="286"/>
        <w:gridCol w:w="109"/>
        <w:gridCol w:w="109"/>
        <w:gridCol w:w="109"/>
        <w:gridCol w:w="196"/>
        <w:gridCol w:w="556"/>
        <w:gridCol w:w="109"/>
        <w:gridCol w:w="109"/>
        <w:gridCol w:w="109"/>
        <w:gridCol w:w="109"/>
        <w:gridCol w:w="278"/>
        <w:gridCol w:w="278"/>
        <w:gridCol w:w="211"/>
        <w:gridCol w:w="109"/>
        <w:gridCol w:w="109"/>
        <w:gridCol w:w="109"/>
        <w:gridCol w:w="196"/>
        <w:gridCol w:w="55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515" w:type="dxa"/>
            <w:gridSpan w:val="18"/>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2327" w:type="dxa"/>
            <w:gridSpan w:val="1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share amounts)</w:t>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from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Member’s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687" w:type="dxa"/>
        <w:jc w:val="center"/>
        <w:tblInd w:w="0" w:type="dxa"/>
        <w:tblLayout w:type="fixed"/>
        <w:tblCellMar>
          <w:top w:w="28" w:type="dxa"/>
          <w:left w:w="28" w:type="dxa"/>
          <w:bottom w:w="28" w:type="dxa"/>
          <w:right w:w="28" w:type="dxa"/>
        </w:tblCellMar>
      </w:tblPr>
      <w:tblGrid>
        <w:gridCol w:w="1324"/>
        <w:gridCol w:w="1164"/>
        <w:gridCol w:w="1171"/>
        <w:gridCol w:w="109"/>
        <w:gridCol w:w="109"/>
        <w:gridCol w:w="260"/>
        <w:gridCol w:w="260"/>
        <w:gridCol w:w="468"/>
        <w:gridCol w:w="1329"/>
        <w:gridCol w:w="260"/>
        <w:gridCol w:w="109"/>
        <w:gridCol w:w="109"/>
        <w:gridCol w:w="109"/>
        <w:gridCol w:w="196"/>
        <w:gridCol w:w="55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550" w:type="dxa"/>
            <w:gridSpan w:val="10"/>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850" w:type="dxa"/>
        <w:jc w:val="center"/>
        <w:tblInd w:w="0" w:type="dxa"/>
        <w:tblLayout w:type="fixed"/>
        <w:tblCellMar>
          <w:top w:w="28" w:type="dxa"/>
          <w:left w:w="28" w:type="dxa"/>
          <w:bottom w:w="28" w:type="dxa"/>
          <w:right w:w="28" w:type="dxa"/>
        </w:tblCellMar>
      </w:tblPr>
      <w:tblGrid>
        <w:gridCol w:w="2146"/>
        <w:gridCol w:w="1895"/>
        <w:gridCol w:w="1913"/>
        <w:gridCol w:w="109"/>
        <w:gridCol w:w="109"/>
        <w:gridCol w:w="298"/>
        <w:gridCol w:w="298"/>
        <w:gridCol w:w="535"/>
        <w:gridCol w:w="1151"/>
        <w:gridCol w:w="298"/>
        <w:gridCol w:w="109"/>
        <w:gridCol w:w="109"/>
        <w:gridCol w:w="109"/>
        <w:gridCol w:w="196"/>
        <w:gridCol w:w="421"/>
        <w:gridCol w:w="154"/>
      </w:tblGrid>
      <w:tr>
        <w:trPr/>
        <w:tc>
          <w:tcPr>
            <w:tcW w:w="2146"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80" w:type="dxa"/>
            <w:gridSpan w:val="10"/>
            <w:tcBorders/>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8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pension and other postretirement plans (net of tax of, $-0- and $-0-)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32"/>
        <w:gridCol w:w="2228"/>
        <w:gridCol w:w="2238"/>
        <w:gridCol w:w="260"/>
        <w:gridCol w:w="893"/>
        <w:gridCol w:w="134"/>
        <w:gridCol w:w="109"/>
        <w:gridCol w:w="109"/>
        <w:gridCol w:w="109"/>
        <w:gridCol w:w="308"/>
        <w:gridCol w:w="1055"/>
        <w:gridCol w:w="230"/>
      </w:tblGrid>
      <w:tr>
        <w:trPr/>
        <w:tc>
          <w:tcPr>
            <w:tcW w:w="253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Current Assets</w:t>
            </w:r>
            <w:r>
              <w:rPr>
                <w:rFonts w:ascii="Times New Roman;sans-serif" w:hAnsi="Times New Roman;sans-serif"/>
                <w:b w:val="false"/>
                <w:color w:val="000000"/>
                <w:sz w:val="20"/>
              </w:rPr>
              <w:t>:</w:t>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credit losses of $29 and $25, respectively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revenues, less allowance for credit losses of $2 and $1, respectively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receivable–affiliated companies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inventory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receivable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Total Assets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7527" w:type="dxa"/>
        <w:jc w:val="center"/>
        <w:tblInd w:w="0" w:type="dxa"/>
        <w:tblLayout w:type="fixed"/>
        <w:tblCellMar>
          <w:top w:w="28" w:type="dxa"/>
          <w:left w:w="28" w:type="dxa"/>
          <w:bottom w:w="28" w:type="dxa"/>
          <w:right w:w="28" w:type="dxa"/>
        </w:tblCellMar>
      </w:tblPr>
      <w:tblGrid>
        <w:gridCol w:w="1564"/>
        <w:gridCol w:w="1377"/>
        <w:gridCol w:w="1379"/>
        <w:gridCol w:w="261"/>
        <w:gridCol w:w="894"/>
        <w:gridCol w:w="135"/>
        <w:gridCol w:w="109"/>
        <w:gridCol w:w="109"/>
        <w:gridCol w:w="109"/>
        <w:gridCol w:w="309"/>
        <w:gridCol w:w="1056"/>
        <w:gridCol w:w="225"/>
      </w:tblGrid>
      <w:tr>
        <w:trPr/>
        <w:tc>
          <w:tcPr>
            <w:tcW w:w="15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payable–affiliated companies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accrued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Non-trading derivative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Non-trading derivative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Long-Term Debt, net</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10" w:type="dxa"/>
        <w:jc w:val="center"/>
        <w:tblInd w:w="0" w:type="dxa"/>
        <w:tblLayout w:type="fixed"/>
        <w:tblCellMar>
          <w:top w:w="28" w:type="dxa"/>
          <w:left w:w="28" w:type="dxa"/>
          <w:bottom w:w="28" w:type="dxa"/>
          <w:right w:w="28" w:type="dxa"/>
        </w:tblCellMar>
      </w:tblPr>
      <w:tblGrid>
        <w:gridCol w:w="2094"/>
        <w:gridCol w:w="1844"/>
        <w:gridCol w:w="1851"/>
        <w:gridCol w:w="282"/>
        <w:gridCol w:w="606"/>
        <w:gridCol w:w="156"/>
        <w:gridCol w:w="156"/>
        <w:gridCol w:w="156"/>
        <w:gridCol w:w="156"/>
        <w:gridCol w:w="282"/>
        <w:gridCol w:w="606"/>
        <w:gridCol w:w="221"/>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 and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unbilled revenues,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receivable/payable–affiliated companies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regulatory assets and liabilities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notes receivable–affiliated companies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short-term borrowings,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(payments of) commercial paper,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term loan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 and term loan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to parent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801" w:type="dxa"/>
        <w:jc w:val="left"/>
        <w:tblInd w:w="0" w:type="dxa"/>
        <w:tblLayout w:type="fixed"/>
        <w:tblCellMar>
          <w:top w:w="28" w:type="dxa"/>
          <w:left w:w="28" w:type="dxa"/>
          <w:bottom w:w="28" w:type="dxa"/>
          <w:right w:w="28" w:type="dxa"/>
        </w:tblCellMar>
      </w:tblPr>
      <w:tblGrid>
        <w:gridCol w:w="1263"/>
        <w:gridCol w:w="1113"/>
        <w:gridCol w:w="1118"/>
        <w:gridCol w:w="109"/>
        <w:gridCol w:w="109"/>
        <w:gridCol w:w="286"/>
        <w:gridCol w:w="286"/>
        <w:gridCol w:w="286"/>
        <w:gridCol w:w="286"/>
        <w:gridCol w:w="286"/>
        <w:gridCol w:w="286"/>
        <w:gridCol w:w="286"/>
        <w:gridCol w:w="286"/>
        <w:gridCol w:w="286"/>
        <w:gridCol w:w="109"/>
        <w:gridCol w:w="109"/>
        <w:gridCol w:w="109"/>
        <w:gridCol w:w="196"/>
        <w:gridCol w:w="556"/>
        <w:gridCol w:w="109"/>
        <w:gridCol w:w="109"/>
        <w:gridCol w:w="109"/>
        <w:gridCol w:w="109"/>
        <w:gridCol w:w="278"/>
        <w:gridCol w:w="278"/>
        <w:gridCol w:w="211"/>
        <w:gridCol w:w="109"/>
        <w:gridCol w:w="109"/>
        <w:gridCol w:w="109"/>
        <w:gridCol w:w="196"/>
        <w:gridCol w:w="55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515" w:type="dxa"/>
            <w:gridSpan w:val="18"/>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2327" w:type="dxa"/>
            <w:gridSpan w:val="1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share amounts)</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COMBINED NOTES TO INTERIM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Background and Basis of Presentation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This combined Form 10-Q is filed separately by three registrants: CenterPoint Energy, Inc., CenterPoint Energy Houston Electric, LLC and 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discussed in Note 11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Basis of Presentation. </w:t>
      </w:r>
      <w:r>
        <w:rPr>
          <w:rFonts w:ascii="Times New Roman;sans-serif" w:hAnsi="Times New Roman;sans-serif"/>
          <w:b w:val="false"/>
          <w:color w:val="000000"/>
          <w:sz w:val="20"/>
        </w:rPr>
        <w:t xml:space="preserve">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annual report on Form 10-K for the year ended December 31, 2023. The Combined Notes to Interim Condensed Financial Statements apply to all Registrants and specific references to Houston Electric and CERC herein also pertain to CenterPoint Energy, unless otherwise indicated.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Background</w:t>
      </w:r>
      <w:r>
        <w:rPr>
          <w:rFonts w:ascii="Times New Roman;sans-serif" w:hAnsi="Times New Roman;sans-serif"/>
          <w:b w:val="false"/>
          <w:color w:val="000000"/>
          <w:sz w:val="20"/>
        </w:rPr>
        <w:t>. CenterPoint Energy, Inc. is a public utility holding company. On June 30, 2023, CenterPoint Energy completed the sale of its indirect subsidiary, Energy Systems Group, to an unaffiliated third party. On February 19, 2024, CenterPoint Energy, through its subsidiary CERC Corp., entered into the LAMS Asset Purchase Agreement to sell its Louisiana and Mississippi natural gas LDC businesses. The transaction is expected to close in the first quarter of 2025. For additional information, see Note 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CenterPoint Energy’s operating subsidiaries were as follows: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Houston Electric owns and operates electric transmission and distribution facilities in the Texas gulf coast area that includes the city of Houston;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CERC Corp. (i) directly owns and operates natural gas distribution systems in Louisiana, Minnesota, Mississippi and Texas, (ii) indirectly, through Indiana Gas and VEDO, owns and operates natural gas distribution systems in Indiana and Ohio, respectively, and (iii) owns and operates permanent pipeline connections through interconnects with various interstate and intrastate pipeline companies through CEIP;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CenterPoint Energy’s reportable segments were Electric, Natural Gas, and Corporate and Other. Houston Electric and CERC each consist of a single reportable segment. For a description of CenterPoint Energy’s reportable segments, see Note 15.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Principles of Consolidation. </w:t>
      </w:r>
      <w:r>
        <w:rPr>
          <w:rFonts w:ascii="Times New Roman;sans-serif" w:hAnsi="Times New Roman;sans-serif"/>
          <w:b w:val="false"/>
          <w:color w:val="000000"/>
          <w:sz w:val="20"/>
        </w:rPr>
        <w:t>The accompanying Interim Condensed Financial Statements have been prepared in conformity with generally accepted accounting principles. The accounts of the Registrants and their wholly-owned and majority-owned and controlled subsidiaries are included in the Interim Condensed Financial Statements. All intercompany transactions and balances are eliminated in consolidation.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CenterPoint Energy, Houston Electric and SIGECO had VIEs including the Bond Companies and the SIGECO Securitization Subsidiary, which are consolidated. The consolidated VIEs are wholly-owned, bankruptcy-remote, special purpose entities that were formed solely for the purpose of securitizing transition property or facilitating the securitization financing of qualified costs in the second quarter of 2023 associated with the completed retirement of SIGECO’s A.B. Brown coal generation facilities. CenterPoint Energy, through SIGECO, has a controlling financial interest in the SIGECO Securitization Subsidiary and is the VIE’s primary beneficiary. For further information, see Note 6. Creditors of CenterPoint Energy, Houston Electric and SIGECO have no recourse to any assets or revenues of the Bond Companies or the SIGECO Securitization Subsidiary, as applicable. The Securitization Bonds issued by these VIEs are payable only from and secured by transition or securitization property, as applicable, and the bondholders have no recourse to the general credit of CenterPoint Energy, Houston Electric or SIGECO.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Registrants’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This ASU updates segment disclosure requirements through enhanced disclosures around significant segment expenses. ASU 2023-07 is effective for fiscal years beginning after December 15, 2023, and for interim periods within fiscal years beginning after December 15, 2024. Early adoption is permitted. The Registrants are currently evaluating the impact of this ASU on their respective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Early adoption is permitted. The Registrants are currently evaluating the impact of this ASU on their respective consolidated financial statements.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all other recently adopted and recently issued accounting standards that are not yet effective will not have a material impact on the Registrants’ financial position, results of operations or cash flows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Held for Sale and Divestitures (CenterPoint Energy and CERC)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Held for Sale. </w:t>
      </w:r>
      <w:r>
        <w:rPr>
          <w:rFonts w:ascii="Times New Roman;sans-serif" w:hAnsi="Times New Roman;sans-serif"/>
          <w:b w:val="false"/>
          <w:color w:val="000000"/>
          <w:sz w:val="20"/>
        </w:rPr>
        <w:t>On February 19, 2024, CERC Corp. entered into the LAMS Asset Purchase Agreement, pursuant to which CERC Corp. has agreed to sell its Louisiana and Mississippi natural gas LDC businesses. The purchase price for the Louisiana and Mississippi natural gas LDC businesses is $1.2 billion and subject to adjustment as set forth in the LAMS Asset Purchase Agreement, including adjustments based on net working capital, regulatory assets and liabilities and capital expenditures at closing. The completion of the proposed transaction is subject to customary closing conditions, including (i) the expiration or termination of the applicable waiting period under the Hart-Scott-Rodino Antitrust Improvements Act of 1976, as amended, (ii) approval of the LPSC, (iii) approval of the MPSC, (iv) no Material Adverse Effect (as defined in the LAMS Asset Purchase Agreement) having occurred, and (v) customary closing conditions regarding the accuracy of the representations and warranties and compliance by the parties with the respective obligations under the LAMS Asset Purchase Agreement. The proposed transaction is not subject to a financing condition and is expected to close by the end of the first quarter of 2025, subject to satisfaction of the foregoing conditions. The businesses include approximately 12,000 miles of main pipeline in Louisiana and Mississippi serving more than 300,000 customers. The Louisiana and Mississippi natural gas LDC businesses are reflected in CenterPoint Energy’s Natural Gas reportable segment and CERC’s single reportable segment, as applicable. Filings were made on April 24, 2024 to the LPSC and on April 25, 2024 to the MPSC requesting approval of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certain assets and liabilities representing the Louisiana and Mississippi natural gas LDC businesses met the held for sale criteria. The sale will be considered an asset sale for tax purposes, requiring net deferred tax liabilities to be excluded from held for sale balances.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record assets and liabilities held for sale at the lower of their carrying value or their estimated fair value less cost to sell. Neither CenterPoint Energy nor CERC recognized any gains or losses upon classification of held for sale during the three months ended March 31, 2024. See Note 9 for further information about the allocation of goodwill to the businesses to be sold.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the Louisiana and Mississippi natural gas LDC businesses classified as held for sale in CenterPoint Energy’s and CERC’s Condensed Consolidated Balance Sheets, as applicable, included the following:</w:t>
      </w:r>
    </w:p>
    <w:p>
      <w:pPr>
        <w:pStyle w:val="TextBody"/>
        <w:bidi w:val="0"/>
        <w:spacing w:before="0" w:after="0"/>
        <w:ind w:left="0" w:right="0" w:firstLine="360"/>
        <w:jc w:val="both"/>
        <w:rPr/>
      </w:pPr>
      <w:r>
        <w:rPr/>
      </w:r>
    </w:p>
    <w:tbl>
      <w:tblPr>
        <w:tblW w:w="5478" w:type="dxa"/>
        <w:jc w:val="left"/>
        <w:tblInd w:w="0" w:type="dxa"/>
        <w:tblLayout w:type="fixed"/>
        <w:tblCellMar>
          <w:top w:w="28" w:type="dxa"/>
          <w:left w:w="28" w:type="dxa"/>
          <w:bottom w:w="28" w:type="dxa"/>
          <w:right w:w="28" w:type="dxa"/>
        </w:tblCellMar>
      </w:tblPr>
      <w:tblGrid>
        <w:gridCol w:w="944"/>
        <w:gridCol w:w="831"/>
        <w:gridCol w:w="835"/>
        <w:gridCol w:w="371"/>
        <w:gridCol w:w="1056"/>
        <w:gridCol w:w="208"/>
        <w:gridCol w:w="109"/>
        <w:gridCol w:w="109"/>
        <w:gridCol w:w="109"/>
        <w:gridCol w:w="196"/>
        <w:gridCol w:w="556"/>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unbilled revenues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inventory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 and supplies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Goodwill </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 held for sale</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 liabilities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 held for sale</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Louisiana and Mississippi natural gas LDC businesses met the held for sale criteria, their disposals do not represent a strategic shift for CenterPoint Energy and CERC as both will retain significant operations in, and will continue to invest in, their natural gas businesses. Therefore, the assets and liabilities associated with these transactions are not reflected as discontinued operations on CenterPoint Energy’s and CERC’s Condensed Statements of Consolidated Income, as applicable, and the December 31, 2023 Condensed Consolidated Balance Sheets were not required to be recast for assets held for sale. Since the depreciation on the Louisiana and Mississippi natural gas LDC businesses assets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pre-tax income for the Louisiana and Mississippi Natural Gas businesses, excluding interest and corporate allocations, included in CenterPoint Energy’s and CERC’s Condensed Statements of Consolidated Income is as follows:</w:t>
      </w:r>
    </w:p>
    <w:p>
      <w:pPr>
        <w:pStyle w:val="TextBody"/>
        <w:bidi w:val="0"/>
        <w:spacing w:before="0" w:after="0"/>
        <w:ind w:left="0" w:right="0" w:firstLine="360"/>
        <w:jc w:val="both"/>
        <w:rPr/>
      </w:pPr>
      <w:r>
        <w:rPr/>
      </w:r>
    </w:p>
    <w:tbl>
      <w:tblPr>
        <w:tblW w:w="6119" w:type="dxa"/>
        <w:jc w:val="left"/>
        <w:tblInd w:w="0" w:type="dxa"/>
        <w:tblLayout w:type="fixed"/>
        <w:tblCellMar>
          <w:top w:w="28" w:type="dxa"/>
          <w:left w:w="28" w:type="dxa"/>
          <w:bottom w:w="28" w:type="dxa"/>
          <w:right w:w="28" w:type="dxa"/>
        </w:tblCellMar>
      </w:tblPr>
      <w:tblGrid>
        <w:gridCol w:w="799"/>
        <w:gridCol w:w="700"/>
        <w:gridCol w:w="706"/>
        <w:gridCol w:w="109"/>
        <w:gridCol w:w="109"/>
        <w:gridCol w:w="109"/>
        <w:gridCol w:w="329"/>
        <w:gridCol w:w="329"/>
        <w:gridCol w:w="592"/>
        <w:gridCol w:w="1000"/>
        <w:gridCol w:w="329"/>
        <w:gridCol w:w="109"/>
        <w:gridCol w:w="109"/>
        <w:gridCol w:w="109"/>
        <w:gridCol w:w="196"/>
        <w:gridCol w:w="33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08"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Divestiture of Energy Systems Group. </w:t>
      </w:r>
      <w:r>
        <w:rPr>
          <w:rFonts w:ascii="Times New Roman;sans-serif" w:hAnsi="Times New Roman;sans-serif"/>
          <w:b w:val="false"/>
          <w:color w:val="000000"/>
          <w:sz w:val="20"/>
        </w:rPr>
        <w:t>On May 21, 2023, CenterPoint Energy, through its subsidiary Vectren Energy Services, entered into an Equity Purchase Agreement to sell all of the 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and CenterPoint Energy received $154 million in cash, subject to finalization of the purchase price adjustment. Additionally, as of March 31, 2024, CenterPoint Energy had a payable of approximately $2 million to ESG Holdings Group for working capital and other adjustments set forth in the Equity Purchase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certain assets and liabilities of Energy Systems Group met the held for sale criteria. The divestiture of Energy Systems Group reflects CenterPoint Energy’s continued strategic focus on its core utility businesses. The historical annual revenues, net income and total assets of Energy Systems Groups did not have a sufficient effect, quantitatively or qualitatively, on CenterPoint Energy’s financial results to be considered a strategic shift. Therefore, the income and expenses associated with Energy Systems Group were not reflected as discontinued operations on CenterPoint Energy’s Condensed Statements of Consolidated Income. Depreciation and amortization of long-lived assets ceased at the end of the quarter in which the held for sale criteria was met. Additionally, as a result of the completion of the sale of Energy Systems Group in June 2023, there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assets or liabilities associated with Energy Systems Group classified as held for sale as of March 31, 2024. For a discussion of guarantees and product warranties related to Energy Systems Group prior to the sale, see Note 13(b).</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recognized a loss on sale of approximately $13 million, including $3 million of transaction costs, during the year ended December 31, 2023, in connection with the closing of the sale of Energy Systems Group. Additionally, CenterPoint Energy recognized a current tax expense of $32 million during the year ended December 31, 2023, as a result of the cash taxes payable upon the closing of the sale.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pre-tax loss for Energy Systems Group, excluding interest and corporate allocations, included in CenterPoint Energy’s Condensed Statements of Consolidated Income is as follows:</w:t>
      </w:r>
    </w:p>
    <w:p>
      <w:pPr>
        <w:pStyle w:val="TextBody"/>
        <w:bidi w:val="0"/>
        <w:spacing w:before="0" w:after="0"/>
        <w:ind w:left="0" w:right="0" w:firstLine="360"/>
        <w:jc w:val="both"/>
        <w:rPr/>
      </w:pPr>
      <w:r>
        <w:rPr/>
      </w:r>
    </w:p>
    <w:tbl>
      <w:tblPr>
        <w:tblW w:w="7404" w:type="dxa"/>
        <w:jc w:val="left"/>
        <w:tblInd w:w="0" w:type="dxa"/>
        <w:tblLayout w:type="fixed"/>
        <w:tblCellMar>
          <w:top w:w="28" w:type="dxa"/>
          <w:left w:w="28" w:type="dxa"/>
          <w:bottom w:w="28" w:type="dxa"/>
          <w:right w:w="28" w:type="dxa"/>
        </w:tblCellMar>
      </w:tblPr>
      <w:tblGrid>
        <w:gridCol w:w="1479"/>
        <w:gridCol w:w="1296"/>
        <w:gridCol w:w="1305"/>
        <w:gridCol w:w="941"/>
        <w:gridCol w:w="1156"/>
        <w:gridCol w:w="528"/>
        <w:gridCol w:w="109"/>
        <w:gridCol w:w="109"/>
        <w:gridCol w:w="109"/>
        <w:gridCol w:w="109"/>
        <w:gridCol w:w="109"/>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Continuing Operations Before Income Taxes</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Revenue Recognition and Allowance for Credit Losses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revenues by reportable segment and major source: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7711" w:type="dxa"/>
        <w:jc w:val="left"/>
        <w:tblInd w:w="0" w:type="dxa"/>
        <w:tblLayout w:type="fixed"/>
        <w:tblCellMar>
          <w:top w:w="28" w:type="dxa"/>
          <w:left w:w="28" w:type="dxa"/>
          <w:bottom w:w="28" w:type="dxa"/>
          <w:right w:w="28" w:type="dxa"/>
        </w:tblCellMar>
      </w:tblPr>
      <w:tblGrid>
        <w:gridCol w:w="1057"/>
        <w:gridCol w:w="932"/>
        <w:gridCol w:w="935"/>
        <w:gridCol w:w="196"/>
        <w:gridCol w:w="556"/>
        <w:gridCol w:w="109"/>
        <w:gridCol w:w="109"/>
        <w:gridCol w:w="109"/>
        <w:gridCol w:w="109"/>
        <w:gridCol w:w="249"/>
        <w:gridCol w:w="707"/>
        <w:gridCol w:w="138"/>
        <w:gridCol w:w="109"/>
        <w:gridCol w:w="109"/>
        <w:gridCol w:w="109"/>
        <w:gridCol w:w="339"/>
        <w:gridCol w:w="416"/>
        <w:gridCol w:w="190"/>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Natural Gas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7576" w:type="dxa"/>
        <w:jc w:val="left"/>
        <w:tblInd w:w="0" w:type="dxa"/>
        <w:tblLayout w:type="fixed"/>
        <w:tblCellMar>
          <w:top w:w="28" w:type="dxa"/>
          <w:left w:w="28" w:type="dxa"/>
          <w:bottom w:w="28" w:type="dxa"/>
          <w:right w:w="28" w:type="dxa"/>
        </w:tblCellMar>
      </w:tblPr>
      <w:tblGrid>
        <w:gridCol w:w="1057"/>
        <w:gridCol w:w="932"/>
        <w:gridCol w:w="935"/>
        <w:gridCol w:w="196"/>
        <w:gridCol w:w="421"/>
        <w:gridCol w:w="109"/>
        <w:gridCol w:w="109"/>
        <w:gridCol w:w="109"/>
        <w:gridCol w:w="109"/>
        <w:gridCol w:w="239"/>
        <w:gridCol w:w="678"/>
        <w:gridCol w:w="133"/>
        <w:gridCol w:w="109"/>
        <w:gridCol w:w="109"/>
        <w:gridCol w:w="109"/>
        <w:gridCol w:w="304"/>
        <w:gridCol w:w="514"/>
        <w:gridCol w:w="171"/>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926" w:type="dxa"/>
            <w:gridSpan w:val="18"/>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br/>
              <w:t xml:space="preserv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Total lease income was $2 million for both the three months ended March 31, 2024 and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6820" w:type="dxa"/>
        <w:jc w:val="left"/>
        <w:tblInd w:w="0" w:type="dxa"/>
        <w:tblLayout w:type="fixed"/>
        <w:tblCellMar>
          <w:top w:w="28" w:type="dxa"/>
          <w:left w:w="28" w:type="dxa"/>
          <w:bottom w:w="28" w:type="dxa"/>
          <w:right w:w="28" w:type="dxa"/>
        </w:tblCellMar>
      </w:tblPr>
      <w:tblGrid>
        <w:gridCol w:w="1057"/>
        <w:gridCol w:w="932"/>
        <w:gridCol w:w="935"/>
        <w:gridCol w:w="109"/>
        <w:gridCol w:w="109"/>
        <w:gridCol w:w="298"/>
        <w:gridCol w:w="298"/>
        <w:gridCol w:w="535"/>
        <w:gridCol w:w="1151"/>
        <w:gridCol w:w="298"/>
        <w:gridCol w:w="109"/>
        <w:gridCol w:w="109"/>
        <w:gridCol w:w="109"/>
        <w:gridCol w:w="196"/>
        <w:gridCol w:w="42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Lease income was not significant for the three months ended March 31,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CERC</w:t>
      </w:r>
    </w:p>
    <w:tbl>
      <w:tblPr>
        <w:tblW w:w="6952" w:type="dxa"/>
        <w:jc w:val="left"/>
        <w:tblInd w:w="0" w:type="dxa"/>
        <w:tblLayout w:type="fixed"/>
        <w:tblCellMar>
          <w:top w:w="28" w:type="dxa"/>
          <w:left w:w="28" w:type="dxa"/>
          <w:bottom w:w="28" w:type="dxa"/>
          <w:right w:w="28" w:type="dxa"/>
        </w:tblCellMar>
      </w:tblPr>
      <w:tblGrid>
        <w:gridCol w:w="1057"/>
        <w:gridCol w:w="932"/>
        <w:gridCol w:w="935"/>
        <w:gridCol w:w="109"/>
        <w:gridCol w:w="109"/>
        <w:gridCol w:w="260"/>
        <w:gridCol w:w="260"/>
        <w:gridCol w:w="468"/>
        <w:gridCol w:w="1329"/>
        <w:gridCol w:w="260"/>
        <w:gridCol w:w="109"/>
        <w:gridCol w:w="109"/>
        <w:gridCol w:w="109"/>
        <w:gridCol w:w="196"/>
        <w:gridCol w:w="55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Lease income was not significant for the three months ended March 31,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from Contracts with Customers</w:t>
      </w:r>
    </w:p>
    <w:p>
      <w:pPr>
        <w:pStyle w:val="TextBody"/>
        <w:bidi w:val="0"/>
        <w:spacing w:before="0" w:after="0"/>
        <w:jc w:val="both"/>
        <w:rPr/>
      </w:pPr>
      <w:r>
        <w:rPr/>
      </w:r>
    </w:p>
    <w:p>
      <w:pPr>
        <w:pStyle w:val="TextBody"/>
        <w:bidi w:val="0"/>
        <w:spacing w:lineRule="auto" w:line="288" w:before="3" w:after="283"/>
        <w:ind w:left="0" w:right="0" w:firstLine="360"/>
        <w:jc w:val="both"/>
        <w:rPr/>
      </w:pPr>
      <w:r>
        <w:rPr>
          <w:rFonts w:ascii="Times New Roman;sans-serif" w:hAnsi="Times New Roman;sans-serif"/>
          <w:b/>
          <w:i/>
          <w:color w:val="000000"/>
          <w:sz w:val="20"/>
        </w:rPr>
        <w:t xml:space="preserve">Electric (CenterPoint Energy and Houston Electric). </w:t>
      </w:r>
      <w:r>
        <w:rPr>
          <w:rFonts w:ascii="Times New Roman;sans-serif" w:hAnsi="Times New Roman;sans-serif"/>
          <w:b w:val="false"/>
          <w:color w:val="000000"/>
          <w:sz w:val="20"/>
        </w:rPr>
        <w:t>Houston Electric distributes electricity to customers over time and customers consume the 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Natural Gas (CenterPoint Energy and CERC). </w:t>
      </w:r>
      <w:r>
        <w:rPr>
          <w:rFonts w:ascii="Times New Roman;sans-serif" w:hAnsi="Times New Roman;sans-serif"/>
          <w:b w:val="false"/>
          <w:color w:val="000000"/>
          <w:sz w:val="20"/>
        </w:rPr>
        <w:t>CenterPoint Energy and CERC distribute and transport natural gas to customers over time and 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provided at a point in time with control transferring upon completion of the service. Revenue for discretionary services is recognized upon completion of service based on the tariff rates set by the applicable state regulator. Payments of natural gas distribution, transportation and discretionary services are aggregated and received on a monthly basis.</w:t>
      </w:r>
    </w:p>
    <w:p>
      <w:pPr>
        <w:pStyle w:val="TextBody"/>
        <w:bidi w:val="0"/>
        <w:spacing w:before="3" w:after="283"/>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221F1F"/>
          <w:sz w:val="20"/>
        </w:rPr>
        <w:t xml:space="preserve">Contract Balances. </w:t>
      </w:r>
      <w:r>
        <w:rPr>
          <w:rFonts w:ascii="Times New Roman;sans-serif" w:hAnsi="Times New Roman;sans-serif"/>
          <w:b w:val="false"/>
          <w:color w:val="221F1F"/>
          <w:sz w:val="20"/>
        </w:rPr>
        <w:t>When the timing of delivery of service is different from the timing of the payments made by customers and when the right to consideration is conditioned on something other than the passage of time, the Registrants recognize a contract liability when customer payment precedes performance. Those customers that prepay are represented by contract liabilities until the performance obligations are satisfied. The Registrants’ contract liabilities are included in Accounts payable and Other current liabilities</w:t>
      </w:r>
      <w:r>
        <w:rPr>
          <w:color w:val="221F1F"/>
        </w:rPr>
        <w:t xml:space="preserve"> </w:t>
      </w:r>
      <w:r>
        <w:rPr>
          <w:rFonts w:ascii="Times New Roman;sans-serif" w:hAnsi="Times New Roman;sans-serif"/>
          <w:b w:val="false"/>
          <w:color w:val="221F1F"/>
          <w:sz w:val="20"/>
        </w:rPr>
        <w:t>in their Condensed Consolidated Balance Sheets.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opening and closing balances of accounts receivable, other accrued unbilled revenues and contract liabilities from contracts with customers are as follows: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9938" w:type="dxa"/>
        <w:jc w:val="left"/>
        <w:tblInd w:w="0" w:type="dxa"/>
        <w:tblLayout w:type="fixed"/>
        <w:tblCellMar>
          <w:top w:w="28" w:type="dxa"/>
          <w:left w:w="28" w:type="dxa"/>
          <w:bottom w:w="28" w:type="dxa"/>
          <w:right w:w="28" w:type="dxa"/>
        </w:tblCellMar>
      </w:tblPr>
      <w:tblGrid>
        <w:gridCol w:w="1151"/>
        <w:gridCol w:w="1013"/>
        <w:gridCol w:w="1016"/>
        <w:gridCol w:w="453"/>
        <w:gridCol w:w="974"/>
        <w:gridCol w:w="253"/>
        <w:gridCol w:w="109"/>
        <w:gridCol w:w="109"/>
        <w:gridCol w:w="109"/>
        <w:gridCol w:w="719"/>
        <w:gridCol w:w="1606"/>
        <w:gridCol w:w="404"/>
        <w:gridCol w:w="109"/>
        <w:gridCol w:w="109"/>
        <w:gridCol w:w="109"/>
        <w:gridCol w:w="358"/>
        <w:gridCol w:w="440"/>
        <w:gridCol w:w="897"/>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Accrued Unbilled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Contract Liabilities</w:t>
            </w:r>
            <w:r>
              <w:rPr>
                <w:color w:val="000000"/>
              </w:rPr>
              <w:t xml:space="preserve"> </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Opening balance as of December 31, 2023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Closing balance as of March 31, 2024</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89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amount of revenue recognized during the three months ended March 31, 2024 that was included in the opening contract liability was $1 million. The difference between the opening and closing balances of the contract liabilities primarily results from the timing difference between CenterPoint Energy’s performance and the customer’s payment.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10051" w:type="dxa"/>
        <w:jc w:val="center"/>
        <w:tblInd w:w="0" w:type="dxa"/>
        <w:tblLayout w:type="fixed"/>
        <w:tblCellMar>
          <w:top w:w="28" w:type="dxa"/>
          <w:left w:w="28" w:type="dxa"/>
          <w:bottom w:w="28" w:type="dxa"/>
          <w:right w:w="28" w:type="dxa"/>
        </w:tblCellMar>
      </w:tblPr>
      <w:tblGrid>
        <w:gridCol w:w="1134"/>
        <w:gridCol w:w="999"/>
        <w:gridCol w:w="1002"/>
        <w:gridCol w:w="453"/>
        <w:gridCol w:w="974"/>
        <w:gridCol w:w="253"/>
        <w:gridCol w:w="109"/>
        <w:gridCol w:w="109"/>
        <w:gridCol w:w="109"/>
        <w:gridCol w:w="737"/>
        <w:gridCol w:w="1581"/>
        <w:gridCol w:w="412"/>
        <w:gridCol w:w="109"/>
        <w:gridCol w:w="109"/>
        <w:gridCol w:w="109"/>
        <w:gridCol w:w="109"/>
        <w:gridCol w:w="109"/>
        <w:gridCol w:w="345"/>
        <w:gridCol w:w="424"/>
        <w:gridCol w:w="865"/>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Accrued Unbilled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 Liabilities</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961"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Opening balance as of December 31, 2023</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Closing balance as of March 31, 2024</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amount of revenue recognized during the three months ended March 31, 2024 that was included in the opening contract liability was $1 million. The difference between the opening and closing balances of the contract liabilities primarily results from the timing difference between Houston Electric’s performance and the customer’s payment.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CERC</w:t>
      </w:r>
    </w:p>
    <w:tbl>
      <w:tblPr>
        <w:tblW w:w="8908" w:type="dxa"/>
        <w:jc w:val="center"/>
        <w:tblInd w:w="0" w:type="dxa"/>
        <w:tblLayout w:type="fixed"/>
        <w:tblCellMar>
          <w:top w:w="28" w:type="dxa"/>
          <w:left w:w="28" w:type="dxa"/>
          <w:bottom w:w="28" w:type="dxa"/>
          <w:right w:w="28" w:type="dxa"/>
        </w:tblCellMar>
      </w:tblPr>
      <w:tblGrid>
        <w:gridCol w:w="1134"/>
        <w:gridCol w:w="999"/>
        <w:gridCol w:w="1002"/>
        <w:gridCol w:w="453"/>
        <w:gridCol w:w="974"/>
        <w:gridCol w:w="253"/>
        <w:gridCol w:w="109"/>
        <w:gridCol w:w="109"/>
        <w:gridCol w:w="109"/>
        <w:gridCol w:w="737"/>
        <w:gridCol w:w="1581"/>
        <w:gridCol w:w="412"/>
        <w:gridCol w:w="109"/>
        <w:gridCol w:w="109"/>
        <w:gridCol w:w="109"/>
        <w:gridCol w:w="109"/>
        <w:gridCol w:w="109"/>
        <w:gridCol w:w="491"/>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Accrued Unbilled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4"/>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Opening balance as of December 31, 2023</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Closing balance as of March 31, 2024</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CERC does not have any opening or closing contract asset or contract liability balances.</w:t>
      </w:r>
    </w:p>
    <w:p>
      <w:pPr>
        <w:pStyle w:val="TextBody"/>
        <w:bidi w:val="0"/>
        <w:spacing w:before="3" w:after="283"/>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221E1F"/>
          <w:sz w:val="20"/>
        </w:rPr>
        <w:t>Remaining Performance Obligations (CenterPoint Energy).</w:t>
      </w:r>
      <w:r>
        <w:rPr>
          <w:color w:val="221E1F"/>
        </w:rPr>
        <w:t xml:space="preserve"> </w:t>
      </w:r>
      <w:r>
        <w:rPr>
          <w:rFonts w:ascii="Times New Roman;sans-serif" w:hAnsi="Times New Roman;sans-serif"/>
          <w:b w:val="false"/>
          <w:color w:val="221E1F"/>
          <w:sz w:val="20"/>
        </w:rPr>
        <w:t>Following the completed sale of Energy Systems Group on June 30, 2023, CenterPoint Energy had no remaining performance obligations.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Practical Expedients and Exemption. </w:t>
      </w:r>
      <w:r>
        <w:rPr>
          <w:rFonts w:ascii="Times New Roman;sans-serif" w:hAnsi="Times New Roman;sans-serif"/>
          <w:b w:val="false"/>
          <w:color w:val="000000"/>
          <w:sz w:val="20"/>
        </w:rPr>
        <w:t xml:space="preserve">Sales taxes and other similar taxes collected from customers are excluded from the transaction price. </w:t>
      </w:r>
      <w:r>
        <w:rPr>
          <w:rFonts w:ascii="Times New Roman;sans-serif" w:hAnsi="Times New Roman;sans-serif"/>
          <w:b w:val="false"/>
          <w:color w:val="221F1F"/>
          <w:sz w:val="20"/>
        </w:rPr>
        <w:t>For contracts for which revenue from the satisfaction of the performance obligations is recognized in the amount invoiced, the practical expedient was elected and revenue expected to be recognized on these contracts has not been disclosed.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221F1F"/>
          <w:sz w:val="20"/>
        </w:rPr>
      </w:pPr>
      <w:r>
        <w:rPr>
          <w:rFonts w:ascii="Times New Roman;sans-serif" w:hAnsi="Times New Roman;sans-serif"/>
          <w:b/>
          <w:color w:val="221F1F"/>
          <w:sz w:val="20"/>
        </w:rPr>
        <w:t>Allowance for Credit Losses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 xml:space="preserve">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221F1F"/>
          <w:sz w:val="20"/>
        </w:rPr>
        <w:t>Topic 326, primarily due to the nature of its customers and regulatory environment. For a discussion of regulatory deferrals, see Note 6</w:t>
      </w:r>
      <w:r>
        <w:rPr>
          <w:rFonts w:ascii="Times New Roman;sans-serif" w:hAnsi="Times New Roman;sans-serif"/>
          <w:b/>
          <w:color w:val="221F1F"/>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Employee Benefit Plans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Pension Benefits (CenterPoint Energy)</w:t>
      </w:r>
    </w:p>
    <w:tbl>
      <w:tblPr>
        <w:tblW w:w="6324" w:type="dxa"/>
        <w:jc w:val="left"/>
        <w:tblInd w:w="0" w:type="dxa"/>
        <w:tblLayout w:type="fixed"/>
        <w:tblCellMar>
          <w:top w:w="28" w:type="dxa"/>
          <w:left w:w="28" w:type="dxa"/>
          <w:bottom w:w="28" w:type="dxa"/>
          <w:right w:w="28" w:type="dxa"/>
        </w:tblCellMar>
      </w:tblPr>
      <w:tblGrid>
        <w:gridCol w:w="912"/>
        <w:gridCol w:w="799"/>
        <w:gridCol w:w="808"/>
        <w:gridCol w:w="109"/>
        <w:gridCol w:w="109"/>
        <w:gridCol w:w="329"/>
        <w:gridCol w:w="329"/>
        <w:gridCol w:w="592"/>
        <w:gridCol w:w="1000"/>
        <w:gridCol w:w="329"/>
        <w:gridCol w:w="109"/>
        <w:gridCol w:w="109"/>
        <w:gridCol w:w="109"/>
        <w:gridCol w:w="196"/>
        <w:gridCol w:w="33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08"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net loss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cost (2)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presented in the table above are included in Operation and maintenance expense in CenterPoint Energy’s Condensed Statements of Consolidated Income, net of amounts capitalized and regulatory deferrals.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(2)Amounts presented in the table above are included in Other income, net in CenterPoint Energy’s Condensed Statements of Consolidated Income, net of regulatory deferrals.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(3)Amounts presented represent a one-time, non-cash settlement cost, prior to regulatory deferrals, which are required when the total lump sum distributions or other settlements of plan benefit obligations during a plan year exceed the service cost and interest cost components of the net periodic cost for that year.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Postretirement Benefits</w:t>
      </w:r>
    </w:p>
    <w:tbl>
      <w:tblPr>
        <w:tblW w:w="10205" w:type="dxa"/>
        <w:jc w:val="left"/>
        <w:tblInd w:w="0" w:type="dxa"/>
        <w:tblLayout w:type="fixed"/>
        <w:tblCellMar>
          <w:top w:w="28" w:type="dxa"/>
          <w:left w:w="28" w:type="dxa"/>
          <w:bottom w:w="28" w:type="dxa"/>
          <w:right w:w="28" w:type="dxa"/>
        </w:tblCellMar>
      </w:tblPr>
      <w:tblGrid>
        <w:gridCol w:w="951"/>
        <w:gridCol w:w="675"/>
        <w:gridCol w:w="683"/>
        <w:gridCol w:w="477"/>
        <w:gridCol w:w="623"/>
        <w:gridCol w:w="268"/>
        <w:gridCol w:w="109"/>
        <w:gridCol w:w="109"/>
        <w:gridCol w:w="109"/>
        <w:gridCol w:w="386"/>
        <w:gridCol w:w="504"/>
        <w:gridCol w:w="216"/>
        <w:gridCol w:w="109"/>
        <w:gridCol w:w="109"/>
        <w:gridCol w:w="109"/>
        <w:gridCol w:w="226"/>
        <w:gridCol w:w="278"/>
        <w:gridCol w:w="127"/>
        <w:gridCol w:w="109"/>
        <w:gridCol w:w="109"/>
        <w:gridCol w:w="109"/>
        <w:gridCol w:w="376"/>
        <w:gridCol w:w="781"/>
        <w:gridCol w:w="211"/>
        <w:gridCol w:w="109"/>
        <w:gridCol w:w="109"/>
        <w:gridCol w:w="109"/>
        <w:gridCol w:w="386"/>
        <w:gridCol w:w="504"/>
        <w:gridCol w:w="216"/>
        <w:gridCol w:w="109"/>
        <w:gridCol w:w="109"/>
        <w:gridCol w:w="109"/>
        <w:gridCol w:w="224"/>
        <w:gridCol w:w="275"/>
        <w:gridCol w:w="183"/>
      </w:tblGrid>
      <w:tr>
        <w:trPr/>
        <w:tc>
          <w:tcPr>
            <w:tcW w:w="95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6528" w:type="dxa"/>
            <w:gridSpan w:val="30"/>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5095" w:type="dxa"/>
            <w:gridSpan w:val="24"/>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6528" w:type="dxa"/>
            <w:gridSpan w:val="30"/>
            <w:tcBorders/>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6"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 (1)</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 (1)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prior service cost (credit) (1)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net loss (1)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cost (benefit)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presented in the tables above are included in Other income (expense), net in each of the Registrants’ respective Condensed Statements of Consolidated Income, net of regulatory deferrals.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expected contributions to be made to the pension and postretirement benefit plans during 2024:</w:t>
      </w:r>
    </w:p>
    <w:tbl>
      <w:tblPr>
        <w:tblW w:w="9585" w:type="dxa"/>
        <w:jc w:val="left"/>
        <w:tblInd w:w="0" w:type="dxa"/>
        <w:tblLayout w:type="fixed"/>
        <w:tblCellMar>
          <w:top w:w="28" w:type="dxa"/>
          <w:left w:w="28" w:type="dxa"/>
          <w:bottom w:w="28" w:type="dxa"/>
          <w:right w:w="28" w:type="dxa"/>
        </w:tblCellMar>
      </w:tblPr>
      <w:tblGrid>
        <w:gridCol w:w="1863"/>
        <w:gridCol w:w="1637"/>
        <w:gridCol w:w="1645"/>
        <w:gridCol w:w="598"/>
        <w:gridCol w:w="726"/>
        <w:gridCol w:w="311"/>
        <w:gridCol w:w="109"/>
        <w:gridCol w:w="109"/>
        <w:gridCol w:w="109"/>
        <w:gridCol w:w="400"/>
        <w:gridCol w:w="771"/>
        <w:gridCol w:w="209"/>
        <w:gridCol w:w="109"/>
        <w:gridCol w:w="109"/>
        <w:gridCol w:w="109"/>
        <w:gridCol w:w="211"/>
        <w:gridCol w:w="40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contribution to pension plans during 2024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contribution to postretirement benefit plans in 2024</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contributions made to the pension and postretirement benefit plans during the period presented:</w:t>
      </w:r>
    </w:p>
    <w:tbl>
      <w:tblPr>
        <w:tblW w:w="8390" w:type="dxa"/>
        <w:jc w:val="left"/>
        <w:tblInd w:w="0" w:type="dxa"/>
        <w:tblLayout w:type="fixed"/>
        <w:tblCellMar>
          <w:top w:w="28" w:type="dxa"/>
          <w:left w:w="28" w:type="dxa"/>
          <w:bottom w:w="28" w:type="dxa"/>
          <w:right w:w="28" w:type="dxa"/>
        </w:tblCellMar>
      </w:tblPr>
      <w:tblGrid>
        <w:gridCol w:w="861"/>
        <w:gridCol w:w="759"/>
        <w:gridCol w:w="765"/>
        <w:gridCol w:w="109"/>
        <w:gridCol w:w="109"/>
        <w:gridCol w:w="321"/>
        <w:gridCol w:w="321"/>
        <w:gridCol w:w="321"/>
        <w:gridCol w:w="321"/>
        <w:gridCol w:w="622"/>
        <w:gridCol w:w="755"/>
        <w:gridCol w:w="321"/>
        <w:gridCol w:w="109"/>
        <w:gridCol w:w="109"/>
        <w:gridCol w:w="109"/>
        <w:gridCol w:w="400"/>
        <w:gridCol w:w="771"/>
        <w:gridCol w:w="209"/>
        <w:gridCol w:w="109"/>
        <w:gridCol w:w="109"/>
        <w:gridCol w:w="109"/>
        <w:gridCol w:w="211"/>
        <w:gridCol w:w="406"/>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2805" w:type="dxa"/>
            <w:gridSpan w:val="1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CenterPoint Energy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Regulatory Matters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Equity Return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9"/>
        <w:gridCol w:w="510"/>
        <w:gridCol w:w="511"/>
        <w:gridCol w:w="398"/>
        <w:gridCol w:w="857"/>
        <w:gridCol w:w="224"/>
        <w:gridCol w:w="109"/>
        <w:gridCol w:w="109"/>
        <w:gridCol w:w="109"/>
        <w:gridCol w:w="375"/>
        <w:gridCol w:w="632"/>
        <w:gridCol w:w="209"/>
        <w:gridCol w:w="109"/>
        <w:gridCol w:w="109"/>
        <w:gridCol w:w="109"/>
        <w:gridCol w:w="235"/>
        <w:gridCol w:w="398"/>
        <w:gridCol w:w="130"/>
        <w:gridCol w:w="109"/>
        <w:gridCol w:w="109"/>
        <w:gridCol w:w="109"/>
        <w:gridCol w:w="398"/>
        <w:gridCol w:w="857"/>
        <w:gridCol w:w="224"/>
        <w:gridCol w:w="109"/>
        <w:gridCol w:w="109"/>
        <w:gridCol w:w="109"/>
        <w:gridCol w:w="375"/>
        <w:gridCol w:w="632"/>
        <w:gridCol w:w="209"/>
        <w:gridCol w:w="109"/>
        <w:gridCol w:w="109"/>
        <w:gridCol w:w="109"/>
        <w:gridCol w:w="232"/>
        <w:gridCol w:w="393"/>
        <w:gridCol w:w="192"/>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 (3)</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equity return</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addition to the amounts described in (2) and (3) below, represents CenterPoint Energy’s allowed equity return on post in-service carrying cost generally associated with investments in Indiana.</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Houston Electric’s allowed equity return on its true-up balance of stranded costs, other changes and related interest resulting from the formerly integrated electric utilities prior to Texas deregulation to be recovered in rates through 2024 and certain TEEEF costs and storm restoration costs.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(3)CERC’s allowed equity return on post in-service carrying cost associated with certain distribution facilities replacements expenditures in Texas and costs associated with investments in Indiana.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amount of allowed equity return recognized by each Registrant in its Condensed Statements of Consolidated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1"/>
        <w:gridCol w:w="633"/>
        <w:gridCol w:w="635"/>
        <w:gridCol w:w="518"/>
        <w:gridCol w:w="638"/>
        <w:gridCol w:w="290"/>
        <w:gridCol w:w="109"/>
        <w:gridCol w:w="109"/>
        <w:gridCol w:w="109"/>
        <w:gridCol w:w="424"/>
        <w:gridCol w:w="524"/>
        <w:gridCol w:w="238"/>
        <w:gridCol w:w="109"/>
        <w:gridCol w:w="109"/>
        <w:gridCol w:w="109"/>
        <w:gridCol w:w="226"/>
        <w:gridCol w:w="278"/>
        <w:gridCol w:w="127"/>
        <w:gridCol w:w="109"/>
        <w:gridCol w:w="109"/>
        <w:gridCol w:w="109"/>
        <w:gridCol w:w="518"/>
        <w:gridCol w:w="638"/>
        <w:gridCol w:w="290"/>
        <w:gridCol w:w="109"/>
        <w:gridCol w:w="109"/>
        <w:gridCol w:w="109"/>
        <w:gridCol w:w="424"/>
        <w:gridCol w:w="524"/>
        <w:gridCol w:w="238"/>
        <w:gridCol w:w="109"/>
        <w:gridCol w:w="109"/>
        <w:gridCol w:w="109"/>
        <w:gridCol w:w="224"/>
        <w:gridCol w:w="275"/>
        <w:gridCol w:w="187"/>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Allowed equity return recognized</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98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6770" w:type="dxa"/>
            <w:gridSpan w:val="30"/>
            <w:tcBorders/>
          </w:tcPr>
          <w:p>
            <w:pPr>
              <w:pStyle w:val="TableContents"/>
              <w:bidi w:val="0"/>
              <w:spacing w:before="0" w:after="283"/>
              <w:jc w:val="left"/>
              <w:rPr>
                <w:sz w:val="4"/>
                <w:szCs w:val="4"/>
              </w:rPr>
            </w:pPr>
            <w:r>
              <w:rPr>
                <w:sz w:val="4"/>
                <w:szCs w:val="4"/>
              </w:rPr>
            </w:r>
          </w:p>
        </w:tc>
      </w:tr>
      <w:tr>
        <w:trPr/>
        <w:tc>
          <w:tcPr>
            <w:tcW w:w="198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5257" w:type="dxa"/>
            <w:gridSpan w:val="24"/>
            <w:tcBorders/>
          </w:tcPr>
          <w:p>
            <w:pPr>
              <w:pStyle w:val="TableContents"/>
              <w:bidi w:val="0"/>
              <w:spacing w:before="0" w:after="283"/>
              <w:jc w:val="left"/>
              <w:rPr>
                <w:sz w:val="4"/>
                <w:szCs w:val="4"/>
              </w:rPr>
            </w:pPr>
            <w:r>
              <w:rPr>
                <w:sz w:val="4"/>
                <w:szCs w:val="4"/>
              </w:rPr>
            </w:r>
          </w:p>
        </w:tc>
      </w:tr>
      <w:tr>
        <w:trPr/>
        <w:tc>
          <w:tcPr>
            <w:tcW w:w="198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98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6770" w:type="dxa"/>
            <w:gridSpan w:val="30"/>
            <w:tcBorders/>
          </w:tcPr>
          <w:p>
            <w:pPr>
              <w:pStyle w:val="TableContents"/>
              <w:bidi w:val="0"/>
              <w:spacing w:before="0" w:after="283"/>
              <w:jc w:val="left"/>
              <w:rPr>
                <w:sz w:val="4"/>
                <w:szCs w:val="4"/>
              </w:rPr>
            </w:pPr>
            <w:r>
              <w:rPr>
                <w:sz w:val="4"/>
                <w:szCs w:val="4"/>
              </w:rPr>
            </w:r>
          </w:p>
        </w:tc>
      </w:tr>
      <w:tr>
        <w:trPr/>
        <w:tc>
          <w:tcPr>
            <w:tcW w:w="198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February 2021 Winter Storm Event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and Texas, and continue to recover the natural gas cost in Louisiana and Minnesota. As of March 31, 2024, CenterPoint Energy and CERC have each recorded current regulatory assets of $69 million and non-current regulatory assets of $104 million associated with the February 2021 Winter Storm Event. As of December 31, 2023, CenterPoint Energy and CERC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had each recorded current regulatory assets of $86 million and non-current regulatory assets of $130 million associated with the February 2021 Winter Storm Event.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August 24, 2023, the LPSC Staff issued an audit report which recommends some prospective process changes to the gas supply bid process and did not recommend any disallowance of February 2021 Winter Storm Event gas costs incurred in Louisiana. Recovery of such costs remains subject to LPSC approval.</w:t>
      </w:r>
      <w:r>
        <w:rPr>
          <w:color w:val="000000"/>
        </w:rPr>
        <w:t xml:space="preserve"> </w:t>
      </w:r>
      <w:r>
        <w:rPr>
          <w:rFonts w:ascii="Times New Roman;sans-serif" w:hAnsi="Times New Roman;sans-serif"/>
          <w:b w:val="false"/>
          <w:color w:val="000000"/>
          <w:sz w:val="20"/>
        </w:rPr>
        <w:t>On December 19, 2023, the LPSC issued an order which accepted and approved the audit report.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both March 31, 2024 and December 31, 2023, as authorized by the PUCT, both CenterPoint Energy and Houston Electric recorded a regulatory asset of $8 million for bad debt expenses resulting from REPs’ default on their obligation to pay delivery charges to Houston Electric net of collateral. Additionally, both CenterPoint Energy and Houston Electric recorded a regulatory asset of $18 million and $17 million as of both March 31, 2024 and December 31, 2023, respectively, and have requested reimbursement of costs associated with the February 2021 Winter Storm Event in Houston Electric’s rate case.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13(c) for further information regarding litigation related to the February 2021 Winter Storm Event.</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Texas Public Securitization</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The proceeds from the state’s customer rate relief bonds included carrying costs incurred through August 2022. Incremental carrying costs incurred after August 2022 until the date the proceeds were received are recorded in a separate regulatory asset; the current CERC rate proceeding in Texas includes a request for recovery of this regulatory asset. As CenterPoint Energy and CERC have no future financial obligations for the repayment of the state’s customer rate relief bonds, the customer rate relief bonds are not recorded on CenterPoint Energy’s or CERC’s balance sheets. The $1.1 billion in cash proceeds from the state’s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Condensed Statements of Consolidated Income of CenterPoint Energy or CERC.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U.S. generally accepted accounting principles have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Energy and CERC reflect the proceeds from the grant as a deduction to natural gas costs and recognized the $1.1 billion of cash proceeds from the state’s customer rate relief bonds within Utility natural gas expense on their respective Condensed Statements of Consolidated Income in the three months ended March 31, 2023, net of the recognition of natural gas cost related to relieving CenterPoint Energy and CERC’s regulatory assets related to the February 2021 Winter Storm Event in the same period.</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Indiana Electric Securitization of Generation Retirements (CenterPoint Energy)</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January 4, 2023, the IURC issued an order in accordance with Indiana Senate Enrolled Act 386 authorizing the issuance of up to $350 million in securitization bonds to securitize qualified costs associated with the retirements of Indiana Electric’s</w:t>
      </w:r>
      <w:r>
        <w:rPr>
          <w:color w:val="000000"/>
        </w:rPr>
        <w:t xml:space="preserve"> </w:t>
      </w:r>
      <w:r>
        <w:rPr>
          <w:rFonts w:ascii="Times New Roman;sans-serif" w:hAnsi="Times New Roman;sans-serif"/>
          <w:b w:val="false"/>
          <w:color w:val="000000"/>
          <w:sz w:val="20"/>
        </w:rPr>
        <w:t>A.B. Brown coal-fired generation facilities.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In the first quarter of 2023, upon receipt of the order, CenterPoint Energy reclassified property, plant and equipment to be recovered through securitization to a regulatory asset and such amounts continued to earn a full return until recovered through securitization.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SIGECO Securitization Subsidiary issued $341 million aggregate principal amount of the SIGECO Securitization Bonds on June 29, 2023. The SIGECO Securitization Subsidiary used a portion of the net proceeds from the issuance of the SIGECO Securitization Bonds to purchase the securitization property from SIGECO. No gain or loss was recognized.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SIGECO Securitization Bonds are secured by the securitization property, which includes the right to recover, through non-bypassable securitization charges payable by SIGECO’s retail electric customers, the qualified costs of SIGECO authorized by the IURC order.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Houston Electric TEEEF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legislation passed in 2021, Houston Electric entered into two leases for TEEEF (mobile generation) which are detailed in Note 19. Houston Electric initially sought recovery of the lease costs and the applicable return as of December 31, 2021 under these lease agreements of approximately $200 million in its DCRF application filed with the PUCT on April 5, 2022, and subsequently amended on July 1, 2022, to show mobile generation in a separate Rider TEEEF. A final order was issued on April 5, 2023 approving a revenue requirement of $39 million that results in full recovery of costs requested but lengthens the amortization period for the short-term lease to be collected over 82.5 months. On May 25, 2023, the PUCT issued its order on rehearing which clarified some of the findings, but did not change the approval of TEEEF cost recovery. Additional motions for rehearing were filed and the PUCT issued an order on August 3, 2023 denying the motions for rehearing. The deadline for a party to file a judicial appeal of the PUCT’s decision was September 5, 2023, and no appeal was filed. As such, the PUCT’s decision on the first TEEEF filing is now final and non-appealable.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April 5, 2023, Houston Electric made its second TEEEF filing requesting recovery of TEEEF related costs incurred through December 31, 2022. Houston Electric requested a new annual revenue requirement of approximately $188 million </w:t>
      </w:r>
      <w:r>
        <w:rPr>
          <w:rFonts w:ascii="Calibri;sans-serif" w:hAnsi="Calibri;sans-serif"/>
          <w:b w:val="false"/>
          <w:color w:val="000000"/>
          <w:sz w:val="20"/>
        </w:rPr>
        <w:t>u</w:t>
      </w:r>
      <w:r>
        <w:rPr>
          <w:rFonts w:ascii="Times New Roman;sans-serif" w:hAnsi="Times New Roman;sans-serif"/>
          <w:b w:val="false"/>
          <w:color w:val="000000"/>
          <w:sz w:val="20"/>
        </w:rPr>
        <w:t>sing 78 months to amortize the related deferred costs for proposed rates beginning September 2023, a net increase in TEEEF revenues of approximately $149 million</w:t>
      </w:r>
      <w:r>
        <w:rPr>
          <w:rFonts w:ascii="Calibri;sans-serif" w:hAnsi="Calibri;sans-serif"/>
          <w:b w:val="false"/>
          <w:color w:val="000000"/>
          <w:sz w:val="20"/>
        </w:rPr>
        <w:t>.</w:t>
      </w:r>
      <w:r>
        <w:rPr>
          <w:color w:val="000000"/>
        </w:rPr>
        <w:t xml:space="preserve"> </w:t>
      </w:r>
      <w:r>
        <w:rPr>
          <w:rFonts w:ascii="Times New Roman;sans-serif" w:hAnsi="Times New Roman;sans-serif"/>
          <w:b w:val="false"/>
          <w:color w:val="000000"/>
          <w:sz w:val="20"/>
        </w:rPr>
        <w:t>On July 18, 2023, the PUCT referred the case to the State Office of Administrative Hearings and on August 28, 2023, the State Office of Administrative Hearings issued an Order setting interim rates to collect an annual revenue requirement at the filed amount. Interim rates became effective on September 1, 2023 and are subject to surcharge or refund if they differ from the final rates approved by the PUCT. On October 12, 2023, a joint motion to abate was filed because the parties reached an agreement in principle on all issues.</w:t>
      </w:r>
      <w:r>
        <w:rPr>
          <w:color w:val="000000"/>
        </w:rPr>
        <w:t xml:space="preserve"> </w:t>
      </w:r>
      <w:r>
        <w:rPr>
          <w:rFonts w:ascii="Times New Roman;sans-serif" w:hAnsi="Times New Roman;sans-serif"/>
          <w:b w:val="false"/>
          <w:color w:val="000000"/>
          <w:sz w:val="20"/>
        </w:rPr>
        <w:t>The agreement in principle reduces the annual revenue requirement by approximately $35 million based on recovering the balance as of December 31, 2022 over a 102 month amortization period (instead of the 78 month period in the initial filing) and also allows for revised interim rates (to incorporate the agreement in principle and the initial interim rates that have been in place since September 1, 2023). The updated interim rates were implemented December 15, 2023. Pursuant to its order issued on February 1, 2024, the PUCT approved the agreement in principle.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March 31, 2024.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has not recorded any impairments on its right of use assets in the year ended December 31, 2023 or the three months ended March 31, 2024. See Note 19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Derivative Instruments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exposed to various market risks. These risks arise from transactions entered into in the normal course of business. The Registrants, from time to time, utilize derivative instruments such as swaps and options to mitigate the impact of changes in commodity prices, weather and interest rates on operating results and cash flows.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(a)Non-Trading Activities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Commodity Derivative Instruments (CenterPoint Energy and CERC).</w:t>
      </w:r>
      <w:r>
        <w:rPr>
          <w:color w:val="000000"/>
        </w:rPr>
        <w:t xml:space="preserve"> </w:t>
      </w:r>
      <w:r>
        <w:rPr>
          <w:rFonts w:ascii="Times New Roman;sans-serif" w:hAnsi="Times New Roman;sans-serif"/>
          <w:b w:val="false"/>
          <w:color w:val="000000"/>
          <w:sz w:val="20"/>
        </w:rPr>
        <w:t xml:space="preserve">CenterPoint Energy and CERC, through the Indiana Utilities they respectively own, enter into certain 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Interest Rate Risk Derivative Instruments (CenterPoint Energy and Houston Electric). </w:t>
      </w:r>
      <w:r>
        <w:rPr>
          <w:rFonts w:ascii="Times New Roman;sans-serif" w:hAnsi="Times New Roman;sans-serif"/>
          <w:b w:val="false"/>
          <w:color w:val="000000"/>
          <w:sz w:val="20"/>
        </w:rPr>
        <w:t>From time to time, the Registrants may enter into interest rate derivatives that are designated as economic or cash flow hedges. The objective of these hedges is to offset risk associated with interest rates borne by the Registrants in connection with an anticipated future fixed rate debt offering or other exposure to variable rate debt. Houston Electric and the Indiana Utilities have authority to refund and recover mark-to-market gains and losses associated with hedging financing activity, and thus the gains and losses on derivatives are deferred in a regulatory liability or asset.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Energy’s and Houston Electric’s outstanding interest rate hedging activity:</w:t>
      </w:r>
    </w:p>
    <w:tbl>
      <w:tblPr>
        <w:tblW w:w="5759" w:type="dxa"/>
        <w:jc w:val="left"/>
        <w:tblInd w:w="0" w:type="dxa"/>
        <w:tblLayout w:type="fixed"/>
        <w:tblCellMar>
          <w:top w:w="28" w:type="dxa"/>
          <w:left w:w="28" w:type="dxa"/>
          <w:bottom w:w="28" w:type="dxa"/>
          <w:right w:w="28" w:type="dxa"/>
        </w:tblCellMar>
      </w:tblPr>
      <w:tblGrid>
        <w:gridCol w:w="729"/>
        <w:gridCol w:w="639"/>
        <w:gridCol w:w="641"/>
        <w:gridCol w:w="109"/>
        <w:gridCol w:w="429"/>
        <w:gridCol w:w="429"/>
        <w:gridCol w:w="431"/>
        <w:gridCol w:w="109"/>
        <w:gridCol w:w="109"/>
        <w:gridCol w:w="109"/>
        <w:gridCol w:w="109"/>
        <w:gridCol w:w="109"/>
        <w:gridCol w:w="514"/>
        <w:gridCol w:w="514"/>
        <w:gridCol w:w="516"/>
        <w:gridCol w:w="109"/>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Hedging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w:t>
            </w:r>
          </w:p>
        </w:tc>
        <w:tc>
          <w:tcPr>
            <w:tcW w:w="1916"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916"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 (1) (2)</w:t>
            </w:r>
          </w:p>
        </w:tc>
        <w:tc>
          <w:tcPr>
            <w:tcW w:w="109"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 (2)</w:t>
            </w:r>
          </w:p>
        </w:tc>
        <w:tc>
          <w:tcPr>
            <w:tcW w:w="109"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Relates to interest rate derivative instruments at CenterPoint Energy with a termination date of December 31, 2029. The interest rate swap agreements were designated as cash flow hedges of forecasted transactions. CenterPoint Energy records all changes in the fair value of cash flow hedges in accumulated other comprehensive income (loss) until the underlying hedged transaction occurs, when it reclassifies that amount into earnings.</w:t>
      </w:r>
    </w:p>
    <w:p>
      <w:pPr>
        <w:pStyle w:val="TextBody"/>
        <w:bidi w:val="0"/>
        <w:spacing w:lineRule="auto" w:line="288" w:before="0" w:after="0"/>
        <w:ind w:left="0" w:right="0" w:hanging="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(2)Relates to interest rate derivative instruments at Houston Electric with a termination date of June 28, 2024. The interest rate treasury lock agreements were designated as cash flow hedges of forecasted transactions. Houston Electric records all changes in the fair value of cash flow hedges to a regulatory asset or liability, which is amortized over the life of the associated debt being hedged.</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(b)Derivative Fair Values and Financial Statement Presentation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Energy’s outstanding interest rate derivatives designated as cash flow hedges are included in current Non-trading derivative assets on CenterPoint Energy’s Condensed Consolidated Balance Sheets as of March 31, 2024. CenterPoint Energy’s interest rate derivatives designated as cash flow hedges were not material as of December 31, 2023 and were included in current Non-trading derivative liabilities on CenterPoint Energy’s Condensed Consolidated Balance Sheets. Houston Electric’s interest rate derivatives designated as cash flow hedges were not material as of December 31, 2023 and were included in Prepaid expenses and other current assets on Houston Electric’s Condensed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balance sheet overview of CenterPoint Energy’s and CERC’s derivative assets and liabilities, while the last table provides a breakdown of the related income statement impacts.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4"/>
        <w:gridCol w:w="634"/>
        <w:gridCol w:w="634"/>
        <w:gridCol w:w="636"/>
        <w:gridCol w:w="792"/>
        <w:gridCol w:w="771"/>
        <w:gridCol w:w="773"/>
        <w:gridCol w:w="109"/>
        <w:gridCol w:w="109"/>
        <w:gridCol w:w="109"/>
        <w:gridCol w:w="254"/>
        <w:gridCol w:w="527"/>
        <w:gridCol w:w="142"/>
        <w:gridCol w:w="109"/>
        <w:gridCol w:w="109"/>
        <w:gridCol w:w="109"/>
        <w:gridCol w:w="358"/>
        <w:gridCol w:w="769"/>
        <w:gridCol w:w="201"/>
        <w:gridCol w:w="109"/>
        <w:gridCol w:w="109"/>
        <w:gridCol w:w="109"/>
        <w:gridCol w:w="248"/>
        <w:gridCol w:w="513"/>
        <w:gridCol w:w="139"/>
        <w:gridCol w:w="109"/>
        <w:gridCol w:w="109"/>
        <w:gridCol w:w="109"/>
        <w:gridCol w:w="347"/>
        <w:gridCol w:w="749"/>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2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w:t>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 Non-trading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 Non-trading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derivatives (1)</w:t>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Non-trading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180"/>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Indexed debt securities derivative (2)</w:t>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(1)Natural gas contracts are subject to master netting arrangements. This netting applies to all undisputed amounts due or past due. However, the mark-to-market fair value of each natural gas contract is in a liability position with no offsetting amounts as of March 31, 2024 and December 31, 2023, respectively. As of March 31, 2024 and December 31, 2023, the notional volume of natural gas derivatives were 20,712 MMBtu per day and 27,421 MMBtu per day,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(2)Derivative component of the ZENS obligation that represents the ZENS holder’s option to receive the appreciated value of the reference shares at maturity and other payments to which they may be entitled. See Note 10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539"/>
        <w:gridCol w:w="517"/>
        <w:gridCol w:w="485"/>
        <w:gridCol w:w="865"/>
        <w:gridCol w:w="847"/>
        <w:gridCol w:w="849"/>
        <w:gridCol w:w="109"/>
        <w:gridCol w:w="109"/>
        <w:gridCol w:w="109"/>
        <w:gridCol w:w="256"/>
        <w:gridCol w:w="530"/>
        <w:gridCol w:w="143"/>
        <w:gridCol w:w="109"/>
        <w:gridCol w:w="109"/>
        <w:gridCol w:w="109"/>
        <w:gridCol w:w="429"/>
        <w:gridCol w:w="725"/>
        <w:gridCol w:w="239"/>
        <w:gridCol w:w="109"/>
        <w:gridCol w:w="109"/>
        <w:gridCol w:w="109"/>
        <w:gridCol w:w="248"/>
        <w:gridCol w:w="515"/>
        <w:gridCol w:w="139"/>
        <w:gridCol w:w="109"/>
        <w:gridCol w:w="109"/>
        <w:gridCol w:w="109"/>
        <w:gridCol w:w="412"/>
        <w:gridCol w:w="698"/>
        <w:gridCol w:w="337"/>
      </w:tblGrid>
      <w:tr>
        <w:trPr/>
        <w:tc>
          <w:tcPr>
            <w:tcW w:w="1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 Liabilities </w:t>
              <w:b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CERC:</w:t>
            </w:r>
          </w:p>
        </w:tc>
        <w:tc>
          <w:tcPr>
            <w:tcW w:w="2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Natural gas derivatives </w:t>
            </w:r>
            <w:r>
              <w:rPr>
                <w:rFonts w:ascii="Times New Roman;sans-serif" w:hAnsi="Times New Roman;sans-serif"/>
                <w:b w:val="false"/>
                <w:color w:val="000000"/>
                <w:sz w:val="16"/>
              </w:rPr>
              <w:t>(1)</w:t>
            </w:r>
          </w:p>
        </w:tc>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 Non-trading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Natural gas derivatives </w:t>
            </w:r>
            <w:r>
              <w:rPr>
                <w:rFonts w:ascii="Times New Roman;sans-serif" w:hAnsi="Times New Roman;sans-serif"/>
                <w:b w:val="false"/>
                <w:color w:val="000000"/>
                <w:sz w:val="16"/>
              </w:rPr>
              <w:t>(1)</w:t>
            </w:r>
          </w:p>
        </w:tc>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Non-trading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2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(1)Natural gas contracts are subject to master netting arrangements. This netting applies to all undisputed amounts due or past due. However, the mark-to-market fair value of each natural gas contract is in a liability position with no offsetting amounts as of March 31, 2024 and December 31, 2023, respectively. As of March 31, 2024 and December 31, 2023, the notional volume of natural gas derivatives were 17,753 MMBtu per day and 23,504 MMBtu per day, respectively. </w:t>
      </w:r>
    </w:p>
    <w:p>
      <w:pPr>
        <w:pStyle w:val="TextBody"/>
        <w:bidi w:val="0"/>
        <w:spacing w:before="0" w:after="0"/>
        <w:jc w:val="both"/>
        <w:rPr/>
      </w:pPr>
      <w:r>
        <w:rPr/>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related income statement impacts of derivative activity for the periods presented:</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296"/>
        <w:gridCol w:w="1113"/>
        <w:gridCol w:w="1121"/>
        <w:gridCol w:w="109"/>
        <w:gridCol w:w="109"/>
        <w:gridCol w:w="109"/>
        <w:gridCol w:w="815"/>
        <w:gridCol w:w="815"/>
        <w:gridCol w:w="817"/>
        <w:gridCol w:w="109"/>
        <w:gridCol w:w="109"/>
        <w:gridCol w:w="109"/>
        <w:gridCol w:w="109"/>
        <w:gridCol w:w="109"/>
        <w:gridCol w:w="290"/>
        <w:gridCol w:w="290"/>
        <w:gridCol w:w="523"/>
        <w:gridCol w:w="884"/>
        <w:gridCol w:w="290"/>
        <w:gridCol w:w="109"/>
        <w:gridCol w:w="109"/>
        <w:gridCol w:w="109"/>
        <w:gridCol w:w="196"/>
        <w:gridCol w:w="395"/>
        <w:gridCol w:w="161"/>
      </w:tblGrid>
      <w:tr>
        <w:trPr/>
        <w:tc>
          <w:tcPr>
            <w:tcW w:w="12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79" w:type="dxa"/>
            <w:gridSpan w:val="6"/>
            <w:tcBorders/>
          </w:tcPr>
          <w:p>
            <w:pPr>
              <w:pStyle w:val="TableContents"/>
              <w:bidi w:val="0"/>
              <w:spacing w:before="0" w:after="283"/>
              <w:jc w:val="left"/>
              <w:rPr>
                <w:sz w:val="4"/>
                <w:szCs w:val="4"/>
              </w:rPr>
            </w:pPr>
            <w:r>
              <w:rPr>
                <w:sz w:val="4"/>
                <w:szCs w:val="4"/>
              </w:rPr>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Indexed debt securities derivative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indexed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79"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indexed debt securities derivative is recorded at fair value and changes in the fair value are recorded in CenterPoint Energy’s Condensed Statements of Consolidated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inflows and outflows associated with derivatives are included in operating activities on the statement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 Credit Risk Contingent Features (CenterPoint Energy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CenterPoint Energy’s and CERC’s derivative instruments contain provisions that require CenterPoint Energy and CERC to maintain an investment grade credit rating on their respective long-term unsecured unsubordinated debt from S&amp;P and Moody’s. If CenterPoint Energy’s or CERC’s debt were to fall below investment grade, it would be in violation of these provisions, and the counterparties to the derivative instruments could request immediate payment or additional collateral. The table below sets forth additional detail for the periods presented: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911"/>
        <w:gridCol w:w="1679"/>
        <w:gridCol w:w="1685"/>
        <w:gridCol w:w="488"/>
        <w:gridCol w:w="601"/>
        <w:gridCol w:w="273"/>
        <w:gridCol w:w="109"/>
        <w:gridCol w:w="109"/>
        <w:gridCol w:w="109"/>
        <w:gridCol w:w="204"/>
        <w:gridCol w:w="252"/>
        <w:gridCol w:w="115"/>
        <w:gridCol w:w="109"/>
        <w:gridCol w:w="109"/>
        <w:gridCol w:w="109"/>
        <w:gridCol w:w="488"/>
        <w:gridCol w:w="601"/>
        <w:gridCol w:w="273"/>
        <w:gridCol w:w="114"/>
        <w:gridCol w:w="114"/>
        <w:gridCol w:w="114"/>
        <w:gridCol w:w="213"/>
        <w:gridCol w:w="256"/>
        <w:gridCol w:w="170"/>
      </w:tblGrid>
      <w:tr>
        <w:trPr/>
        <w:tc>
          <w:tcPr>
            <w:tcW w:w="191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fair value of derivatives containing material adverse change provisions in a net liability position</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collateral already posted</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collateral required to be posted if credit risk contingent features triggered</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Fair Value Measurements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unadjusted quoted prices in active markets for identical assets or liabilities at the measurement date. The types of assets carried at Level 1 fair value generally are exchange-traded derivatives and equity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determine the appropriate level for each financial asset and liability on a quarterly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Registrants’ assets and liabilities measured at fair value on a recurring basis as of March 31, 2024 and December 31, 2023 and indicate the fair value hierarchy of the valuation techniques utilized by the Registrants to determine such fair value.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10205" w:type="dxa"/>
        <w:jc w:val="left"/>
        <w:tblInd w:w="0" w:type="dxa"/>
        <w:tblLayout w:type="fixed"/>
        <w:tblCellMar>
          <w:top w:w="28" w:type="dxa"/>
          <w:left w:w="28" w:type="dxa"/>
          <w:bottom w:w="28" w:type="dxa"/>
          <w:right w:w="28" w:type="dxa"/>
        </w:tblCellMar>
      </w:tblPr>
      <w:tblGrid>
        <w:gridCol w:w="705"/>
        <w:gridCol w:w="546"/>
        <w:gridCol w:w="513"/>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96"/>
        <w:gridCol w:w="421"/>
        <w:gridCol w:w="156"/>
      </w:tblGrid>
      <w:tr>
        <w:trPr/>
        <w:tc>
          <w:tcPr>
            <w:tcW w:w="70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209" w:type="dxa"/>
            <w:gridSpan w:val="7"/>
            <w:tcBorders/>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232"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09" w:type="dxa"/>
            <w:gridSpan w:val="7"/>
            <w:tcBorders/>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including money market funds (1)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derivatives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Indexed debt securities derivative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derivatives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10205" w:type="dxa"/>
        <w:jc w:val="left"/>
        <w:tblInd w:w="0" w:type="dxa"/>
        <w:tblLayout w:type="fixed"/>
        <w:tblCellMar>
          <w:top w:w="28" w:type="dxa"/>
          <w:left w:w="28" w:type="dxa"/>
          <w:bottom w:w="28" w:type="dxa"/>
          <w:right w:w="28" w:type="dxa"/>
        </w:tblCellMar>
      </w:tblPr>
      <w:tblGrid>
        <w:gridCol w:w="737"/>
        <w:gridCol w:w="647"/>
        <w:gridCol w:w="655"/>
        <w:gridCol w:w="197"/>
        <w:gridCol w:w="333"/>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197"/>
        <w:gridCol w:w="333"/>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56"/>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228" w:type="dxa"/>
            <w:gridSpan w:val="8"/>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6938"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228" w:type="dxa"/>
            <w:gridSpan w:val="8"/>
            <w:tcBorders/>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including money market funds (1)</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CERC</w:t>
      </w:r>
    </w:p>
    <w:tbl>
      <w:tblPr>
        <w:tblW w:w="10205" w:type="dxa"/>
        <w:jc w:val="center"/>
        <w:tblInd w:w="0" w:type="dxa"/>
        <w:tblLayout w:type="fixed"/>
        <w:tblCellMar>
          <w:top w:w="28" w:type="dxa"/>
          <w:left w:w="28" w:type="dxa"/>
          <w:bottom w:w="28" w:type="dxa"/>
          <w:right w:w="28" w:type="dxa"/>
        </w:tblCellMar>
      </w:tblPr>
      <w:tblGrid>
        <w:gridCol w:w="725"/>
        <w:gridCol w:w="636"/>
        <w:gridCol w:w="644"/>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09"/>
        <w:gridCol w:w="196"/>
        <w:gridCol w:w="331"/>
        <w:gridCol w:w="155"/>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118" w:type="dxa"/>
            <w:gridSpan w:val="7"/>
            <w:tcBorders/>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sz w:val="18"/>
              </w:rPr>
              <w:br/>
            </w: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082"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118" w:type="dxa"/>
            <w:gridSpan w:val="7"/>
            <w:tcBorders/>
          </w:tcPr>
          <w:p>
            <w:pPr>
              <w:pStyle w:val="TableContents"/>
              <w:bidi w:val="0"/>
              <w:spacing w:before="0" w:after="283"/>
              <w:jc w:val="left"/>
              <w:rPr>
                <w:sz w:val="4"/>
                <w:szCs w:val="4"/>
              </w:rPr>
            </w:pPr>
            <w:r>
              <w:rPr>
                <w:sz w:val="4"/>
                <w:szCs w:val="4"/>
              </w:rPr>
            </w:r>
          </w:p>
        </w:tc>
      </w:tr>
      <w:tr>
        <w:trPr/>
        <w:tc>
          <w:tcPr>
            <w:tcW w:w="200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including money market funds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are included in Prepaid expenses and other current assets in the Condensed Consolidated Balance Sheets.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Items Measured at Fair Value on a Nonrecurring Basis</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classifying the Louisiana and Mississippi natural gas LDC businesses as held for sale, CenterPoint Energy and CERC used a market approach consisting of contractual sales price adjusted for estimated working capital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contractual purchase price adjustments to determine the fair value of the businesses classified as held for sale, which are Level 2 inputs. Neither CenterPoint Energy nor CERC recognized any gains or losses upon classification as held for sale during the three months ended March 31, 2024. See Note 3 for further information.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Estimated Fair Value of Financial Instruments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tbl>
      <w:tblPr>
        <w:tblW w:w="10205" w:type="dxa"/>
        <w:jc w:val="left"/>
        <w:tblInd w:w="0" w:type="dxa"/>
        <w:tblLayout w:type="fixed"/>
        <w:tblCellMar>
          <w:top w:w="28" w:type="dxa"/>
          <w:left w:w="28" w:type="dxa"/>
          <w:bottom w:w="28" w:type="dxa"/>
          <w:right w:w="28" w:type="dxa"/>
        </w:tblCellMar>
      </w:tblPr>
      <w:tblGrid>
        <w:gridCol w:w="675"/>
        <w:gridCol w:w="594"/>
        <w:gridCol w:w="598"/>
        <w:gridCol w:w="274"/>
        <w:gridCol w:w="905"/>
        <w:gridCol w:w="154"/>
        <w:gridCol w:w="109"/>
        <w:gridCol w:w="109"/>
        <w:gridCol w:w="109"/>
        <w:gridCol w:w="257"/>
        <w:gridCol w:w="730"/>
        <w:gridCol w:w="143"/>
        <w:gridCol w:w="109"/>
        <w:gridCol w:w="109"/>
        <w:gridCol w:w="109"/>
        <w:gridCol w:w="196"/>
        <w:gridCol w:w="556"/>
        <w:gridCol w:w="109"/>
        <w:gridCol w:w="109"/>
        <w:gridCol w:w="109"/>
        <w:gridCol w:w="109"/>
        <w:gridCol w:w="274"/>
        <w:gridCol w:w="905"/>
        <w:gridCol w:w="154"/>
        <w:gridCol w:w="109"/>
        <w:gridCol w:w="109"/>
        <w:gridCol w:w="109"/>
        <w:gridCol w:w="257"/>
        <w:gridCol w:w="730"/>
        <w:gridCol w:w="143"/>
        <w:gridCol w:w="109"/>
        <w:gridCol w:w="109"/>
        <w:gridCol w:w="109"/>
        <w:gridCol w:w="196"/>
        <w:gridCol w:w="556"/>
        <w:gridCol w:w="164"/>
      </w:tblGrid>
      <w:tr>
        <w:trPr/>
        <w:tc>
          <w:tcPr>
            <w:tcW w:w="6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 including current maturities</w:t>
            </w:r>
          </w:p>
        </w:tc>
        <w:tc>
          <w:tcPr>
            <w:tcW w:w="833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amount</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Securitization Bonds, as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Goodwill (CenterPoint Energy and CERC)</w:t>
      </w:r>
    </w:p>
    <w:p>
      <w:pPr>
        <w:pStyle w:val="TextBody"/>
        <w:bidi w:val="0"/>
        <w:spacing w:before="0" w:after="0"/>
        <w:jc w:val="left"/>
        <w:rPr/>
      </w:pPr>
      <w:r>
        <w:rPr/>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goodwill by reportable segment as of both March 31, 2024 and December 31, 2023 is as follows:</w:t>
      </w:r>
    </w:p>
    <w:tbl>
      <w:tblPr>
        <w:tblW w:w="6749" w:type="dxa"/>
        <w:jc w:val="left"/>
        <w:tblInd w:w="0" w:type="dxa"/>
        <w:tblLayout w:type="fixed"/>
        <w:tblCellMar>
          <w:top w:w="28" w:type="dxa"/>
          <w:left w:w="28" w:type="dxa"/>
          <w:bottom w:w="28" w:type="dxa"/>
          <w:right w:w="28" w:type="dxa"/>
        </w:tblCellMar>
      </w:tblPr>
      <w:tblGrid>
        <w:gridCol w:w="556"/>
        <w:gridCol w:w="484"/>
        <w:gridCol w:w="490"/>
        <w:gridCol w:w="109"/>
        <w:gridCol w:w="109"/>
        <w:gridCol w:w="109"/>
        <w:gridCol w:w="351"/>
        <w:gridCol w:w="997"/>
        <w:gridCol w:w="197"/>
        <w:gridCol w:w="109"/>
        <w:gridCol w:w="109"/>
        <w:gridCol w:w="109"/>
        <w:gridCol w:w="308"/>
        <w:gridCol w:w="661"/>
        <w:gridCol w:w="171"/>
        <w:gridCol w:w="109"/>
        <w:gridCol w:w="109"/>
        <w:gridCol w:w="109"/>
        <w:gridCol w:w="109"/>
        <w:gridCol w:w="109"/>
        <w:gridCol w:w="289"/>
        <w:gridCol w:w="819"/>
        <w:gridCol w:w="227"/>
      </w:tblGrid>
      <w:tr>
        <w:trPr/>
        <w:tc>
          <w:tcPr>
            <w:tcW w:w="5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662" w:type="dxa"/>
            <w:gridSpan w:val="6"/>
            <w:tcBorders/>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 presented is net of the accumulated goodwill impairment charge of $185 million recorded in 2020.</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a result, goodwill attributable to the Louisiana and Mississippi natural gas LDC businesses to be disposed of is classified as held for sale as of March 31, 2024. CenterPoint Energy has not recognized any goodwill impairments within the Natural Gas reportable segment during the three months ended March 31, 2024. For further information, see Note 3.</w:t>
      </w:r>
    </w:p>
    <w:p>
      <w:pPr>
        <w:pStyle w:val="TextBody"/>
        <w:bidi w:val="0"/>
        <w:spacing w:before="0" w:after="0"/>
        <w:jc w:val="both"/>
        <w:rPr/>
      </w:pPr>
      <w:r>
        <w:rPr/>
      </w:r>
    </w:p>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CERC’s goodwill as of both March 31, 2024 and December 31, 2023 is as follows:</w:t>
      </w:r>
    </w:p>
    <w:tbl>
      <w:tblPr>
        <w:tblW w:w="6269" w:type="dxa"/>
        <w:jc w:val="left"/>
        <w:tblInd w:w="0" w:type="dxa"/>
        <w:tblLayout w:type="fixed"/>
        <w:tblCellMar>
          <w:top w:w="28" w:type="dxa"/>
          <w:left w:w="28" w:type="dxa"/>
          <w:bottom w:w="28" w:type="dxa"/>
          <w:right w:w="28" w:type="dxa"/>
        </w:tblCellMar>
      </w:tblPr>
      <w:tblGrid>
        <w:gridCol w:w="380"/>
        <w:gridCol w:w="334"/>
        <w:gridCol w:w="336"/>
        <w:gridCol w:w="109"/>
        <w:gridCol w:w="109"/>
        <w:gridCol w:w="109"/>
        <w:gridCol w:w="351"/>
        <w:gridCol w:w="997"/>
        <w:gridCol w:w="197"/>
        <w:gridCol w:w="109"/>
        <w:gridCol w:w="109"/>
        <w:gridCol w:w="109"/>
        <w:gridCol w:w="308"/>
        <w:gridCol w:w="661"/>
        <w:gridCol w:w="171"/>
        <w:gridCol w:w="109"/>
        <w:gridCol w:w="109"/>
        <w:gridCol w:w="109"/>
        <w:gridCol w:w="109"/>
        <w:gridCol w:w="109"/>
        <w:gridCol w:w="289"/>
        <w:gridCol w:w="819"/>
        <w:gridCol w:w="227"/>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444" w:type="dxa"/>
            <w:gridSpan w:val="4"/>
            <w:tcBorders/>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connection with the classification of the Louisiana and Mississippi natural gas LDC businesses as held for sale as of March 31, 2024 described above, goodwill attributable to CERC to be disposed of as part of the transaction is classified as held for sale as of March 31, 2024. CERC has not recognized any goodwill impairments during the three months ended March 31, 2024. For further information, see Note 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reporting units approximate the reportable segments, with the exception of Energy Systems Group, which was a separate reporting unit but was included in Corporate and Other at CenterPoint Energy. The estimated fair value of the reporting unit is primarily determined based on an income approach or a weighted combination of income and market approaches.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carrying amount is in excess of the estimated fair value of the reporting unit, then the excess amount is recorded as an impairment charge, not to exceed the carrying amount of 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Equity Securities and Indexed Debt Securities (ZENS)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Equity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tbl>
      <w:tblPr>
        <w:tblW w:w="7121" w:type="dxa"/>
        <w:jc w:val="left"/>
        <w:tblInd w:w="0" w:type="dxa"/>
        <w:tblLayout w:type="fixed"/>
        <w:tblCellMar>
          <w:top w:w="28" w:type="dxa"/>
          <w:left w:w="28" w:type="dxa"/>
          <w:bottom w:w="28" w:type="dxa"/>
          <w:right w:w="28" w:type="dxa"/>
        </w:tblCellMar>
      </w:tblPr>
      <w:tblGrid>
        <w:gridCol w:w="1163"/>
        <w:gridCol w:w="1018"/>
        <w:gridCol w:w="1028"/>
        <w:gridCol w:w="109"/>
        <w:gridCol w:w="109"/>
        <w:gridCol w:w="109"/>
        <w:gridCol w:w="302"/>
        <w:gridCol w:w="302"/>
        <w:gridCol w:w="544"/>
        <w:gridCol w:w="1127"/>
        <w:gridCol w:w="302"/>
        <w:gridCol w:w="109"/>
        <w:gridCol w:w="109"/>
        <w:gridCol w:w="109"/>
        <w:gridCol w:w="196"/>
        <w:gridCol w:w="33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1008" w:type="dxa"/>
            <w:gridSpan w:val="6"/>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08" w:type="dxa"/>
            <w:gridSpan w:val="6"/>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Common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WBD Common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gains (losses) on equity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pStyle w:val="TextBody"/>
        <w:bidi w:val="0"/>
        <w:spacing w:before="0" w:after="0"/>
        <w:ind w:left="0" w:right="0" w:firstLine="360"/>
        <w:jc w:val="both"/>
        <w:rPr/>
      </w:pPr>
      <w:r>
        <w:rPr/>
      </w:r>
    </w:p>
    <w:tbl>
      <w:tblPr>
        <w:tblW w:w="8286" w:type="dxa"/>
        <w:jc w:val="left"/>
        <w:tblInd w:w="0" w:type="dxa"/>
        <w:tblLayout w:type="fixed"/>
        <w:tblCellMar>
          <w:top w:w="28" w:type="dxa"/>
          <w:left w:w="28" w:type="dxa"/>
          <w:bottom w:w="28" w:type="dxa"/>
          <w:right w:w="28" w:type="dxa"/>
        </w:tblCellMar>
      </w:tblPr>
      <w:tblGrid>
        <w:gridCol w:w="489"/>
        <w:gridCol w:w="428"/>
        <w:gridCol w:w="432"/>
        <w:gridCol w:w="109"/>
        <w:gridCol w:w="480"/>
        <w:gridCol w:w="481"/>
        <w:gridCol w:w="431"/>
        <w:gridCol w:w="120"/>
        <w:gridCol w:w="120"/>
        <w:gridCol w:w="120"/>
        <w:gridCol w:w="514"/>
        <w:gridCol w:w="514"/>
        <w:gridCol w:w="516"/>
        <w:gridCol w:w="109"/>
        <w:gridCol w:w="109"/>
        <w:gridCol w:w="109"/>
        <w:gridCol w:w="348"/>
        <w:gridCol w:w="748"/>
        <w:gridCol w:w="193"/>
        <w:gridCol w:w="109"/>
        <w:gridCol w:w="109"/>
        <w:gridCol w:w="109"/>
        <w:gridCol w:w="402"/>
        <w:gridCol w:w="868"/>
        <w:gridCol w:w="319"/>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Held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Carrying Value </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Common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10,212,945 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10,212,945 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Common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872,503 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872,503 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WBD Common</w:t>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2,470,685 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2,470,685 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(b) ZENS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1999, CenterPoint Energy issued ZENS having an original principal amount of $1.0 billion of which $828 million remained outstanding as of March 31, 2024.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reference shares for each ZENS consisted of the following:</w:t>
      </w:r>
    </w:p>
    <w:tbl>
      <w:tblPr>
        <w:tblW w:w="4555" w:type="dxa"/>
        <w:jc w:val="left"/>
        <w:tblInd w:w="0" w:type="dxa"/>
        <w:tblLayout w:type="fixed"/>
        <w:tblCellMar>
          <w:top w:w="28" w:type="dxa"/>
          <w:left w:w="28" w:type="dxa"/>
          <w:bottom w:w="28" w:type="dxa"/>
          <w:right w:w="28" w:type="dxa"/>
        </w:tblCellMar>
      </w:tblPr>
      <w:tblGrid>
        <w:gridCol w:w="489"/>
        <w:gridCol w:w="428"/>
        <w:gridCol w:w="432"/>
        <w:gridCol w:w="429"/>
        <w:gridCol w:w="429"/>
        <w:gridCol w:w="431"/>
        <w:gridCol w:w="109"/>
        <w:gridCol w:w="109"/>
        <w:gridCol w:w="109"/>
        <w:gridCol w:w="465"/>
        <w:gridCol w:w="465"/>
        <w:gridCol w:w="660"/>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shares)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AT&amp;T Common</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0.7185 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0.7185 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Charter Common</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0.061382 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0.061382 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WBD Common</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0.173817 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0.173817 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March 31, 2024, the ZENS, having an original principal amount of $828 million and a contingent principal amount of $15 million, were outstanding and were exchangeable, at the option of the holders, for cash equal to 95% of the market value of the reference shares attributable to the ZENS.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Short-term Borrowings and Long-term Debt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Inventory Financing. </w:t>
      </w:r>
      <w:r>
        <w:rPr>
          <w:rFonts w:ascii="Times New Roman;sans-serif" w:hAnsi="Times New Roman;sans-serif"/>
          <w:b w:val="false"/>
          <w:color w:val="000000"/>
          <w:sz w:val="20"/>
        </w:rPr>
        <w:t>CenterPoint Energy’s and CERC’s Natural Gas businesses utilize third-party AMAs associated with their utility distribution service in Indiana, Louisiana, Minnesota, Mississippi and Texas. The AMAs have varying terms, the longest of which expires in 2029.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Certain of these transactions are accounted for as an inventory financing. CenterPoint Energy and CERC had no outstanding obligations related to the AMAs as of March 31, 2024 and $4 million as of December 31, 2023, recorded in Short-term borrowings on CenterPoint Energy’s and CERC’s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Debt Issuance. </w:t>
      </w:r>
      <w:r>
        <w:rPr>
          <w:rFonts w:ascii="Times New Roman;sans-serif" w:hAnsi="Times New Roman;sans-serif"/>
          <w:b w:val="false"/>
          <w:color w:val="000000"/>
          <w:sz w:val="20"/>
        </w:rPr>
        <w:t>In February 2024, CenterPoint Energy, through its wholly-owned subsidiary Houston Electric, issued $400 million aggregate principal amount of 5.15% general mortgage bonds due 2034. Total proceeds, net of transaction expenses and fees, were approximately $395 million, which will be used for general limited liability company purposes, including capital expenditures and working capital purposes.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 xml:space="preserve">Convertible Senior Notes. </w:t>
      </w:r>
      <w:r>
        <w:rPr>
          <w:rFonts w:ascii="Times New Roman;sans-serif" w:hAnsi="Times New Roman;sans-serif"/>
          <w:b w:val="false"/>
          <w:color w:val="000000"/>
          <w:sz w:val="20"/>
        </w:rPr>
        <w:t>Interest on the Convertible Notes is payable semiannually in arrears on February 15 and August 15 of each year, beginning on February 15, 2024. The Convertible Notes will mature on August 15, 2026, unless earlier converted or repurchased by CenterPoint Energy in accordance with their terms.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May 15, 2026, the Convertible Notes are convertible only under certain conditions. On or after May 15, 2026 until the close of business on the second scheduled trading day immediately preceding the maturity date, holders of the Convertible Notes may convert all or any portion of their Convertible Notes at any time at the conversion rate then in effect, irrespective of the conditions. CenterPoint Energy may not redeem the Convertible Notes prior to the maturity date and no sinking fund is provided for the Convertible Notes.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conversion of the Convertible Notes, CenterPoint Energy will pay cash up to the aggregate principal amount of the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Convertible Notes being converted. The conversion rate for the Convertible Notes is initially 27.1278 shares of Common Stock per $1,000 principal amount of Convertible Notes (equivalent to an initial conversion price of approximately $36.86 per share of Common Stock). The initial conversion price of the Convertible Notes represents a premium of approximately 25.0% over the last reported sale price of the Common Stock on the New York Stock Exchange on August 1, 2023. Initially, a maximum of 33,909,700 shares of Common Stock may be issued upon conversion of the Convertible Notes based on the initial maximum conversion rate of 33.9097 shares of Common Stock per $1,000 principal amount of Convertible Notes. The conversion rate will be subject to adjustment in some events (as described in the Convertible Notes Indenture) but will not be adjusted for any accrued and unpaid interest.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following certain corporate events that occur prior to the maturity date of the Convertible Notes, CenterPoint Energy will, in certain circumstances, increase the conversion rate for a holder of Convertible Notes who elects to convert its Convertible Notes in connection with such a corporate event. If CenterPoint Energy undergoes a fundamental change (as described in the Convertible Notes Indenture), holders of the Convertible Notes may require CenterPoint Energy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are senior unsecured obligations of CenterPoint Energy and rank senior in right of payment to any of CenterPoint Energy’s indebtedness that is expressly subordinated in right of payment to the Convertible Notes; equal in right of payment to any of CenterPoint Energy’s unsecured indebtedness that is not so subordinated; effectively junior in right of payment to any of CenterPoint Energy’s secured indebtedness it may incur in the future to the extent of the value of the assets securing such future secured indebtedness; and structurally junior to all indebtedness and other liabilities (including trade payables but excluding intercompany obligations and liabilities of a type not required to be reflected on a balance sheet of such subsidiaries in accordance with generally accepted accounting principles) of CenterPoint Energy’s subsidiaries.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Debt Redemption. </w:t>
      </w:r>
      <w:r>
        <w:rPr>
          <w:rFonts w:ascii="Times New Roman;sans-serif" w:hAnsi="Times New Roman;sans-serif"/>
          <w:b w:val="false"/>
          <w:color w:val="000000"/>
          <w:sz w:val="20"/>
        </w:rPr>
        <w:t>In March 2024, CenterPoint Energy, through its wholly-owned subsidiary SIGECO, redeemed $22 million aggregate principal amount of SIGECO’s outstanding 3.50% first mortgage bonds due 2024 at a redemption price equal to 100% of the principal amount of the first mortgage bonds to be redeemed plus accrued and unpaid interest thereon.</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Credit Facilities</w:t>
      </w:r>
      <w:r>
        <w:rPr>
          <w:rFonts w:ascii="Times New Roman;sans-serif" w:hAnsi="Times New Roman;sans-serif"/>
          <w:b w:val="false"/>
          <w:color w:val="000000"/>
          <w:sz w:val="20"/>
        </w:rPr>
        <w:t>. The Registrants had the following revolving credit facilities as of March 31, 2024:</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60"/>
        <w:gridCol w:w="316"/>
        <w:gridCol w:w="317"/>
        <w:gridCol w:w="109"/>
        <w:gridCol w:w="109"/>
        <w:gridCol w:w="109"/>
        <w:gridCol w:w="367"/>
        <w:gridCol w:w="367"/>
        <w:gridCol w:w="372"/>
        <w:gridCol w:w="109"/>
        <w:gridCol w:w="109"/>
        <w:gridCol w:w="109"/>
        <w:gridCol w:w="203"/>
        <w:gridCol w:w="576"/>
        <w:gridCol w:w="113"/>
        <w:gridCol w:w="109"/>
        <w:gridCol w:w="109"/>
        <w:gridCol w:w="109"/>
        <w:gridCol w:w="309"/>
        <w:gridCol w:w="309"/>
        <w:gridCol w:w="310"/>
        <w:gridCol w:w="109"/>
        <w:gridCol w:w="109"/>
        <w:gridCol w:w="109"/>
        <w:gridCol w:w="609"/>
        <w:gridCol w:w="609"/>
        <w:gridCol w:w="611"/>
        <w:gridCol w:w="109"/>
        <w:gridCol w:w="109"/>
        <w:gridCol w:w="109"/>
        <w:gridCol w:w="431"/>
        <w:gridCol w:w="431"/>
        <w:gridCol w:w="432"/>
        <w:gridCol w:w="109"/>
        <w:gridCol w:w="109"/>
        <w:gridCol w:w="109"/>
        <w:gridCol w:w="348"/>
        <w:gridCol w:w="348"/>
        <w:gridCol w:w="505"/>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Execution</w:t>
              <w:br/>
              <w:t xml:space="preserve"> 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Size of</w:t>
              <w:b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Draw Rate of SOFR plus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Covenant Limit on Debt for Borrowed Money to Capital Ratio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Debt for Borrowed Money to Capital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Ratio as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r>
      <w:tr>
        <w:trPr/>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CERC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6, 2027</w:t>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credit ratings as of March 31, 2024.</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(2)As defined in the revolving credit facility agreements, excluding Securitization Bonds.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(4)This credit facility was issued by SIGECO.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as well as the subsidiaries of CenterPoint Energy discussed above, were in compliance with all financial debt covenants as of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utilization of the Registrants’ respective revolving credit facilities:</w:t>
      </w:r>
    </w:p>
    <w:p>
      <w:pPr>
        <w:pStyle w:val="TextBody"/>
        <w:bidi w:val="0"/>
        <w:spacing w:before="0" w:after="0"/>
        <w:ind w:left="0" w:right="0" w:firstLine="360"/>
        <w:jc w:val="both"/>
        <w:rPr/>
      </w:pPr>
      <w:r>
        <w:rPr/>
      </w:r>
    </w:p>
    <w:tbl>
      <w:tblPr>
        <w:tblW w:w="10673" w:type="dxa"/>
        <w:jc w:val="left"/>
        <w:tblInd w:w="0" w:type="dxa"/>
        <w:tblLayout w:type="fixed"/>
        <w:tblCellMar>
          <w:top w:w="28" w:type="dxa"/>
          <w:left w:w="28" w:type="dxa"/>
          <w:bottom w:w="28" w:type="dxa"/>
          <w:right w:w="28" w:type="dxa"/>
        </w:tblCellMar>
      </w:tblPr>
      <w:tblGrid>
        <w:gridCol w:w="347"/>
        <w:gridCol w:w="305"/>
        <w:gridCol w:w="309"/>
        <w:gridCol w:w="109"/>
        <w:gridCol w:w="109"/>
        <w:gridCol w:w="109"/>
        <w:gridCol w:w="196"/>
        <w:gridCol w:w="406"/>
        <w:gridCol w:w="109"/>
        <w:gridCol w:w="109"/>
        <w:gridCol w:w="109"/>
        <w:gridCol w:w="109"/>
        <w:gridCol w:w="219"/>
        <w:gridCol w:w="454"/>
        <w:gridCol w:w="123"/>
        <w:gridCol w:w="109"/>
        <w:gridCol w:w="109"/>
        <w:gridCol w:w="109"/>
        <w:gridCol w:w="235"/>
        <w:gridCol w:w="669"/>
        <w:gridCol w:w="132"/>
        <w:gridCol w:w="109"/>
        <w:gridCol w:w="109"/>
        <w:gridCol w:w="109"/>
        <w:gridCol w:w="273"/>
        <w:gridCol w:w="193"/>
        <w:gridCol w:w="455"/>
        <w:gridCol w:w="109"/>
        <w:gridCol w:w="109"/>
        <w:gridCol w:w="109"/>
        <w:gridCol w:w="109"/>
        <w:gridCol w:w="196"/>
        <w:gridCol w:w="406"/>
        <w:gridCol w:w="109"/>
        <w:gridCol w:w="109"/>
        <w:gridCol w:w="109"/>
        <w:gridCol w:w="109"/>
        <w:gridCol w:w="219"/>
        <w:gridCol w:w="454"/>
        <w:gridCol w:w="123"/>
        <w:gridCol w:w="109"/>
        <w:gridCol w:w="109"/>
        <w:gridCol w:w="109"/>
        <w:gridCol w:w="235"/>
        <w:gridCol w:w="669"/>
        <w:gridCol w:w="132"/>
        <w:gridCol w:w="109"/>
        <w:gridCol w:w="109"/>
        <w:gridCol w:w="109"/>
        <w:gridCol w:w="280"/>
        <w:gridCol w:w="186"/>
        <w:gridCol w:w="51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Letters</w:t>
              <w:br/>
              <w:t>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br/>
              <w:t>Paper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Letters</w:t>
              <w:br/>
              <w:t>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w:t>
              <w:br/>
              <w:t>Paper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4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weighted average interest rate)</w:t>
            </w:r>
          </w:p>
        </w:tc>
        <w:tc>
          <w:tcPr>
            <w:tcW w:w="980" w:type="dxa"/>
            <w:gridSpan w:val="3"/>
            <w:tcBorders/>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CERC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credit facility was issued by SIGECO.</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(2)CenterPoint Energy’s and CERC’s outstanding commercial paper generally have maturities of up to 60 days and 30 days, respectively, and are backstopped by the respective issuer’s long-term revolving credit facility. Neither Houston Electric nor SIGECO has a commercial paper program.</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Liens. </w:t>
      </w:r>
      <w:r>
        <w:rPr>
          <w:rFonts w:ascii="Times New Roman;sans-serif" w:hAnsi="Times New Roman;sans-serif"/>
          <w:b w:val="false"/>
          <w:color w:val="000000"/>
          <w:sz w:val="20"/>
        </w:rPr>
        <w:t xml:space="preserve">As of March 31, 2024, Houston Electric’s assets were subject to liens securing approximately $8 billion of general mortgage bonds outstanding 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bonds, 70% of property additions or cash deposited with the trustee. Houston Electric could issue approximately $4.6 billion of additional general mortgage bonds on the basis of retired bonds and 70% of property additions as of March 31, 2024. No first mortgage bonds are outstanding under the M&amp;DOT, and Houston Electric is contractually obligated to not issue any additional first mortgage bonds under the M&amp;DOT and is undertaking actions to release the lien of the M&amp;DOT and terminate the M&amp;DOT.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SIGECO had approximately $825 million aggregate principal amount of first mortgage bonds outstanding. Generally, all of SIGECO’s real and tangible property is subject to the lien of SIGECO’s mortgage indenture which was amended and restated effective as of January 1, 2023. As of March 31, 2024, SIGECO was permitted to issue additional bonds under its mortgage indenture up to 70% of then currently unfunded property additions and approximately $966 million of additional first mortgage bonds could be issued on this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reported the following effective tax rates:</w:t>
      </w:r>
    </w:p>
    <w:tbl>
      <w:tblPr>
        <w:tblW w:w="5523" w:type="dxa"/>
        <w:jc w:val="left"/>
        <w:tblInd w:w="0" w:type="dxa"/>
        <w:tblLayout w:type="fixed"/>
        <w:tblCellMar>
          <w:top w:w="28" w:type="dxa"/>
          <w:left w:w="28" w:type="dxa"/>
          <w:bottom w:w="28" w:type="dxa"/>
          <w:right w:w="28" w:type="dxa"/>
        </w:tblCellMar>
      </w:tblPr>
      <w:tblGrid>
        <w:gridCol w:w="641"/>
        <w:gridCol w:w="563"/>
        <w:gridCol w:w="565"/>
        <w:gridCol w:w="109"/>
        <w:gridCol w:w="109"/>
        <w:gridCol w:w="405"/>
        <w:gridCol w:w="405"/>
        <w:gridCol w:w="405"/>
        <w:gridCol w:w="405"/>
        <w:gridCol w:w="957"/>
        <w:gridCol w:w="109"/>
        <w:gridCol w:w="109"/>
        <w:gridCol w:w="109"/>
        <w:gridCol w:w="165"/>
        <w:gridCol w:w="166"/>
        <w:gridCol w:w="30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959" w:type="dxa"/>
            <w:gridSpan w:val="6"/>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CenterPoint Energy </w:t>
            </w:r>
            <w:r>
              <w:rPr>
                <w:rFonts w:ascii="Times New Roman;sans-serif" w:hAnsi="Times New Roman;sans-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Houston Electric</w:t>
            </w:r>
            <w:r>
              <w:rPr>
                <w:color w:val="000000"/>
              </w:rPr>
              <w:t xml:space="preserve"> </w:t>
            </w:r>
            <w:r>
              <w:rPr>
                <w:rFonts w:ascii="Times New Roman;sans-serif" w:hAnsi="Times New Roman;sans-serif"/>
                <w:b w:val="false"/>
                <w:color w:val="000000"/>
                <w:sz w:val="16"/>
              </w:rPr>
              <w:t xml:space="preserve">(2)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CERC </w:t>
            </w:r>
            <w:r>
              <w:rPr>
                <w:rFonts w:ascii="Times New Roman;sans-serif" w:hAnsi="Times New Roman;sans-serif"/>
                <w:b w:val="false"/>
                <w:color w:val="000000"/>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(1)CenterPoint Energy’s lower effective tax rate for the three months ended March 31, 2024 compared to the same period ended March 31, 2023 was primarily due to the tax impacts of the state deferred remeasurement benefit of $25 million related to the Louisiana and Mississippi natural gas LDC businesses sale, which met the held for sale criteria in the first quarter of 2024 and is described further below. This was partially offset by the tax impacts of the valuation allowance of $21 million established against Louisiana and Mississippi NOLs, since those NOLs will not be utilized due to the Louisiana and Mississippi natural gas LDC businesses sale. See Note 3 for further details.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(2)Houston Electric’s lower effective tax rate for the three months ended March 31, 2024 compared to the same period ended March 31, 2023 was primarily driven by a decrease in state income taxes and an increase in EDIT amortization.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(3)CERC’s lower effective tax rate for the three months ended March 31, 2024 compared to the same period ended March 31, 2023 was primarily driven by the tax impacts of the state deferred remeasurement benefit of $24 million associated with the Louisiana and Mississippi natural gas LDC businesses sale meeting the held for sale criteria in the first quarter of 2024. For tax purposes, when the held for sale criteria is met, the CERC and unitary state apportionment rates must be updated to account for the sale and applied to the estimated post-sale net deferred tax liability. This impact was partially offset by the tax impacts of a valuation allowance of $21 million against Louisiana and Mississippi NOLs, since those NOLs will not be utilized due to the Louisiana and Mississippi natural gas LDC businesses sale. Additionally, state income tax expense has decreased as a result of higher revenues in states with lower tax rates.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reported a net uncertain tax liability, inclusive of interest and penalties, of $30 million as of March 31, 2024. The Registrants believe that it is reasonably possible that the Registrants will recognize a $3 million tax benefit, including penalties and interest, in the next 12 months as a result of a lapse of statutes on the 2020 Indiana state return.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Tax Audits and Settlements</w:t>
      </w:r>
      <w:r>
        <w:rPr>
          <w:rFonts w:ascii="Times New Roman;sans-serif" w:hAnsi="Times New Roman;sans-serif"/>
          <w:b w:val="false"/>
          <w:color w:val="000000"/>
          <w:sz w:val="20"/>
        </w:rPr>
        <w:t>. Tax years through 2018 and tax year 2021 have been audited and settled with the IRS for CenterPoint Energy. Tax years 2019-2020 remain open. For the 2021-2023 tax years, the Registrants are participants in the IRS’s Compliance Assurance Process. Vectren’s pre-Merger 2014-2019 tax years have been audited and settled with the IRS.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(13) Commitments and Contingencies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(a)Purchase Obligations (CenterPoint Energy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March 31, 2024 and December 31, 2023. These contracts meet an exception as “normal purchases contracts” or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meet the definition of a derivative. Natural gas and coal supply commitments also include transportation contracts that do not meet the definition of a derivative.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2023, Indiana Electric entered into an amended and restated BTA to purchase the 191 MW Posey Solar project for a fixed purchase price over the anticipated 35-year life. On February 7, 2023, Indiana Electric filed a CPCN with the IURC to approve the amended BTA. With the passage of the IRA, Indiana Electric can now pursue PTCs for solar projects. Indiana Electric filed the updated CPCN with a request that project costs, net of PTCs, be recovered in rate base, through base rates or the CECA mechanism, depending on which provides more timely recovery. On September 6, 2023, the IURC issued an order approving the CPCN. The Posey Solar project is expected to be placed in service in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11, 2023, the IURC issued an order approving the settlement agreement granting Indiana Electric a CPCN to purchase and acquire the 130 MW Pike County solar project through a BTA and approved the estimated cost. The IURC also designated the project as a clean energy project as well as approved the proposed levelized rate and associated ratemaking and accounting treatment. Due to inflationary pressures, the developer disclosed that costs have exceeded the agreed upon levels in the BTA. After negotiations, Indiana Electric and the developer were not able to agree upon updated pricing. As a result, on February 27, 2024, Indiana Electric provided notice that it was exercising its right to terminate the BTA, which terminated all further obligations of Indiana Electric with respect to the project.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other than discussed below, minimum purchase obligations were approximately:</w:t>
      </w:r>
    </w:p>
    <w:p>
      <w:pPr>
        <w:pStyle w:val="TextBody"/>
        <w:bidi w:val="0"/>
        <w:spacing w:before="0" w:after="0"/>
        <w:ind w:left="0" w:right="0" w:firstLine="360"/>
        <w:jc w:val="both"/>
        <w:rPr/>
      </w:pPr>
      <w:r>
        <w:rPr/>
      </w:r>
    </w:p>
    <w:tbl>
      <w:tblPr>
        <w:tblW w:w="9062" w:type="dxa"/>
        <w:jc w:val="left"/>
        <w:tblInd w:w="0" w:type="dxa"/>
        <w:tblLayout w:type="fixed"/>
        <w:tblCellMar>
          <w:top w:w="28" w:type="dxa"/>
          <w:left w:w="28" w:type="dxa"/>
          <w:bottom w:w="28" w:type="dxa"/>
          <w:right w:w="28" w:type="dxa"/>
        </w:tblCellMar>
      </w:tblPr>
      <w:tblGrid>
        <w:gridCol w:w="869"/>
        <w:gridCol w:w="764"/>
        <w:gridCol w:w="766"/>
        <w:gridCol w:w="445"/>
        <w:gridCol w:w="957"/>
        <w:gridCol w:w="247"/>
        <w:gridCol w:w="109"/>
        <w:gridCol w:w="109"/>
        <w:gridCol w:w="109"/>
        <w:gridCol w:w="413"/>
        <w:gridCol w:w="887"/>
        <w:gridCol w:w="229"/>
        <w:gridCol w:w="109"/>
        <w:gridCol w:w="109"/>
        <w:gridCol w:w="109"/>
        <w:gridCol w:w="218"/>
        <w:gridCol w:w="470"/>
        <w:gridCol w:w="121"/>
        <w:gridCol w:w="109"/>
        <w:gridCol w:w="109"/>
        <w:gridCol w:w="109"/>
        <w:gridCol w:w="431"/>
        <w:gridCol w:w="926"/>
        <w:gridCol w:w="338"/>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Natural Gas Supply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Electric Supply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Natural Gas Supply</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Remaining nine months of 2024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2030 and beyond</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(1)CenterPoint Energy’s undiscounted minimum payment obligations related to PPAs with commitments ranging from 15 years to 25 years and its purchase commitments under its BTA in Posey County, Indiana at the original contracted amount.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undiscounted payment obligations relate primarily to technology hardware and software agreements.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(b) Guarantees and Product Warranties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21, 2023, CenterPoint Energy, through Vectren Energy Services, entered into the Equity Purchase Agreement to sell Energy Systems Group. The sale closed on June 30, 2023. See Note 3 for further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the normal course of business prior to the consummation of the transaction on June 30, 2023, CenterPoint Energy, primarily through Vectren, issued parent company level guarantees supporting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s obligations. When Energy Systems Group was wholly 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estimates the maximum exposure under these guarantees to be approximately $489 million as of March 31, 2024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While there can be no assurance that performance under any of these parent company guarantees will not be required in the future, CenterPoint Energy considers the likelihood of a material amount being incurred as remote. CenterPoint Energy believes that, from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 xml:space="preserve">s inception in 1994 to the closing of the sale of Energy Systems Group on June 30, 2023, </w:t>
      </w:r>
      <w:r>
        <w:rPr>
          <w:rFonts w:ascii="Times New Roman;sans-serif" w:hAnsi="Times New Roman;sans-serif"/>
          <w:b w:val="false"/>
          <w:color w:val="221F1F"/>
          <w:sz w:val="20"/>
        </w:rPr>
        <w:t>Energy Systems Group</w:t>
      </w:r>
      <w:r>
        <w:rPr>
          <w:color w:val="000000"/>
        </w:rPr>
        <w:t xml:space="preserve"> </w:t>
      </w:r>
      <w:r>
        <w:rPr>
          <w:rFonts w:ascii="Times New Roman;sans-serif" w:hAnsi="Times New Roman;sans-serif"/>
          <w:b w:val="false"/>
          <w:color w:val="000000"/>
          <w:sz w:val="20"/>
        </w:rPr>
        <w:t>had a history of generally meeting its performance obligations and energy savings guarantees and its installed products operated effectively. CenterPoint Energy recorded no amounts on its Condensed Consolidated Balance Sheets as of March 31, 2024 and December 31, 2023 related to its obligation under the outstanding guarantees.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(c)Legal, Environmental and Other Matters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Litigation Related to the February 2021 Winter Storm Event.</w:t>
      </w:r>
      <w:r>
        <w:rPr>
          <w:color w:val="000000"/>
        </w:rPr>
        <w:t xml:space="preserve"> </w:t>
      </w:r>
      <w:r>
        <w:rPr>
          <w:rFonts w:ascii="Times New Roman;sans-serif" w:hAnsi="Times New Roman;sans-serif"/>
          <w:b w:val="false"/>
          <w:color w:val="000000"/>
          <w:sz w:val="20"/>
        </w:rPr>
        <w:t>Various legal proceedings are still pending against numerous entities with respect to the February 2021 Winter Storm Event, 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Utility Holding, and Houston Electric, along with hundreds of other defendants (including ERCOT, power generation companies, other TDUs, natural gas producers, REPs, and other entities) have received claims and lawsuits filed by plaintiffs alleging wrongful death, personal injury, property damage and other injuries and damages. As of March 31, 2024, there are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155 of those lawsuits. One of the lawsuits in the MDL is a putative class action on behalf of everyone who received electric power via ERCOT grid and sustained a power outage between February 10, 2021 and February 28, 2021. Additionally, Utility Holding is currently named as a defendant in one lawsuit in which CenterPoint Energy and Houston Electric are also named as defendants.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judge overseeing the MDL issued an initial case management order and stayed all proceedings and discovery. Per the case management order, the judge entertained dispositive motions in five representative or “bellwether” cases and, in late January 2023, issued rulings on them. In a subsequent opinion in an unrelated matter, the Texas Supreme Court held that ERCOT is entitled to sovereign immunity. This ruling will apply to claims against ERCOT in the MDL. The MDL judge also dismissed all claims against the natural gas defendants (which list of natural gas defendants incorrectly included Utility Holding) and the REP defendants and some causes of action against the other defendants. CenterPoint Energy expects that the claims against Utility Holding will ultimately be dismissed in light of the judge’s initial rulings. As to the TDU and generator defendants, the judge dismissed some causes of action but denied the motions to dismiss claims for negligence, gross negligence, and nuisance, which denial the TDU defendants and generator defendants asked the courts of appeals to overturn. On April 2, 2024, a three-judge panel of the Court of Appeals for the Fourteenth District of Texas issued an opinion in the TDU mandamus proceeding, granting in part and denying in part the TDUs’ mandamus request. In its opinion, the panel granted the TDUs’ mandamus request relating to the TDUs’ motion to dismiss the plaintiffs’ claims for negligence and negligent and strict liability nuisance and ordered those claims be dismissed. The panel denied the TDUs’ mandamus request relating to the TDUs’ motion to dismiss the plaintiffs’ gross negligence/intentional misconduct and intentional nuisance claims. The TDUs plan to file a mandamus petition to the Supreme Court of Texas, seeking dismissal of the remaining claims. In the generator mandamus proceeding pending in the Court of Appeals for the First District of Texas, the plaintiffs have asked the entire First Court of Appeals to rehear the panel’s decision granting the generators’ mandamus request. The MDL judge is allowing defendants (including Houston Electric) to file several additional motions on preliminary legal issues, and otherwise the cases remain stayed. CenterPoint Energy, Utility Holding, and Houston Electric intend to vigorously defend themselves against the claims raised.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CES).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are brought by an entity that purports to be an assignee of claims by tens of thousands of persons and entities that have assigned claims to the plaintiff.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As of March 31, 2024, most of the lawsuits have not been served, but the three cases in which defendants were served were tagged for transfer to the existing MDL proceeding referenced above. On February 2, 2024, CERC filed pleas to the jurisdiction in the three cases in which it was served; CERC also partially joined the defendants’ motions to dismiss and additional pleas to the jurisdiction. On April 2, 2024, plaintiffs in the three served cases filed amended petitions rather than responding to pleas to the jurisdiction, and motions to dismiss. Among other changes, plaintiffs in these three cases dismissed CenterPoint Energy Services, but maintained the same three causes of action as to the remaining defendants. CERC intends to vigorously defend itself against the claims raised, including by renewing jurisdictional challenges to the plaintiffs’ claims. The nine other similar lawsuits filed in Harris County have also been tagged for transfer to the MDL proceeding, but the defendants, including CERC, have not been served. These gas market cases are in addition to the 220 cases noted above regarding electric market issues.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recently denied coverage for intentional injury as alleged by plaintiffs in the gas market cases. CenterPoint Energy and its subsidiaries intend to continue to pursue any and all available insurance coverage for all of these matters.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Jefferson Parish</w:t>
      </w:r>
      <w:r>
        <w:rPr>
          <w:rFonts w:ascii="Times New Roman;sans-serif" w:hAnsi="Times New Roman;sans-serif"/>
          <w:b w:val="false"/>
          <w:color w:val="000000"/>
          <w:sz w:val="20"/>
        </w:rPr>
        <w:t>. Several parishes and the State of Louisiana filed 42 suits under Louisiana’s State and Local Coastal Resources Management Act (SLCRMA) against hundreds of oil and gas companies seeking compensatory damages for contamination and erosion of the Louisiana coastline allegedly caused by historical oil and gas operations. One of the defendants in one of the lawsuits (filed in 2013 only by the Parish of Jefferson) is Primary Fuels, Inc., a predecessor company of CenterPoint Energy, which operated in Louisiana from 1983-1989. All 42 suits were removed to Louisiana federal courts twice and were stayed for several years pending the district courts’ consideration of various motions to remand and multiple appeals of remand orders. Recently, several cases involving other parishes that had been remanded to Louisiana state court have begun to resume proceedings in state court. However, as of March 31, 2024, the federal district court had not ruled on Jefferson Parish’s motion to remand to state court the lawsuit which includes Primary Fuels, Inc. among the defendants.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procedurally preliminary nature of the proceedings, lack of information about both the scope of and damages for Jefferson Parish’s claim against Primary Fuels, Inc., the numerosity of parties and complexity of issues involved, and the uncertainties of litigation, CenterPoint Energy and its subsidiaries are unable to predict the outcome or consequences of this matter or to estimate a range of potential losses. CenterPoint Energy will continue to vigorously defend itself against the claims raised and pursue any and all available insurance coverage.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MGP Sites.</w:t>
      </w:r>
      <w:r>
        <w:rPr>
          <w:color w:val="000000"/>
        </w:rPr>
        <w:t xml:space="preserve"> </w:t>
      </w:r>
      <w:r>
        <w:rPr>
          <w:rFonts w:ascii="Times New Roman;sans-serif" w:hAnsi="Times New Roman;sans-serif"/>
          <w:b w:val="false"/>
          <w:color w:val="000000"/>
          <w:sz w:val="20"/>
        </w:rPr>
        <w:t xml:space="preserve">CenterPoint Energy, CERC and their predecessors, including predecessors of Vectren, operated MGPs in the past. The costs CenterPoint Energy or CERC, as applicable, expect to incur to fulfill their respective obligations are estimated by management using assumptions based on actual costs incurred, the timing of expected future payments and inflation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(i)</w:t>
      </w:r>
      <w:r>
        <w:rPr>
          <w:rFonts w:ascii="Times New Roman;sans-serif" w:hAnsi="Times New Roman;sans-serif"/>
          <w:b w:val="false"/>
          <w:i/>
          <w:color w:val="000000"/>
          <w:sz w:val="20"/>
        </w:rPr>
        <w:t>Minnesota MGPs (CenterPoint Energy and CERC)</w:t>
      </w:r>
      <w:r>
        <w:rPr>
          <w:rFonts w:ascii="Times New Roman;sans-serif" w:hAnsi="Times New Roman;sans-serif"/>
          <w:b w:val="false"/>
          <w:color w:val="000000"/>
          <w:sz w:val="20"/>
        </w:rPr>
        <w:t>. With respect to certain Minnesota MGP sites, CenterPoint Energy and CERC have completed state-ordered remediation and continue state-ordered monitoring and water treatment. CenterPoint Energy and CERC recorded a liability as reflected in the table below for continued monitoring and any future remediation required by regulators in Minnesota.</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(ii)</w:t>
      </w:r>
      <w:r>
        <w:rPr>
          <w:rFonts w:ascii="Times New Roman;sans-serif" w:hAnsi="Times New Roman;sans-serif"/>
          <w:b w:val="false"/>
          <w:i/>
          <w:color w:val="000000"/>
          <w:sz w:val="20"/>
        </w:rPr>
        <w:t>Indiana MGPs (CenterPoint Energy and CERC)</w:t>
      </w:r>
      <w:r>
        <w:rPr>
          <w:rFonts w:ascii="Times New Roman;sans-serif" w:hAnsi="Times New Roman;sans-serif"/>
          <w:b w:val="false"/>
          <w:color w:val="000000"/>
          <w:sz w:val="20"/>
        </w:rPr>
        <w:t>. In the Indiana Gas service territory, the existence, location and certain general characteristics of 26 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(iii)</w:t>
      </w:r>
      <w:r>
        <w:rPr>
          <w:rFonts w:ascii="Times New Roman;sans-serif" w:hAnsi="Times New Roman;sans-serif"/>
          <w:b w:val="false"/>
          <w:i/>
          <w:color w:val="000000"/>
          <w:sz w:val="20"/>
        </w:rPr>
        <w:t>Other MGPs</w:t>
      </w:r>
      <w:r>
        <w:rPr>
          <w:color w:val="000000"/>
        </w:rPr>
        <w:t xml:space="preserve"> </w:t>
      </w:r>
      <w:r>
        <w:rPr>
          <w:rFonts w:ascii="Times New Roman;sans-serif" w:hAnsi="Times New Roman;sans-serif"/>
          <w:b w:val="false"/>
          <w:i/>
          <w:color w:val="000000"/>
          <w:sz w:val="20"/>
        </w:rPr>
        <w:t>(CenterPoint Energy and CERC).</w:t>
      </w:r>
      <w:r>
        <w:rPr>
          <w:color w:val="000000"/>
        </w:rPr>
        <w:t xml:space="preserve"> </w:t>
      </w:r>
      <w:r>
        <w:rPr>
          <w:rFonts w:ascii="Times New Roman;sans-serif" w:hAnsi="Times New Roman;sans-serif"/>
          <w:b w:val="false"/>
          <w:color w:val="000000"/>
          <w:sz w:val="20"/>
        </w:rPr>
        <w:t>In addition to the Minnesota and Indiana sites, the EPA and other regulators have investigated MGP sites that were owned or operated by CenterPoint Energy or CERC or may have been owned by one of their former affiliates.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tbl>
      <w:tblPr>
        <w:tblW w:w="5478" w:type="dxa"/>
        <w:jc w:val="left"/>
        <w:tblInd w:w="0" w:type="dxa"/>
        <w:tblLayout w:type="fixed"/>
        <w:tblCellMar>
          <w:top w:w="28" w:type="dxa"/>
          <w:left w:w="28" w:type="dxa"/>
          <w:bottom w:w="28" w:type="dxa"/>
          <w:right w:w="28" w:type="dxa"/>
        </w:tblCellMar>
      </w:tblPr>
      <w:tblGrid>
        <w:gridCol w:w="1025"/>
        <w:gridCol w:w="902"/>
        <w:gridCol w:w="908"/>
        <w:gridCol w:w="503"/>
        <w:gridCol w:w="851"/>
        <w:gridCol w:w="281"/>
        <w:gridCol w:w="109"/>
        <w:gridCol w:w="109"/>
        <w:gridCol w:w="109"/>
        <w:gridCol w:w="196"/>
        <w:gridCol w:w="33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years)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accrued for remediation</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estimated remediation costs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estimated remediation costs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years of remediation</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years of remediation</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CERC do not expect the ultimate outcome of these matters to have a material adverse effect on the financial condition, results of operations or cash flows of either CenterPoint Energy or CERC.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Asbestos.</w:t>
      </w:r>
      <w:r>
        <w:rPr>
          <w:color w:val="000000"/>
        </w:rPr>
        <w:t xml:space="preserve"> </w:t>
      </w:r>
      <w:r>
        <w:rPr>
          <w:rFonts w:ascii="Times New Roman;sans-serif" w:hAnsi="Times New Roman;sans-serif"/>
          <w:b w:val="false"/>
          <w:color w:val="000000"/>
          <w:sz w:val="20"/>
        </w:rPr>
        <w:t>Some facilities owned by the Registrants or their predecessors contain or have contained asbestos insulation and other asbestos-containing 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CCR Rule (CenterPoint Energy). </w:t>
      </w:r>
      <w:r>
        <w:rPr>
          <w:rFonts w:ascii="Times New Roman;sans-serif" w:hAnsi="Times New Roman;sans-serif"/>
          <w:b w:val="false"/>
          <w:color w:val="000000"/>
          <w:sz w:val="20"/>
        </w:rPr>
        <w:t xml:space="preserve">In April 2015, the EPA finalized its CCR Rule, which regulates ash as non-hazardous material under the RCRA. The 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The Part A amendments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finalized in August 2020 and extended the deadline to cease placement of ash in ponds to April 11, 2021, discussed further below. The Part A amendments do not restrict Indiana Electric’s current beneficial reuse of its fly ash.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were necessary to determine the remaining service life of the ponds and whether a pond must be retrofitted with liners or closed in place.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filed timely extension requests available under the CCR Rule that would allow Indiana Electric to continue to use the ponds through October 15, 2023. On October 5, 2022, the EPA issued a proposed conditional approval of the Part A extension request for the A.B. Brown pond. Both the Culley East and A.B. Brown facilities have been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ans-serif" w:hAnsi="Times New Roman;sans-serif"/>
          <w:b w:val="false"/>
          <w:color w:val="000000"/>
          <w:sz w:val="20"/>
        </w:rPr>
        <w:t>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2022, Indiana Electric filed for a CPCN to recover federally mandated costs associated with closure of the Culley East Pond, its third and final ash pond. Indiana Electric sought accounting and ratemaking relief for the project, and on June 8, 2023, Indiana Electric filed a revised CPCN for recovery of the federally mandated ash pond costs. On February 7, 2024 the IURC approved the federally mandated costs, both incurred and projected, of $52 million in capital costs, plus an estimated $133 thousand in annual operation and maintenance expenses, for recovery through the ECA.</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CenterPoint Energy has recorded an approximate $117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2023, the EPA issued a proposed revision to the CCR Rule that could potentially expand the scope of units regulated under the federal CCR Rule (CCR Legacy Rule). The CCR Legacy Rule seeks to include legacy CCR surface impoundments (inactive surface impoundments at inactive generating facilities) as well as new “CCR management units” at active or inactive facilities otherwise subject to federal CCR regulations. On April 25, 2024, the EPA released its final Hazardous and Solid Waste Management System; Disposal of Coal Combustion Residuals from Electric Utilities; Legacy CCR Surface Impoundments rule. CenterPoint Energy is currently evaluating the effects of the rule and expects that the rule will require CenterPoint Energy to conduct additional CCR investigations.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Clean Water Act Permitting of Groundwater and Power Plant Discharges</w:t>
      </w:r>
      <w:r>
        <w:rPr>
          <w:rFonts w:ascii="Times New Roman;sans-serif" w:hAnsi="Times New Roman;sans-serif"/>
          <w:b w:val="false"/>
          <w:color w:val="000000"/>
          <w:sz w:val="20"/>
        </w:rPr>
        <w:t>. In April 2020, the U.S. Supreme Court issued an opinion providing that indirect discharges via groundwater or other non-point sources are subject to permitting and liability under the Clean Water Act when they are the functional equivalent of a direct discharge. On November 27, 2023, the EPA published draft guidance regarding the application of the “functional equivalent” analysis as related to permitting of certain discharges through groundwater to surface waters. The Registrants are evaluating the extent to which this decision and the proposed EPA guidance will affect Clean Water Act permitting requirements and/or liability for their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EPA finalized revisions to the existing steam electric wastewater discharge standards which set more stringent wastewater 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released its final Supplemental Effluent Limitation Guidelines and Standards for the Steam Electric Generating Point Source Category. CenterPoint Energy is currently evaluating the effects of this rule.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Environmental. </w:t>
      </w:r>
      <w:r>
        <w:rPr>
          <w:rFonts w:ascii="Times New Roman;sans-serif" w:hAnsi="Times New Roman;sans-serif"/>
          <w:b w:val="false"/>
          <w:color w:val="000000"/>
          <w:sz w:val="20"/>
        </w:rPr>
        <w:t>From time to time, the Registrants identify the presence of environmental contaminants during operations or on property where 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Other Proceedings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Earnings Per Share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by dividing income available to common shareholders by the weighted average number of common shares outstanding during the period. Participating securities are excluded from weighted average number of common shares outstanding in the computation of basic earnings per common share. Diluted earnings per common share is computed by dividing income available to common shareholders by the weighted average number of common shares outstanding, including all potentially dilutive common shares, if the effect of such common shares is dilutive.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common share reflects the dilutive effect of potential common shares from share-based awards. The dilutive effect of restricted stock is computed using the if-converted method, which assumes conversion of the restricted stock at the beginning of the period. The dilutive effect of restricted stock is computed using the treasury stock method, as applicable, which includes the incremental shares that would be hypothetically vested in excess of the number of shares assumed to be hypothetically repurchased with the assumed proceeds.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Diluted earnings per common share will also reflect the dilutive effect of potential common shares from the conversion of the Convertible Notes.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convertible debt is in the money. The denominator of diluted earnings per common share is determined by dividing the conversion spread value of the share-settled portion of the Convertible Notes as of the reporting date by the average share price over the reporting period. For the three months ended March 31, 2024, the convertible debt was not in the money; therefore, no incremental shares were assumed converted or included in the diluted earnings per share calculation below. For further details about the Convertible Notes, see Note 11</w:t>
      </w:r>
      <w:r>
        <w:rPr>
          <w:rFonts w:ascii="Times New Roman;sans-serif" w:hAnsi="Times New Roman;sans-serif"/>
          <w:b w:val="false"/>
          <w:color w:val="000000"/>
          <w:sz w:val="22"/>
        </w:rPr>
        <w: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numerators and denominators of CenterPoint Energy’s basic and diluted earnings per common share. </w:t>
      </w:r>
    </w:p>
    <w:tbl>
      <w:tblPr>
        <w:tblW w:w="9362" w:type="dxa"/>
        <w:jc w:val="left"/>
        <w:tblInd w:w="0" w:type="dxa"/>
        <w:tblLayout w:type="fixed"/>
        <w:tblCellMar>
          <w:top w:w="28" w:type="dxa"/>
          <w:left w:w="28" w:type="dxa"/>
          <w:bottom w:w="28" w:type="dxa"/>
          <w:right w:w="28" w:type="dxa"/>
        </w:tblCellMar>
      </w:tblPr>
      <w:tblGrid>
        <w:gridCol w:w="1599"/>
        <w:gridCol w:w="1411"/>
        <w:gridCol w:w="1415"/>
        <w:gridCol w:w="109"/>
        <w:gridCol w:w="109"/>
        <w:gridCol w:w="284"/>
        <w:gridCol w:w="284"/>
        <w:gridCol w:w="636"/>
        <w:gridCol w:w="1515"/>
        <w:gridCol w:w="353"/>
        <w:gridCol w:w="135"/>
        <w:gridCol w:w="135"/>
        <w:gridCol w:w="135"/>
        <w:gridCol w:w="311"/>
        <w:gridCol w:w="740"/>
        <w:gridCol w:w="191"/>
      </w:tblGrid>
      <w:tr>
        <w:trPr/>
        <w:tc>
          <w:tcPr>
            <w:tcW w:w="159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47"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and share amounts)</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 requirement (Note 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available to common shareholders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632,228,000 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630,309,000 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Incremental shares from assumed conversions: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1,742,000 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633,970,000 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633,051,000 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0.55 </w:t>
            </w:r>
          </w:p>
        </w:tc>
        <w:tc>
          <w:tcPr>
            <w:tcW w:w="3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Reportable Segments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reportable segments by Registrant were as follows: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CenterPoint Energy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Electric reportable segment consists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Corporate and Other category consists of energy performance contracting and sustainable infrastructure services through Energy Systems Group through June 30, 2023, the date of the sale of Energy Systems Group, and corporate operations which support all of the business operations of CenterPoint Energy. CenterPoint Energy’s Corporate and Other also includes office buildings and other real estate used for business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Houston Electric</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Houston Electric’s single reportable segment consists of electric transmission services to transmission service customers in the ERCOT region and distribution services to REPs serving the Texas gulf coast area that includes the city of Houston.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CERC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CERC’s single reportable segment following the Restructuring consisted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data for reportable segments is as follows: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CenterPoint Energy </w:t>
      </w:r>
    </w:p>
    <w:tbl>
      <w:tblPr>
        <w:tblW w:w="8824" w:type="dxa"/>
        <w:jc w:val="center"/>
        <w:tblInd w:w="0" w:type="dxa"/>
        <w:tblLayout w:type="fixed"/>
        <w:tblCellMar>
          <w:top w:w="28" w:type="dxa"/>
          <w:left w:w="28" w:type="dxa"/>
          <w:bottom w:w="28" w:type="dxa"/>
          <w:right w:w="28" w:type="dxa"/>
        </w:tblCellMar>
      </w:tblPr>
      <w:tblGrid>
        <w:gridCol w:w="570"/>
        <w:gridCol w:w="500"/>
        <w:gridCol w:w="505"/>
        <w:gridCol w:w="286"/>
        <w:gridCol w:w="813"/>
        <w:gridCol w:w="161"/>
        <w:gridCol w:w="109"/>
        <w:gridCol w:w="109"/>
        <w:gridCol w:w="109"/>
        <w:gridCol w:w="109"/>
        <w:gridCol w:w="109"/>
        <w:gridCol w:w="409"/>
        <w:gridCol w:w="879"/>
        <w:gridCol w:w="227"/>
        <w:gridCol w:w="109"/>
        <w:gridCol w:w="109"/>
        <w:gridCol w:w="109"/>
        <w:gridCol w:w="286"/>
        <w:gridCol w:w="813"/>
        <w:gridCol w:w="161"/>
        <w:gridCol w:w="109"/>
        <w:gridCol w:w="109"/>
        <w:gridCol w:w="109"/>
        <w:gridCol w:w="109"/>
        <w:gridCol w:w="109"/>
        <w:gridCol w:w="267"/>
        <w:gridCol w:w="574"/>
        <w:gridCol w:w="148"/>
        <w:gridCol w:w="109"/>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gridSpan w:val="10"/>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12"/>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 from</w:t>
              <w:br/>
              <w:t>External</w:t>
              <w:br/>
              <w:t>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 from</w:t>
              <w:br/>
              <w:t>External</w:t>
              <w:br/>
              <w:t>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430" w:type="dxa"/>
        <w:jc w:val="left"/>
        <w:tblInd w:w="0" w:type="dxa"/>
        <w:tblLayout w:type="fixed"/>
        <w:tblCellMar>
          <w:top w:w="28" w:type="dxa"/>
          <w:left w:w="28" w:type="dxa"/>
          <w:bottom w:w="28" w:type="dxa"/>
          <w:right w:w="28" w:type="dxa"/>
        </w:tblCellMar>
      </w:tblPr>
      <w:tblGrid>
        <w:gridCol w:w="1167"/>
        <w:gridCol w:w="1024"/>
        <w:gridCol w:w="1034"/>
        <w:gridCol w:w="266"/>
        <w:gridCol w:w="876"/>
        <w:gridCol w:w="147"/>
        <w:gridCol w:w="109"/>
        <w:gridCol w:w="109"/>
        <w:gridCol w:w="109"/>
        <w:gridCol w:w="313"/>
        <w:gridCol w:w="1031"/>
        <w:gridCol w:w="245"/>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Assets</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Natural Gas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 net of eliminations (1)</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(1)Total assets included pension and other postemployment-related regulatory assets of $379 million and $385 million as of March 31, 2024 and December 31, 2023, respectively.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Houston Electric</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consists of a single reportable segment; therefore, a tabular reportable segment presentation has not been included.</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CERC consists of a single reportable segment; therefore, a tabular reportable segment presentation has not been included.</w:t>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Supplemental Disclosure of Cash Flow and Balance Sheet Information</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Supplemental Disclosure of Cash Flow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supplemental disclosure of cash flow information:</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996"/>
        <w:gridCol w:w="810"/>
        <w:gridCol w:w="815"/>
        <w:gridCol w:w="346"/>
        <w:gridCol w:w="744"/>
        <w:gridCol w:w="194"/>
        <w:gridCol w:w="109"/>
        <w:gridCol w:w="109"/>
        <w:gridCol w:w="109"/>
        <w:gridCol w:w="317"/>
        <w:gridCol w:w="536"/>
        <w:gridCol w:w="177"/>
        <w:gridCol w:w="109"/>
        <w:gridCol w:w="109"/>
        <w:gridCol w:w="109"/>
        <w:gridCol w:w="196"/>
        <w:gridCol w:w="331"/>
        <w:gridCol w:w="109"/>
        <w:gridCol w:w="109"/>
        <w:gridCol w:w="109"/>
        <w:gridCol w:w="109"/>
        <w:gridCol w:w="346"/>
        <w:gridCol w:w="744"/>
        <w:gridCol w:w="194"/>
        <w:gridCol w:w="109"/>
        <w:gridCol w:w="109"/>
        <w:gridCol w:w="109"/>
        <w:gridCol w:w="317"/>
        <w:gridCol w:w="536"/>
        <w:gridCol w:w="177"/>
        <w:gridCol w:w="109"/>
        <w:gridCol w:w="109"/>
        <w:gridCol w:w="109"/>
        <w:gridCol w:w="196"/>
        <w:gridCol w:w="331"/>
        <w:gridCol w:w="158"/>
      </w:tblGrid>
      <w:tr>
        <w:trPr/>
        <w:tc>
          <w:tcPr>
            <w:tcW w:w="9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Payments/Receipts:</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net of capitalized interest</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refunds, net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transactions:</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to capital expenditures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lease liabilities (1)</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Excludes ROU assets obtained through prepayment of the lease liabilities. See Note 19.</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reconciliation of cash, cash equivalents and restricted cash reported in the Condensed Consolidated Balance Sheets to the amount reported in the Condensed Statements of Consolidated Cash Flows: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06"/>
        <w:gridCol w:w="975"/>
        <w:gridCol w:w="982"/>
        <w:gridCol w:w="314"/>
        <w:gridCol w:w="676"/>
        <w:gridCol w:w="176"/>
        <w:gridCol w:w="109"/>
        <w:gridCol w:w="109"/>
        <w:gridCol w:w="109"/>
        <w:gridCol w:w="245"/>
        <w:gridCol w:w="528"/>
        <w:gridCol w:w="136"/>
        <w:gridCol w:w="109"/>
        <w:gridCol w:w="109"/>
        <w:gridCol w:w="109"/>
        <w:gridCol w:w="196"/>
        <w:gridCol w:w="331"/>
        <w:gridCol w:w="109"/>
        <w:gridCol w:w="109"/>
        <w:gridCol w:w="109"/>
        <w:gridCol w:w="109"/>
        <w:gridCol w:w="314"/>
        <w:gridCol w:w="676"/>
        <w:gridCol w:w="176"/>
        <w:gridCol w:w="109"/>
        <w:gridCol w:w="109"/>
        <w:gridCol w:w="109"/>
        <w:gridCol w:w="279"/>
        <w:gridCol w:w="471"/>
        <w:gridCol w:w="155"/>
        <w:gridCol w:w="109"/>
        <w:gridCol w:w="109"/>
        <w:gridCol w:w="109"/>
        <w:gridCol w:w="204"/>
        <w:gridCol w:w="251"/>
        <w:gridCol w:w="170"/>
      </w:tblGrid>
      <w:tr>
        <w:trPr/>
        <w:tc>
          <w:tcPr>
            <w:tcW w:w="12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(1)</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 (2)</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Condensed Statements of Consolidated Cash Flows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(1)Cash and cash equivalents related to VIEs as of March 31, 2024 and December 31, 2023 included $132 million and $90 million, respectively, at CenterPoint Energy and $109 million and $76 million, respectively, at Houston Electric.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(2)Restricted cash primarily related to accounts established by CenterPoint Energy and Houston Electric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Supplemental Disclosure of Balance Sheet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other current liabilities on CERC’s Consolidated Balance Sheets as of March 31, 2024 and December 31, 2023 was $65 million and $118 million, respectively, of credits related to customers on budget billing programs. Included in other current liabilities on Houston Electric’s Consolidated Balance Sheets as of March 31, 2024 and December 31, 2023 was $50 million and $47 million, respectively, of accrued contributions in aid of construction.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(17) Related Party Transactions</w:t>
      </w:r>
      <w:r>
        <w:rPr>
          <w:color w:val="000000"/>
        </w:rPr>
        <w:t xml:space="preserve"> </w:t>
      </w:r>
      <w:r>
        <w:rPr>
          <w:rFonts w:ascii="Times New Roman;sans-serif" w:hAnsi="Times New Roman;sans-serif"/>
          <w:b/>
          <w:color w:val="000000"/>
          <w:sz w:val="20"/>
        </w:rPr>
        <w:t>(Houston Electric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 money pool activity:</w:t>
      </w:r>
    </w:p>
    <w:p>
      <w:pPr>
        <w:pStyle w:val="TextBody"/>
        <w:bidi w:val="0"/>
        <w:spacing w:before="0" w:after="0"/>
        <w:ind w:left="0" w:right="0" w:firstLine="360"/>
        <w:jc w:val="both"/>
        <w:rPr/>
      </w:pPr>
      <w:r>
        <w:rPr/>
      </w:r>
    </w:p>
    <w:tbl>
      <w:tblPr>
        <w:tblW w:w="8484" w:type="dxa"/>
        <w:jc w:val="left"/>
        <w:tblInd w:w="0" w:type="dxa"/>
        <w:tblLayout w:type="fixed"/>
        <w:tblCellMar>
          <w:top w:w="28" w:type="dxa"/>
          <w:left w:w="28" w:type="dxa"/>
          <w:bottom w:w="28" w:type="dxa"/>
          <w:right w:w="28" w:type="dxa"/>
        </w:tblCellMar>
      </w:tblPr>
      <w:tblGrid>
        <w:gridCol w:w="1130"/>
        <w:gridCol w:w="992"/>
        <w:gridCol w:w="998"/>
        <w:gridCol w:w="310"/>
        <w:gridCol w:w="665"/>
        <w:gridCol w:w="404"/>
        <w:gridCol w:w="109"/>
        <w:gridCol w:w="109"/>
        <w:gridCol w:w="109"/>
        <w:gridCol w:w="196"/>
        <w:gridCol w:w="406"/>
        <w:gridCol w:w="256"/>
        <w:gridCol w:w="109"/>
        <w:gridCol w:w="109"/>
        <w:gridCol w:w="109"/>
        <w:gridCol w:w="310"/>
        <w:gridCol w:w="665"/>
        <w:gridCol w:w="404"/>
        <w:gridCol w:w="109"/>
        <w:gridCol w:w="109"/>
        <w:gridCol w:w="109"/>
        <w:gridCol w:w="209"/>
        <w:gridCol w:w="257"/>
        <w:gridCol w:w="301"/>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 except interest rates)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pool investments (borrowings) (1)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interest rate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Accounts and notes receivable (payable)–affiliated companies on Houston Electric’s and CERC’s respective Condensed Consolidated Balance Sheets, as applicable.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charged for these services were as follows and are included primarily in Operation and maintenance expenses on the Condensed Statements of Consolidated Income:</w:t>
      </w:r>
    </w:p>
    <w:tbl>
      <w:tblPr>
        <w:tblW w:w="9342" w:type="dxa"/>
        <w:jc w:val="left"/>
        <w:tblInd w:w="0" w:type="dxa"/>
        <w:tblLayout w:type="fixed"/>
        <w:tblCellMar>
          <w:top w:w="28" w:type="dxa"/>
          <w:left w:w="28" w:type="dxa"/>
          <w:bottom w:w="28" w:type="dxa"/>
          <w:right w:w="28" w:type="dxa"/>
        </w:tblCellMar>
      </w:tblPr>
      <w:tblGrid>
        <w:gridCol w:w="999"/>
        <w:gridCol w:w="879"/>
        <w:gridCol w:w="882"/>
        <w:gridCol w:w="109"/>
        <w:gridCol w:w="109"/>
        <w:gridCol w:w="218"/>
        <w:gridCol w:w="218"/>
        <w:gridCol w:w="218"/>
        <w:gridCol w:w="218"/>
        <w:gridCol w:w="218"/>
        <w:gridCol w:w="218"/>
        <w:gridCol w:w="425"/>
        <w:gridCol w:w="718"/>
        <w:gridCol w:w="236"/>
        <w:gridCol w:w="109"/>
        <w:gridCol w:w="109"/>
        <w:gridCol w:w="109"/>
        <w:gridCol w:w="196"/>
        <w:gridCol w:w="331"/>
        <w:gridCol w:w="109"/>
        <w:gridCol w:w="109"/>
        <w:gridCol w:w="109"/>
        <w:gridCol w:w="109"/>
        <w:gridCol w:w="425"/>
        <w:gridCol w:w="717"/>
        <w:gridCol w:w="237"/>
        <w:gridCol w:w="109"/>
        <w:gridCol w:w="109"/>
        <w:gridCol w:w="109"/>
        <w:gridCol w:w="196"/>
        <w:gridCol w:w="33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677" w:type="dxa"/>
            <w:gridSpan w:val="18"/>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2714" w:type="dxa"/>
            <w:gridSpan w:val="1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service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affiliate service charges (billings)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transactions among Houston Electric, CERC and their parent, Utility Holding:</w:t>
      </w:r>
    </w:p>
    <w:tbl>
      <w:tblPr>
        <w:tblW w:w="9166"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218"/>
        <w:gridCol w:w="218"/>
        <w:gridCol w:w="218"/>
        <w:gridCol w:w="218"/>
        <w:gridCol w:w="218"/>
        <w:gridCol w:w="218"/>
        <w:gridCol w:w="425"/>
        <w:gridCol w:w="718"/>
        <w:gridCol w:w="236"/>
        <w:gridCol w:w="109"/>
        <w:gridCol w:w="109"/>
        <w:gridCol w:w="109"/>
        <w:gridCol w:w="196"/>
        <w:gridCol w:w="421"/>
        <w:gridCol w:w="109"/>
        <w:gridCol w:w="109"/>
        <w:gridCol w:w="109"/>
        <w:gridCol w:w="109"/>
        <w:gridCol w:w="425"/>
        <w:gridCol w:w="717"/>
        <w:gridCol w:w="237"/>
        <w:gridCol w:w="109"/>
        <w:gridCol w:w="109"/>
        <w:gridCol w:w="109"/>
        <w:gridCol w:w="196"/>
        <w:gridCol w:w="421"/>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857" w:type="dxa"/>
            <w:gridSpan w:val="18"/>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2804" w:type="dxa"/>
            <w:gridSpan w:val="12"/>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contribution from parent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(18) Equity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Dividends Declared and Paid (CenterPoint Energy)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declared and paid dividends on its Common Stock as follows during the periods indicated below:</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47"/>
        <w:gridCol w:w="565"/>
        <w:gridCol w:w="571"/>
        <w:gridCol w:w="109"/>
        <w:gridCol w:w="109"/>
        <w:gridCol w:w="109"/>
        <w:gridCol w:w="201"/>
        <w:gridCol w:w="201"/>
        <w:gridCol w:w="479"/>
        <w:gridCol w:w="994"/>
        <w:gridCol w:w="265"/>
        <w:gridCol w:w="138"/>
        <w:gridCol w:w="138"/>
        <w:gridCol w:w="138"/>
        <w:gridCol w:w="249"/>
        <w:gridCol w:w="517"/>
        <w:gridCol w:w="138"/>
        <w:gridCol w:w="109"/>
        <w:gridCol w:w="109"/>
        <w:gridCol w:w="109"/>
        <w:gridCol w:w="694"/>
        <w:gridCol w:w="694"/>
        <w:gridCol w:w="696"/>
        <w:gridCol w:w="109"/>
        <w:gridCol w:w="197"/>
        <w:gridCol w:w="559"/>
        <w:gridCol w:w="109"/>
        <w:gridCol w:w="109"/>
        <w:gridCol w:w="109"/>
        <w:gridCol w:w="109"/>
        <w:gridCol w:w="197"/>
        <w:gridCol w:w="559"/>
        <w:gridCol w:w="169"/>
      </w:tblGrid>
      <w:tr>
        <w:trPr/>
        <w:tc>
          <w:tcPr>
            <w:tcW w:w="6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Dividends Declared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Dividends Paid Per Share</w:t>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226" w:type="dxa"/>
            <w:gridSpan w:val="10"/>
            <w:tcBorders/>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1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of the outstanding shares of Series A Preferred Stock were redeemed during September 2023 as further described below.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Equity Distribution Agreement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CenterPoint Energy may also enter into one or more forward sales agreements pursuant to master forward confirmations. The offer and sale of Common Stock under the Equity Distribution Agreement will terminate upon the earliest of (1) the sale of all Common Stock subject to the Equity Distribution Agreement, (2) termination of the Equity Distribution Agreement, or (3) May 17, 2026. During the quarter ended March 31, 2024, CenterPoint Energy issued 133,405 shares of Common Stock through the ATM Managers under the Equity Distribution Agreement, representing aggregate cash proceeds of $3 million, which is net of compensation paid by CenterPoint Energy to the ATM Managers of less than $1 million. As of March 31, 2024, CenterPoint Energy had not entered into any forward sale agreements under the program. Additionally, as of March 31, 2024, CenterPoint Energy had $496 million of capacity available under the program. For information regarding issuances under the program subsequent to March 31, 2024, see Note 20.</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Allocated to Series A Preferred Shareholders (CenterPoint Energy)</w:t>
      </w:r>
    </w:p>
    <w:tbl>
      <w:tblPr>
        <w:tblW w:w="7313" w:type="dxa"/>
        <w:jc w:val="left"/>
        <w:tblInd w:w="0" w:type="dxa"/>
        <w:tblLayout w:type="fixed"/>
        <w:tblCellMar>
          <w:top w:w="28" w:type="dxa"/>
          <w:left w:w="28" w:type="dxa"/>
          <w:bottom w:w="28" w:type="dxa"/>
          <w:right w:w="28" w:type="dxa"/>
        </w:tblCellMar>
      </w:tblPr>
      <w:tblGrid>
        <w:gridCol w:w="1272"/>
        <w:gridCol w:w="1115"/>
        <w:gridCol w:w="1123"/>
        <w:gridCol w:w="109"/>
        <w:gridCol w:w="109"/>
        <w:gridCol w:w="302"/>
        <w:gridCol w:w="302"/>
        <w:gridCol w:w="544"/>
        <w:gridCol w:w="1127"/>
        <w:gridCol w:w="302"/>
        <w:gridCol w:w="109"/>
        <w:gridCol w:w="109"/>
        <w:gridCol w:w="109"/>
        <w:gridCol w:w="196"/>
        <w:gridCol w:w="331"/>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08"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allocated to preferred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of the outstanding shares of Series A Preferred Stock were redeemed during September 2023 as further described below.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Series A Preferred Stock Redemption (CenterPoint Energy)</w:t>
      </w:r>
      <w:r>
        <w:rPr>
          <w:color w:val="000000"/>
        </w:rPr>
        <w:t xml:space="preserve"> </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CenterPoint Energy redeemed 800,000 shares of CenterPoint Energy’s Series A Preferred Stock, in whole for cash at a redemption price of $1,000 per share, plus any accumulated and unpaid dividends thereon to, but excluding, the redemption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comprehensive income (loss) are as follows:</w:t>
      </w:r>
    </w:p>
    <w:tbl>
      <w:tblPr>
        <w:tblW w:w="10205" w:type="dxa"/>
        <w:jc w:val="left"/>
        <w:tblInd w:w="0" w:type="dxa"/>
        <w:tblLayout w:type="fixed"/>
        <w:tblCellMar>
          <w:top w:w="28" w:type="dxa"/>
          <w:left w:w="28" w:type="dxa"/>
          <w:bottom w:w="28" w:type="dxa"/>
          <w:right w:w="28" w:type="dxa"/>
        </w:tblCellMar>
      </w:tblPr>
      <w:tblGrid>
        <w:gridCol w:w="1456"/>
        <w:gridCol w:w="1275"/>
        <w:gridCol w:w="1266"/>
        <w:gridCol w:w="470"/>
        <w:gridCol w:w="832"/>
        <w:gridCol w:w="264"/>
        <w:gridCol w:w="109"/>
        <w:gridCol w:w="109"/>
        <w:gridCol w:w="109"/>
        <w:gridCol w:w="109"/>
        <w:gridCol w:w="109"/>
        <w:gridCol w:w="196"/>
        <w:gridCol w:w="331"/>
        <w:gridCol w:w="109"/>
        <w:gridCol w:w="109"/>
        <w:gridCol w:w="109"/>
        <w:gridCol w:w="109"/>
        <w:gridCol w:w="470"/>
        <w:gridCol w:w="832"/>
        <w:gridCol w:w="264"/>
        <w:gridCol w:w="109"/>
        <w:gridCol w:w="109"/>
        <w:gridCol w:w="109"/>
        <w:gridCol w:w="109"/>
        <w:gridCol w:w="109"/>
        <w:gridCol w:w="196"/>
        <w:gridCol w:w="331"/>
        <w:gridCol w:w="496"/>
      </w:tblGrid>
      <w:tr>
        <w:trPr/>
        <w:tc>
          <w:tcPr>
            <w:tcW w:w="145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42" w:type="dxa"/>
            <w:gridSpan w:val="22"/>
            <w:tcBorders/>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6" w:type="dxa"/>
            <w:gridSpan w:val="18"/>
            <w:tcBorders/>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4642" w:type="dxa"/>
            <w:gridSpan w:val="22"/>
            <w:tcBorders/>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68" w:type="dxa"/>
            <w:gridSpan w:val="8"/>
            <w:tcBorders/>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68" w:type="dxa"/>
            <w:gridSpan w:val="8"/>
            <w:tcBorders/>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0" w:type="dxa"/>
            <w:gridSpan w:val="1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68" w:type="dxa"/>
            <w:gridSpan w:val="8"/>
            <w:tcBorders/>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pension and other postretirement plans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gain from cash flow hedges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Prior service cost (1)</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losses (1)</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are included in the computation of net periodic cost and are reflected in Other income, net in each of the Registrants’ respective Condensed Statements of Consolidated Income.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(19) Leases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Houston Electric entered into a temporary short-term lease and long-term leases for mobile generation. The short-term lease agreement allowed Houston Electric to take delivery of TEEEF assets on a short-term basis with an initial term ending on September 30, 2022 and extended until December 31, 2022. At such time, the short-term lease agreement expired and all mobile generation assets were leased under the long-term lease agreement. Per Houston Electric’s short-term lease accounting policy election, a ROU asset and lease liability are not reflected on Houston Electric’s Condensed Consolidated Balance Sheets. Expenses associated with the short-term lease, including carrying costs, are deferred to a regulatory asset and totaled, net of amounts recovered in rates, $98 million and $100 million as of March 31, 2024 and December 31,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long-term lease agreement includes up to 505 MW of TEEEF, all of which was delivered as of December 31, 2022, triggering lease commencement at delivery, with an initial term ending in 2029 for all TEEEF leases. These assets were previously available under the short-term lease agreement. Houston Electric derecognized the finance lease liability when the extinguishment criteria in Topic 405 - </w:t>
      </w:r>
      <w:r>
        <w:rPr>
          <w:rFonts w:ascii="Times New Roman;sans-serif" w:hAnsi="Times New Roman;sans-serif"/>
          <w:b w:val="false"/>
          <w:i/>
          <w:color w:val="000000"/>
          <w:sz w:val="20"/>
        </w:rPr>
        <w:t>Liabilities</w:t>
      </w:r>
      <w:r>
        <w:rPr>
          <w:color w:val="000000"/>
        </w:rPr>
        <w:t xml:space="preserve"> </w:t>
      </w:r>
      <w:r>
        <w:rPr>
          <w:rFonts w:ascii="Times New Roman;sans-serif" w:hAnsi="Times New Roman;sans-serif"/>
          <w:b w:val="false"/>
          <w:color w:val="000000"/>
          <w:sz w:val="20"/>
        </w:rPr>
        <w:t>was achieved. Per the terms of the agreement, lease payments are due and made in full by Houston Electric upon taking possession of the asset, relieving substantially all of the associated finance lease liability at that time.</w:t>
      </w:r>
      <w:r>
        <w:rPr>
          <w:color w:val="000000"/>
        </w:rPr>
        <w:t xml:space="preserve"> </w:t>
      </w:r>
      <w:r>
        <w:rPr>
          <w:rFonts w:ascii="Times New Roman;sans-serif" w:hAnsi="Times New Roman;sans-serif"/>
          <w:b w:val="false"/>
          <w:color w:val="000000"/>
          <w:sz w:val="20"/>
        </w:rPr>
        <w:t xml:space="preserve">The remaining finance lease liability associated with the commenced long-term TEEEF agreement was not significant as of March 31, 2024 and December 31, 2023 and relates to removal costs that will be incurred at the end of the lease term. As of March 31, 2024, Houston Electric has secured a first lien on the assets leased under the prepayment agreement, except for assets with lease payments totaling $92 million. The $92 million prepayment is being held in an escrow account, not controlled by Houston Electric, and the funds will be released when a first lien can be secured for Houston Electric. Expenses associated with the long-term lease, including depreciation expense on the right of use asset and carrying costs, are deferred to a regulatory asset and totaled, net of amounts recovered in rates, $131 million and $124 million as of March 31, 2024 and December 31, 2023, respectively. The long-term lease agreement contains a termination clause that can be exercised in the event of material adverse regulatory actions. If the right to terminate is elected, subject to the satisfaction of certain conditions, 75% of Houston Electric’s prepaid lease costs that are attributable to the period from the effective date of termination to the end of the lease term would be refunded. In December 2022, the long-term lease agreement was amended to include a disallowance reimbursement clause that can be exercised in the event that any regulatory proceeding or settlement agreement results in a disallowance of Houston Electric’s recovery of deferred costs under either the long-term lease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short-term lease agreement or any other quantifiable adverse financial impact to Houston Electric. The disallowance reimbursement clause expired on December 31, 2023 and Houston Electric can no longer seek relief in the event of an unfavorable regulatory ruling. For further discussion of the regulatory impacts,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will also incur variable costs throughout the lease term for the operation and maintenance of the generators. Lease costs, including variable and ROU asset amortization costs, are deferred to Regulatory assets as incurred as a recoverable cost under the 2021 Texas legislation. See Note 6 for further information regarding recovery of these deferred costs.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included in Operation and maintenance expense on the Registrants’ respective Condensed Statements of Consolidated Income, are as follows:</w:t>
      </w:r>
    </w:p>
    <w:tbl>
      <w:tblPr>
        <w:tblW w:w="9356" w:type="dxa"/>
        <w:jc w:val="left"/>
        <w:tblInd w:w="0" w:type="dxa"/>
        <w:tblLayout w:type="fixed"/>
        <w:tblCellMar>
          <w:top w:w="28" w:type="dxa"/>
          <w:left w:w="28" w:type="dxa"/>
          <w:bottom w:w="28" w:type="dxa"/>
          <w:right w:w="28" w:type="dxa"/>
        </w:tblCellMar>
      </w:tblPr>
      <w:tblGrid>
        <w:gridCol w:w="581"/>
        <w:gridCol w:w="511"/>
        <w:gridCol w:w="513"/>
        <w:gridCol w:w="559"/>
        <w:gridCol w:w="688"/>
        <w:gridCol w:w="313"/>
        <w:gridCol w:w="109"/>
        <w:gridCol w:w="109"/>
        <w:gridCol w:w="109"/>
        <w:gridCol w:w="274"/>
        <w:gridCol w:w="337"/>
        <w:gridCol w:w="154"/>
        <w:gridCol w:w="109"/>
        <w:gridCol w:w="109"/>
        <w:gridCol w:w="109"/>
        <w:gridCol w:w="196"/>
        <w:gridCol w:w="406"/>
        <w:gridCol w:w="109"/>
        <w:gridCol w:w="109"/>
        <w:gridCol w:w="109"/>
        <w:gridCol w:w="109"/>
        <w:gridCol w:w="559"/>
        <w:gridCol w:w="688"/>
        <w:gridCol w:w="313"/>
        <w:gridCol w:w="109"/>
        <w:gridCol w:w="109"/>
        <w:gridCol w:w="109"/>
        <w:gridCol w:w="210"/>
        <w:gridCol w:w="436"/>
        <w:gridCol w:w="118"/>
        <w:gridCol w:w="109"/>
        <w:gridCol w:w="109"/>
        <w:gridCol w:w="109"/>
        <w:gridCol w:w="196"/>
        <w:gridCol w:w="40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099" w:type="dxa"/>
            <w:gridSpan w:val="24"/>
            <w:tcBorders/>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6191" w:type="dxa"/>
            <w:gridSpan w:val="30"/>
            <w:tcBorders/>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lease cost </w:t>
            </w:r>
            <w:r>
              <w:rPr>
                <w:rFonts w:ascii="Times New Roman;sans-serif" w:hAnsi="Times New Roman;sans-serif"/>
                <w:b w:val="false"/>
                <w:color w:val="000000"/>
                <w:sz w:val="12"/>
              </w:rPr>
              <w:t>(1)</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CenterPoint Energy and Houston Electric defer finance lease costs for TEEEF to Regulatory assets for recovery rather than to Depreciation and Amortization in the Condensed Statements of Consolidated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were as follows:</w:t>
      </w:r>
    </w:p>
    <w:tbl>
      <w:tblPr>
        <w:tblW w:w="9240" w:type="dxa"/>
        <w:jc w:val="center"/>
        <w:tblInd w:w="0" w:type="dxa"/>
        <w:tblLayout w:type="fixed"/>
        <w:tblCellMar>
          <w:top w:w="28" w:type="dxa"/>
          <w:left w:w="28" w:type="dxa"/>
          <w:bottom w:w="28" w:type="dxa"/>
          <w:right w:w="28" w:type="dxa"/>
        </w:tblCellMar>
      </w:tblPr>
      <w:tblGrid>
        <w:gridCol w:w="641"/>
        <w:gridCol w:w="563"/>
        <w:gridCol w:w="566"/>
        <w:gridCol w:w="559"/>
        <w:gridCol w:w="688"/>
        <w:gridCol w:w="313"/>
        <w:gridCol w:w="109"/>
        <w:gridCol w:w="109"/>
        <w:gridCol w:w="109"/>
        <w:gridCol w:w="210"/>
        <w:gridCol w:w="436"/>
        <w:gridCol w:w="118"/>
        <w:gridCol w:w="109"/>
        <w:gridCol w:w="109"/>
        <w:gridCol w:w="109"/>
        <w:gridCol w:w="204"/>
        <w:gridCol w:w="252"/>
        <w:gridCol w:w="115"/>
        <w:gridCol w:w="109"/>
        <w:gridCol w:w="109"/>
        <w:gridCol w:w="109"/>
        <w:gridCol w:w="559"/>
        <w:gridCol w:w="688"/>
        <w:gridCol w:w="313"/>
        <w:gridCol w:w="109"/>
        <w:gridCol w:w="109"/>
        <w:gridCol w:w="109"/>
        <w:gridCol w:w="210"/>
        <w:gridCol w:w="436"/>
        <w:gridCol w:w="118"/>
        <w:gridCol w:w="109"/>
        <w:gridCol w:w="109"/>
        <w:gridCol w:w="109"/>
        <w:gridCol w:w="204"/>
        <w:gridCol w:w="251"/>
        <w:gridCol w:w="16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819" w:type="dxa"/>
            <w:gridSpan w:val="24"/>
            <w:tcBorders/>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910" w:type="dxa"/>
            <w:gridSpan w:val="30"/>
            <w:tcBorders/>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income</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income</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120"/>
        <w:gridCol w:w="625"/>
        <w:gridCol w:w="634"/>
        <w:gridCol w:w="257"/>
        <w:gridCol w:w="554"/>
        <w:gridCol w:w="338"/>
        <w:gridCol w:w="109"/>
        <w:gridCol w:w="109"/>
        <w:gridCol w:w="109"/>
        <w:gridCol w:w="196"/>
        <w:gridCol w:w="421"/>
        <w:gridCol w:w="256"/>
        <w:gridCol w:w="109"/>
        <w:gridCol w:w="109"/>
        <w:gridCol w:w="109"/>
        <w:gridCol w:w="209"/>
        <w:gridCol w:w="257"/>
        <w:gridCol w:w="256"/>
        <w:gridCol w:w="109"/>
        <w:gridCol w:w="109"/>
        <w:gridCol w:w="109"/>
        <w:gridCol w:w="257"/>
        <w:gridCol w:w="554"/>
        <w:gridCol w:w="338"/>
        <w:gridCol w:w="109"/>
        <w:gridCol w:w="109"/>
        <w:gridCol w:w="109"/>
        <w:gridCol w:w="196"/>
        <w:gridCol w:w="421"/>
        <w:gridCol w:w="256"/>
        <w:gridCol w:w="109"/>
        <w:gridCol w:w="109"/>
        <w:gridCol w:w="109"/>
        <w:gridCol w:w="209"/>
        <w:gridCol w:w="257"/>
        <w:gridCol w:w="256"/>
        <w:gridCol w:w="109"/>
        <w:gridCol w:w="109"/>
        <w:gridCol w:w="109"/>
        <w:gridCol w:w="109"/>
        <w:gridCol w:w="109"/>
        <w:gridCol w:w="158"/>
      </w:tblGrid>
      <w:tr>
        <w:trPr/>
        <w:tc>
          <w:tcPr>
            <w:tcW w:w="11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lease term and discount rate)</w:t>
            </w:r>
          </w:p>
        </w:tc>
        <w:tc>
          <w:tcPr>
            <w:tcW w:w="703" w:type="dxa"/>
            <w:gridSpan w:val="6"/>
            <w:tcBorders/>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Operating ROU assets </w:t>
            </w:r>
            <w:r>
              <w:rPr>
                <w:rFonts w:ascii="Times New Roman;sans-serif" w:hAnsi="Times New Roman;sans-serif"/>
                <w:b w:val="false"/>
                <w:color w:val="000000"/>
                <w:sz w:val="14"/>
              </w:rPr>
              <w:t>(1)</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Finance ROU assets </w:t>
            </w:r>
            <w:r>
              <w:rPr>
                <w:rFonts w:ascii="Times New Roman;sans-serif" w:hAnsi="Times New Roman;sans-serif"/>
                <w:b w:val="false"/>
                <w:color w:val="000000"/>
                <w:sz w:val="14"/>
              </w:rPr>
              <w:t>(2)</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leased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Current operating lease liability </w:t>
            </w:r>
            <w:r>
              <w:rPr>
                <w:rFonts w:ascii="Times New Roman;sans-serif" w:hAnsi="Times New Roman;sans-serif"/>
                <w:b w:val="false"/>
                <w:color w:val="000000"/>
                <w:sz w:val="14"/>
              </w:rPr>
              <w:t>(3)</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operating lease liability </w:t>
            </w:r>
            <w:r>
              <w:rPr>
                <w:rFonts w:ascii="Times New Roman;sans-serif" w:hAnsi="Times New Roman;sans-serif"/>
                <w:b w:val="false"/>
                <w:color w:val="000000"/>
                <w:sz w:val="14"/>
              </w:rPr>
              <w:t>(4)</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leased liabilities</w:t>
            </w:r>
            <w:r>
              <w:rPr>
                <w:color w:val="000000"/>
              </w:rPr>
              <w:t xml:space="preserve"> </w:t>
            </w:r>
            <w:r>
              <w:rPr>
                <w:rFonts w:ascii="Times New Roman;sans-serif" w:hAnsi="Times New Roman;sans-serif"/>
                <w:b w:val="false"/>
                <w:color w:val="000000"/>
                <w:sz w:val="14"/>
              </w:rPr>
              <w:t>(5)</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 - operating leases</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 - finance leases</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finance leases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(1)Reported within Other assets in the Registrants’ respective Condensed Consolidated Balance Sheets, net of accumulated amortization.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(2)Reported within Property, Plant and Equipment in the Registrants’ respective Condensed Consolidated Balance Sheets, net of accumulated amortization.</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(3)Reported within Current other liabilities in the Registrants’ respective Condensed Consolidated Balance Sheets.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(4)Reported within Other liabilities in the Registrants’ respective Condensed Consolidated Balance Sheets.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(5)Finance lease liabilities were not significant as of March 31, 2024 or December 31, 2023 and are reported within Other long-term debt in the Registrants’ respective Condensed Consolidated Balance Sheets when applicable.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finance lease liabilities were not significant to the Registrants. As of March 31, 2024, maturities of operating lease liabilities were as follows:</w:t>
      </w:r>
    </w:p>
    <w:tbl>
      <w:tblPr>
        <w:tblW w:w="5457" w:type="dxa"/>
        <w:jc w:val="center"/>
        <w:tblInd w:w="0" w:type="dxa"/>
        <w:tblLayout w:type="fixed"/>
        <w:tblCellMar>
          <w:top w:w="28" w:type="dxa"/>
          <w:left w:w="28" w:type="dxa"/>
          <w:bottom w:w="28" w:type="dxa"/>
          <w:right w:w="28" w:type="dxa"/>
        </w:tblCellMar>
      </w:tblPr>
      <w:tblGrid>
        <w:gridCol w:w="842"/>
        <w:gridCol w:w="740"/>
        <w:gridCol w:w="743"/>
        <w:gridCol w:w="319"/>
        <w:gridCol w:w="539"/>
        <w:gridCol w:w="178"/>
        <w:gridCol w:w="109"/>
        <w:gridCol w:w="109"/>
        <w:gridCol w:w="109"/>
        <w:gridCol w:w="274"/>
        <w:gridCol w:w="338"/>
        <w:gridCol w:w="154"/>
        <w:gridCol w:w="109"/>
        <w:gridCol w:w="109"/>
        <w:gridCol w:w="109"/>
        <w:gridCol w:w="224"/>
        <w:gridCol w:w="275"/>
        <w:gridCol w:w="177"/>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w:t>
              <w:br/>
              <w: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2030 and beyond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future minimum finance lease payments to be received were not significant to the Registrants. As of March 31, 2024, maturities of undiscounted operating lease payments to be received are as follows:</w:t>
      </w:r>
    </w:p>
    <w:p>
      <w:pPr>
        <w:pStyle w:val="TextBody"/>
        <w:bidi w:val="0"/>
        <w:spacing w:before="0" w:after="0"/>
        <w:ind w:left="0" w:right="0" w:firstLine="360"/>
        <w:jc w:val="both"/>
        <w:rPr/>
      </w:pPr>
      <w:r>
        <w:rPr/>
      </w:r>
    </w:p>
    <w:tbl>
      <w:tblPr>
        <w:tblW w:w="5836" w:type="dxa"/>
        <w:jc w:val="center"/>
        <w:tblInd w:w="0" w:type="dxa"/>
        <w:tblLayout w:type="fixed"/>
        <w:tblCellMar>
          <w:top w:w="28" w:type="dxa"/>
          <w:left w:w="28" w:type="dxa"/>
          <w:bottom w:w="28" w:type="dxa"/>
          <w:right w:w="28" w:type="dxa"/>
        </w:tblCellMar>
      </w:tblPr>
      <w:tblGrid>
        <w:gridCol w:w="946"/>
        <w:gridCol w:w="830"/>
        <w:gridCol w:w="833"/>
        <w:gridCol w:w="279"/>
        <w:gridCol w:w="600"/>
        <w:gridCol w:w="157"/>
        <w:gridCol w:w="109"/>
        <w:gridCol w:w="109"/>
        <w:gridCol w:w="109"/>
        <w:gridCol w:w="211"/>
        <w:gridCol w:w="437"/>
        <w:gridCol w:w="118"/>
        <w:gridCol w:w="109"/>
        <w:gridCol w:w="109"/>
        <w:gridCol w:w="109"/>
        <w:gridCol w:w="196"/>
        <w:gridCol w:w="42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w:t>
              <w:br/>
              <w: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2030 and beyond</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 to be received</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is as follows:</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1318"/>
        <w:gridCol w:w="1156"/>
        <w:gridCol w:w="1163"/>
        <w:gridCol w:w="355"/>
        <w:gridCol w:w="437"/>
        <w:gridCol w:w="199"/>
        <w:gridCol w:w="109"/>
        <w:gridCol w:w="109"/>
        <w:gridCol w:w="109"/>
        <w:gridCol w:w="203"/>
        <w:gridCol w:w="422"/>
        <w:gridCol w:w="114"/>
        <w:gridCol w:w="109"/>
        <w:gridCol w:w="109"/>
        <w:gridCol w:w="109"/>
        <w:gridCol w:w="196"/>
        <w:gridCol w:w="406"/>
        <w:gridCol w:w="109"/>
        <w:gridCol w:w="109"/>
        <w:gridCol w:w="109"/>
        <w:gridCol w:w="109"/>
        <w:gridCol w:w="355"/>
        <w:gridCol w:w="437"/>
        <w:gridCol w:w="199"/>
        <w:gridCol w:w="109"/>
        <w:gridCol w:w="109"/>
        <w:gridCol w:w="109"/>
        <w:gridCol w:w="203"/>
        <w:gridCol w:w="422"/>
        <w:gridCol w:w="114"/>
        <w:gridCol w:w="109"/>
        <w:gridCol w:w="109"/>
        <w:gridCol w:w="109"/>
        <w:gridCol w:w="196"/>
        <w:gridCol w:w="406"/>
        <w:gridCol w:w="160"/>
      </w:tblGrid>
      <w:tr>
        <w:trPr/>
        <w:tc>
          <w:tcPr>
            <w:tcW w:w="131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4511" w:type="dxa"/>
            <w:gridSpan w:val="24"/>
            <w:tcBorders/>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77" w:type="dxa"/>
            <w:gridSpan w:val="30"/>
            <w:tcBorders/>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 included in the measurement of lease liabilities</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flows from finance leases included in the measurement of lease liabilities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16 for information on ROU assets obtained in exchange for operating lease liabilities.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(20) Subsequent Events (CenterPoint Energy)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i/>
          <w:color w:val="000000"/>
          <w:sz w:val="20"/>
        </w:rPr>
      </w:pPr>
      <w:r>
        <w:rPr>
          <w:rFonts w:ascii="Times New Roman;sans-serif" w:hAnsi="Times New Roman;sans-serif"/>
          <w:b/>
          <w:i/>
          <w:color w:val="000000"/>
          <w:sz w:val="20"/>
        </w:rPr>
        <w:t>Equity Distribution Agreement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CenterPoint Energy issued an additional 6,525,300 shares of Common Stock through the ATM Managers under the Equity Distribution Agreement, with aggregate cash proceeds of $182 million, which is net of compensation paid by CenterPoint Energy to the ATM Managers of $2 million. As of April 30, 2024, CenterPoint Energy has $313 million of capacity available under the program. CenterPoint Energy has not entered into any forward sale agreements under the program.</w:t>
      </w:r>
    </w:p>
    <w:p>
      <w:pPr>
        <w:pStyle w:val="TextBody"/>
        <w:bidi w:val="0"/>
        <w:spacing w:before="0" w:after="0"/>
        <w:ind w:left="0" w:right="0" w:firstLine="36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0"/>
        </w:rPr>
      </w:pPr>
      <w:r>
        <w:rPr>
          <w:rFonts w:ascii="Times New Roman;sans-serif" w:hAnsi="Times New Roman;sans-serif"/>
          <w:b/>
          <w:i/>
          <w:color w:val="000000"/>
          <w:sz w:val="20"/>
        </w:rPr>
        <w:t>Dividend Declarations(CenterPoint Energy)</w:t>
      </w:r>
    </w:p>
    <w:p>
      <w:pPr>
        <w:pStyle w:val="TextBody"/>
        <w:bidi w:val="0"/>
        <w:spacing w:before="0" w:after="0"/>
        <w:ind w:left="0" w:right="0" w:hanging="540"/>
        <w:jc w:val="left"/>
        <w:rPr/>
      </w:pPr>
      <w:r>
        <w:rPr/>
      </w:r>
    </w:p>
    <w:tbl>
      <w:tblPr>
        <w:tblW w:w="7340" w:type="dxa"/>
        <w:jc w:val="left"/>
        <w:tblInd w:w="0" w:type="dxa"/>
        <w:tblLayout w:type="fixed"/>
        <w:tblCellMar>
          <w:top w:w="28" w:type="dxa"/>
          <w:left w:w="28" w:type="dxa"/>
          <w:bottom w:w="28" w:type="dxa"/>
          <w:right w:w="28" w:type="dxa"/>
        </w:tblCellMar>
      </w:tblPr>
      <w:tblGrid>
        <w:gridCol w:w="522"/>
        <w:gridCol w:w="457"/>
        <w:gridCol w:w="460"/>
        <w:gridCol w:w="109"/>
        <w:gridCol w:w="109"/>
        <w:gridCol w:w="109"/>
        <w:gridCol w:w="449"/>
        <w:gridCol w:w="449"/>
        <w:gridCol w:w="451"/>
        <w:gridCol w:w="109"/>
        <w:gridCol w:w="109"/>
        <w:gridCol w:w="109"/>
        <w:gridCol w:w="369"/>
        <w:gridCol w:w="369"/>
        <w:gridCol w:w="371"/>
        <w:gridCol w:w="109"/>
        <w:gridCol w:w="109"/>
        <w:gridCol w:w="109"/>
        <w:gridCol w:w="379"/>
        <w:gridCol w:w="379"/>
        <w:gridCol w:w="381"/>
        <w:gridCol w:w="109"/>
        <w:gridCol w:w="109"/>
        <w:gridCol w:w="109"/>
        <w:gridCol w:w="196"/>
        <w:gridCol w:w="646"/>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 OF CENTERPOINT ENERGY, INC. AND SUBSIDIARIES</w:t>
      </w:r>
    </w:p>
    <w:p>
      <w:pPr>
        <w:pStyle w:val="TextBody"/>
        <w:bidi w:val="0"/>
        <w:spacing w:before="0" w:after="0"/>
        <w:ind w:left="0" w:right="0" w:hanging="90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combined discussion and analysis should be read in combination with the Interim Condensed Financial Statements contained in this combined Form 10-Q and the Registrants’ combined 2023 Form 10-K. When discussing CenterPoint Energy’s consolidated financial information, it includes the results of Houston Electric and CERC, which, along with CenterPoint Energy, are collectively referred to as the Registrants.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representations as to the information related solely to CenterPoint Energy or the subsidiaries of CenterPoint Energy other than itself.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bidi w:val="0"/>
        <w:spacing w:before="0" w:after="0"/>
        <w:ind w:left="0" w:right="0" w:firstLine="360"/>
        <w:jc w:val="center"/>
        <w:rPr/>
      </w:pPr>
      <w:r>
        <w:rPr/>
      </w:r>
    </w:p>
    <w:p>
      <w:pPr>
        <w:pStyle w:val="TextBody"/>
        <w:bidi w:val="0"/>
        <w:spacing w:lineRule="auto" w:line="268" w:before="0" w:after="0"/>
        <w:ind w:left="0" w:right="0" w:firstLine="360"/>
        <w:jc w:val="both"/>
        <w:rPr/>
      </w:pPr>
      <w:r>
        <w:rPr>
          <w:rFonts w:ascii="Times New Roman;sans-serif" w:hAnsi="Times New Roman;sans-serif"/>
          <w:b/>
          <w:i/>
          <w:color w:val="000000"/>
          <w:sz w:val="20"/>
        </w:rPr>
        <w:t>Regulatory Proceedings. </w:t>
      </w:r>
      <w:r>
        <w:rPr>
          <w:rFonts w:ascii="Times New Roman;sans-serif" w:hAnsi="Times New Roman;sans-serif"/>
          <w:b w:val="false"/>
          <w:color w:val="000000"/>
          <w:sz w:val="20"/>
        </w:rPr>
        <w:t>For further information, see Note 6 to the Interim Condensed Financial Statements. For information related to our pending and completed regulatory proceedings to date in 2024, see “—Liquidity and Capital Resources —Regulatory Matters”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Debt Transactions. </w:t>
      </w:r>
      <w:r>
        <w:rPr>
          <w:rFonts w:ascii="Times New Roman;sans-serif" w:hAnsi="Times New Roman;sans-serif"/>
          <w:b w:val="false"/>
          <w:color w:val="000000"/>
          <w:sz w:val="20"/>
        </w:rPr>
        <w:t>During the three months ended March 31, 2024, CenterPoint Energy issued or borrowed a combined $400 million in new debt, comprised of Houston Electric’s issuance of $400 million aggregate principal amount of 5.15% general mortgage bonds due 2034. During the three months ended March 31, 2024, CenterPoint Energy repaid or redeemed a combined $22 million of existing debt, including SIGECO’s redemption of $22 million aggregate principal amount of outstanding first mortgage bonds due 2024. For information about debt transactions to date in 2024, see Note 11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LAMS Asset Purchase Agreement</w:t>
      </w:r>
      <w:r>
        <w:rPr>
          <w:rFonts w:ascii="Times New Roman;sans-serif" w:hAnsi="Times New Roman;sans-serif"/>
          <w:b w:val="false"/>
          <w:color w:val="000000"/>
          <w:sz w:val="20"/>
        </w:rPr>
        <w:t>. On February 19, 2024, CenterPoint Energy, through its subsidiary CERC Corp., entered into the LAMS Asset Purchase Agreement to sell its Louisiana and Mississippi natural gas LDC businesses. The transaction is expected to close in the first quarter of 2025. For further information about the transaction, see Note 3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Equity Distribution Agreement.</w:t>
      </w:r>
      <w:r>
        <w:rPr>
          <w:color w:val="000000"/>
        </w:rPr>
        <w:t xml:space="preserve"> </w:t>
      </w:r>
      <w:r>
        <w:rPr>
          <w:rFonts w:ascii="Times New Roman;sans-serif" w:hAnsi="Times New Roman;sans-serif"/>
          <w:b w:val="false"/>
          <w:color w:val="000000"/>
          <w:sz w:val="20"/>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CenterPoint Energy may also enter into one or more forward sales agreements pursuant to master forward confirmations. For further information, see Notes 18 and 20 to the Interim Condensed Financial Statements.</w:t>
      </w:r>
    </w:p>
    <w:p>
      <w:pPr>
        <w:pStyle w:val="TextBody"/>
        <w:bidi w:val="0"/>
        <w:spacing w:before="0" w:after="0"/>
        <w:ind w:left="0" w:right="0" w:firstLine="3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CONSOLIDATED RESULTS OF OPERATIONS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our consolidated operations, please read “Risk Factors” in Item 1A of Part I of the Registrants’ combined 2023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 for the three months ended March 31, 2024 and 2023 was as follows:</w:t>
      </w:r>
    </w:p>
    <w:p>
      <w:pPr>
        <w:pStyle w:val="TextBody"/>
        <w:bidi w:val="0"/>
        <w:spacing w:before="0" w:after="0"/>
        <w:ind w:left="0" w:right="0" w:firstLine="360"/>
        <w:jc w:val="both"/>
        <w:rPr/>
      </w:pPr>
      <w:r>
        <w:rPr/>
      </w:r>
    </w:p>
    <w:tbl>
      <w:tblPr>
        <w:tblW w:w="8365"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42"/>
        <w:gridCol w:w="242"/>
        <w:gridCol w:w="242"/>
        <w:gridCol w:w="242"/>
        <w:gridCol w:w="435"/>
        <w:gridCol w:w="935"/>
        <w:gridCol w:w="242"/>
        <w:gridCol w:w="109"/>
        <w:gridCol w:w="109"/>
        <w:gridCol w:w="109"/>
        <w:gridCol w:w="196"/>
        <w:gridCol w:w="421"/>
        <w:gridCol w:w="109"/>
        <w:gridCol w:w="109"/>
        <w:gridCol w:w="109"/>
        <w:gridCol w:w="109"/>
        <w:gridCol w:w="587"/>
        <w:gridCol w:w="991"/>
        <w:gridCol w:w="461"/>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419" w:type="dxa"/>
            <w:gridSpan w:val="12"/>
            <w:tcBorders/>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Utility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CenterPoint 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 xml:space="preserve">(1)Includes energy performance contracting and sustainable infrastructure services through </w:t>
      </w:r>
      <w:r>
        <w:rPr>
          <w:rFonts w:ascii="Times New Roman;sans-serif" w:hAnsi="Times New Roman;sans-serif"/>
          <w:b w:val="false"/>
          <w:color w:val="221F1F"/>
          <w:sz w:val="20"/>
        </w:rPr>
        <w:t xml:space="preserve">Energy Systems Group </w:t>
      </w:r>
      <w:r>
        <w:rPr>
          <w:rFonts w:ascii="Times New Roman;sans-serif" w:hAnsi="Times New Roman;sans-serif"/>
          <w:b w:val="false"/>
          <w:color w:val="000000"/>
          <w:sz w:val="20"/>
        </w:rPr>
        <w:t>before June 30, 2023, the date of the sale of Energy Systems Group, unallocated corporate costs, interest income and interest expense, intercompany eliminations and the reduction of income allocated to preferred shareholders before September 1, 2023, the date of the redemption of all of the outstanding shares of the Series A Preferred Stock.</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2024 compared to three months ended March 31, 2023 </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available to common shareholders increased $37 million primarily due to the following items: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income available to common shareholders of $2 million for the Electric reportable segment, as further discussed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income available to common shareholders of $49 million for the Natural Gas reportable segment, as further discussed below;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decrease in income available to common shareholders of $10 million for Corporate and Other, primarily due to $18 million increase in borrowing costs, partially offset by $12 million of dividends paid on shares of Series A Preferred Stock paid in the first quarter of 2023 prior to the redemption of all outstanding shares of Series A Preferred Stock in September 2023 as discussed in Note 18 to the Interim Condensed Financial statements.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ENERGY’S RESULTS OF OPERATIONS BY REPORTABLE SEGMENT</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CODM views net income as the measure of profit or loss for the reportable segments. Segment results include inter-segment interest income and expense, which may result in inter-segment profit and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CenterPoint Energy’s results of operations is separated into two reportable segments, Electric and Natural Gas.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Electric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operations of CenterPoint Energy’s Electric reportable segment,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CenterPoint Energy’s Electric reportable segment:</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436"/>
        <w:gridCol w:w="1251"/>
        <w:gridCol w:w="1266"/>
        <w:gridCol w:w="109"/>
        <w:gridCol w:w="109"/>
        <w:gridCol w:w="189"/>
        <w:gridCol w:w="189"/>
        <w:gridCol w:w="189"/>
        <w:gridCol w:w="189"/>
        <w:gridCol w:w="341"/>
        <w:gridCol w:w="969"/>
        <w:gridCol w:w="445"/>
        <w:gridCol w:w="109"/>
        <w:gridCol w:w="109"/>
        <w:gridCol w:w="109"/>
        <w:gridCol w:w="196"/>
        <w:gridCol w:w="421"/>
        <w:gridCol w:w="256"/>
        <w:gridCol w:w="109"/>
        <w:gridCol w:w="109"/>
        <w:gridCol w:w="109"/>
        <w:gridCol w:w="470"/>
        <w:gridCol w:w="795"/>
        <w:gridCol w:w="731"/>
      </w:tblGrid>
      <w:tr>
        <w:trPr/>
        <w:tc>
          <w:tcPr>
            <w:tcW w:w="143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523" w:type="dxa"/>
            <w:gridSpan w:val="12"/>
            <w:tcBorders/>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2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operating statistics)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 fuel and purchased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Throughput (in GWh):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Weather (percentage of normal weather for service area):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Cooling degree days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Heating degree days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metered customers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2024 compared to the three months ended March 31, 2023 by major income statement caption for CenterPoint Energy’s Electric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888"/>
        <w:gridCol w:w="2494"/>
        <w:gridCol w:w="2523"/>
        <w:gridCol w:w="109"/>
        <w:gridCol w:w="109"/>
        <w:gridCol w:w="109"/>
        <w:gridCol w:w="513"/>
        <w:gridCol w:w="907"/>
        <w:gridCol w:w="286"/>
        <w:gridCol w:w="109"/>
        <w:gridCol w:w="158"/>
      </w:tblGrid>
      <w:tr>
        <w:trPr/>
        <w:tc>
          <w:tcPr>
            <w:tcW w:w="28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c>
          <w:tcPr>
            <w:tcW w:w="267" w:type="dxa"/>
            <w:gridSpan w:val="2"/>
            <w:tcBorders/>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267" w:type="dxa"/>
            <w:gridSpan w:val="2"/>
            <w:tcBorders/>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Revenues, including TCOS and TCRF, inclusive of costs billed by transmission providers, partially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the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revenues, including service connections and off-system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return, related to the annual true-up of transition charges for amounts over or under collected in prior periods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efficiency improvements and other usage impacts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 and purchased power, offset in utility natural gas, fuel and purchased power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natural gas, 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 including coal, natural gas, and fuel oil,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purchased power,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costs billed by transmission providers,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 and maintenance expense, including materials and supplies and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updated property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fees and 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and SIGECO Securitization Subsidiary, offset in other line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by Registrant, see Note 12 to the Interim Condensed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Natural Gas (CenterPoint Energy)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operations of CenterPoint Energy’s Natural Gas reportable segment,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CenterPoint Energy’s Natural Gas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413"/>
        <w:gridCol w:w="1226"/>
        <w:gridCol w:w="1241"/>
        <w:gridCol w:w="109"/>
        <w:gridCol w:w="109"/>
        <w:gridCol w:w="186"/>
        <w:gridCol w:w="186"/>
        <w:gridCol w:w="186"/>
        <w:gridCol w:w="186"/>
        <w:gridCol w:w="336"/>
        <w:gridCol w:w="955"/>
        <w:gridCol w:w="439"/>
        <w:gridCol w:w="109"/>
        <w:gridCol w:w="109"/>
        <w:gridCol w:w="109"/>
        <w:gridCol w:w="196"/>
        <w:gridCol w:w="556"/>
        <w:gridCol w:w="256"/>
        <w:gridCol w:w="109"/>
        <w:gridCol w:w="109"/>
        <w:gridCol w:w="109"/>
        <w:gridCol w:w="411"/>
        <w:gridCol w:w="917"/>
        <w:gridCol w:w="643"/>
      </w:tblGrid>
      <w:tr>
        <w:trPr/>
        <w:tc>
          <w:tcPr>
            <w:tcW w:w="141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633" w:type="dxa"/>
            <w:gridSpan w:val="12"/>
            <w:tcBorders/>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3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operating statistics)</w:t>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 fuel and purchased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4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Throughput (in Bcf):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(percentage of 10-year average for service area):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Heating degree days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metered customers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4,276,088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360"/>
        <w:jc w:val="center"/>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2024 compared to the three months ended March 31, 2023 by major income statement caption for CenterPoint Energy’s Natural Gas reportable segment:</w:t>
      </w:r>
    </w:p>
    <w:p>
      <w:pPr>
        <w:pStyle w:val="TextBody"/>
        <w:bidi w:val="0"/>
        <w:spacing w:before="0" w:after="0"/>
        <w:ind w:left="0" w:right="0" w:firstLine="360"/>
        <w:jc w:val="both"/>
        <w:rPr/>
      </w:pPr>
      <w:r>
        <w:rPr/>
      </w:r>
    </w:p>
    <w:tbl>
      <w:tblPr>
        <w:tblW w:w="9019" w:type="dxa"/>
        <w:jc w:val="left"/>
        <w:tblInd w:w="0" w:type="dxa"/>
        <w:tblLayout w:type="fixed"/>
        <w:tblCellMar>
          <w:top w:w="28" w:type="dxa"/>
          <w:left w:w="28" w:type="dxa"/>
          <w:bottom w:w="28" w:type="dxa"/>
          <w:right w:w="28" w:type="dxa"/>
        </w:tblCellMar>
      </w:tblPr>
      <w:tblGrid>
        <w:gridCol w:w="2331"/>
        <w:gridCol w:w="2045"/>
        <w:gridCol w:w="2059"/>
        <w:gridCol w:w="109"/>
        <w:gridCol w:w="109"/>
        <w:gridCol w:w="109"/>
        <w:gridCol w:w="109"/>
        <w:gridCol w:w="109"/>
        <w:gridCol w:w="508"/>
        <w:gridCol w:w="1131"/>
        <w:gridCol w:w="400"/>
      </w:tblGrid>
      <w:tr>
        <w:trPr/>
        <w:tc>
          <w:tcPr>
            <w:tcW w:w="2331"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utility natural gas, fuel and purchased power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Energy efficiency and other pass-through, offset in operation and maintenance below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taxes other than income taxes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Non-volumetric and miscellaneous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and usage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natural gas, fuel and purchased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operations and maintenance expense, including 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Energy efficiency and other pass-through, offset in revenues above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updated property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AFUDC - Equity, primarily from increased capital spend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by Registrant, see Note 12 to the Interim Condensed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HOUSTON ELECTRIC CONSOLIDATED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Houston Electric’s single reportable segment: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465"/>
        <w:gridCol w:w="1273"/>
        <w:gridCol w:w="1283"/>
        <w:gridCol w:w="109"/>
        <w:gridCol w:w="109"/>
        <w:gridCol w:w="205"/>
        <w:gridCol w:w="205"/>
        <w:gridCol w:w="205"/>
        <w:gridCol w:w="205"/>
        <w:gridCol w:w="370"/>
        <w:gridCol w:w="795"/>
        <w:gridCol w:w="483"/>
        <w:gridCol w:w="109"/>
        <w:gridCol w:w="109"/>
        <w:gridCol w:w="109"/>
        <w:gridCol w:w="196"/>
        <w:gridCol w:w="421"/>
        <w:gridCol w:w="256"/>
        <w:gridCol w:w="109"/>
        <w:gridCol w:w="109"/>
        <w:gridCol w:w="109"/>
        <w:gridCol w:w="419"/>
        <w:gridCol w:w="901"/>
        <w:gridCol w:w="651"/>
      </w:tblGrid>
      <w:tr>
        <w:trPr/>
        <w:tc>
          <w:tcPr>
            <w:tcW w:w="146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498" w:type="dxa"/>
            <w:gridSpan w:val="12"/>
            <w:tcBorders/>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1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operating statistics)</w:t>
            </w:r>
          </w:p>
        </w:tc>
      </w:tr>
      <w:tr>
        <w:trPr/>
        <w:tc>
          <w:tcPr>
            <w:tcW w:w="4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TDU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 excluding Bond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65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excluding Bond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Securitization Bonds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Throughput (in GWh):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(percentage of 10-year average for service area):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Cooling degree days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Heating degree days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metered customers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2024 compared to the three months ended March 31, 2023 by major income statement caption for Houston Electric:</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27"/>
        <w:gridCol w:w="2477"/>
        <w:gridCol w:w="2502"/>
        <w:gridCol w:w="109"/>
        <w:gridCol w:w="109"/>
        <w:gridCol w:w="109"/>
        <w:gridCol w:w="109"/>
        <w:gridCol w:w="109"/>
        <w:gridCol w:w="444"/>
        <w:gridCol w:w="956"/>
        <w:gridCol w:w="354"/>
      </w:tblGrid>
      <w:tr>
        <w:trPr/>
        <w:tc>
          <w:tcPr>
            <w:tcW w:w="292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Revenues, including TCOS and TCRF, inclusive of costs billed by transmission providers, partially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the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return, related to the annual true-up of transition charges for amounts over or under collected in prior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partially offset in operations and maintenance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offset in other line items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Weather, efficiency improvements and other usage impacts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 excluding Bond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costs billed by transmission providers,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 and maintenance expense, including materials and supplies and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Support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 excluding Bond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changes to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Bond Companies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 and depreciation expense, offset in revenues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on Securitization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Lower outstanding principal balance, offset in revenues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CERC CONSOLIDATED RESULTS OF OPERATIONS</w:t>
      </w:r>
    </w:p>
    <w:p>
      <w:pPr>
        <w:pStyle w:val="TextBody"/>
        <w:bidi w:val="0"/>
        <w:spacing w:before="0" w:after="0"/>
        <w:jc w:val="center"/>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418"/>
        <w:gridCol w:w="1229"/>
        <w:gridCol w:w="1234"/>
        <w:gridCol w:w="109"/>
        <w:gridCol w:w="109"/>
        <w:gridCol w:w="186"/>
        <w:gridCol w:w="186"/>
        <w:gridCol w:w="186"/>
        <w:gridCol w:w="186"/>
        <w:gridCol w:w="336"/>
        <w:gridCol w:w="955"/>
        <w:gridCol w:w="439"/>
        <w:gridCol w:w="109"/>
        <w:gridCol w:w="109"/>
        <w:gridCol w:w="109"/>
        <w:gridCol w:w="196"/>
        <w:gridCol w:w="556"/>
        <w:gridCol w:w="256"/>
        <w:gridCol w:w="109"/>
        <w:gridCol w:w="109"/>
        <w:gridCol w:w="109"/>
        <w:gridCol w:w="411"/>
        <w:gridCol w:w="917"/>
        <w:gridCol w:w="642"/>
      </w:tblGrid>
      <w:tr>
        <w:trPr/>
        <w:tc>
          <w:tcPr>
            <w:tcW w:w="141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632" w:type="dxa"/>
            <w:gridSpan w:val="12"/>
            <w:tcBorders/>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3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operating statistics)</w:t>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Throughput (in Bcf):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(percentage of 10-year average for service area):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Heating degree days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metered customers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2024 compared to the three months ended March 31, 2023 by major income statement caption for CERC:</w:t>
      </w:r>
    </w:p>
    <w:p>
      <w:pPr>
        <w:pStyle w:val="TextBody"/>
        <w:bidi w:val="0"/>
        <w:spacing w:before="0" w:after="0"/>
        <w:ind w:left="0" w:right="0" w:firstLine="360"/>
        <w:jc w:val="left"/>
        <w:rPr/>
      </w:pPr>
      <w:r>
        <w:rPr/>
      </w:r>
    </w:p>
    <w:tbl>
      <w:tblPr>
        <w:tblW w:w="8690" w:type="dxa"/>
        <w:jc w:val="left"/>
        <w:tblInd w:w="0" w:type="dxa"/>
        <w:tblLayout w:type="fixed"/>
        <w:tblCellMar>
          <w:top w:w="28" w:type="dxa"/>
          <w:left w:w="28" w:type="dxa"/>
          <w:bottom w:w="28" w:type="dxa"/>
          <w:right w:w="28" w:type="dxa"/>
        </w:tblCellMar>
      </w:tblPr>
      <w:tblGrid>
        <w:gridCol w:w="2330"/>
        <w:gridCol w:w="2045"/>
        <w:gridCol w:w="2059"/>
        <w:gridCol w:w="109"/>
        <w:gridCol w:w="109"/>
        <w:gridCol w:w="189"/>
        <w:gridCol w:w="189"/>
        <w:gridCol w:w="189"/>
        <w:gridCol w:w="341"/>
        <w:gridCol w:w="863"/>
        <w:gridCol w:w="267"/>
      </w:tblGrid>
      <w:tr>
        <w:trPr/>
        <w:tc>
          <w:tcPr>
            <w:tcW w:w="233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 (Unfavorable)</w:t>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utility natural gas, fuel and purchased power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operation and maintenance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taxes other than income taxes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Non-volumetric and miscellaneous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and usage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impact of the change in rate design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natural gas, fuel and purchased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revenues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Operation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operations and maintenance expense, including bad debt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and other pass-through, offset in revenues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revenues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 and the impact of updated property tax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AFUDC - Equity, primarily from increased capital spend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CERTAIN FACTORS AFFECTING FUTURE EARNINGS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2023 Form 10-K, and “Cautionary Statement Regarding Forward-Looking Information” in this combined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Historical Cash Flows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net cash provided by (used in) operating, investing and financing activities during the three months ended March 31, 2024 and 2023: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75"/>
        <w:gridCol w:w="589"/>
        <w:gridCol w:w="591"/>
        <w:gridCol w:w="375"/>
        <w:gridCol w:w="807"/>
        <w:gridCol w:w="210"/>
        <w:gridCol w:w="109"/>
        <w:gridCol w:w="109"/>
        <w:gridCol w:w="109"/>
        <w:gridCol w:w="309"/>
        <w:gridCol w:w="665"/>
        <w:gridCol w:w="172"/>
        <w:gridCol w:w="109"/>
        <w:gridCol w:w="109"/>
        <w:gridCol w:w="109"/>
        <w:gridCol w:w="196"/>
        <w:gridCol w:w="421"/>
        <w:gridCol w:w="109"/>
        <w:gridCol w:w="109"/>
        <w:gridCol w:w="109"/>
        <w:gridCol w:w="109"/>
        <w:gridCol w:w="316"/>
        <w:gridCol w:w="899"/>
        <w:gridCol w:w="178"/>
        <w:gridCol w:w="109"/>
        <w:gridCol w:w="109"/>
        <w:gridCol w:w="109"/>
        <w:gridCol w:w="352"/>
        <w:gridCol w:w="596"/>
        <w:gridCol w:w="197"/>
        <w:gridCol w:w="109"/>
        <w:gridCol w:w="109"/>
        <w:gridCol w:w="109"/>
        <w:gridCol w:w="196"/>
        <w:gridCol w:w="556"/>
        <w:gridCol w:w="161"/>
      </w:tblGrid>
      <w:tr>
        <w:trPr/>
        <w:tc>
          <w:tcPr>
            <w:tcW w:w="67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5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provided by (used in):</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Operating Activities. </w:t>
      </w:r>
      <w:r>
        <w:rPr>
          <w:rFonts w:ascii="Times New Roman;sans-serif" w:hAnsi="Times New Roman;sans-serif"/>
          <w:b w:val="false"/>
          <w:color w:val="000000"/>
          <w:sz w:val="20"/>
        </w:rPr>
        <w:t xml:space="preserve">The following items contributed to increased (decreased) net cash provided by operating activities for the three months ended March 31, 2024 compared to the three months ended March 31, 2023: </w:t>
      </w:r>
    </w:p>
    <w:p>
      <w:pPr>
        <w:pStyle w:val="TextBody"/>
        <w:bidi w:val="0"/>
        <w:spacing w:before="0" w:after="0"/>
        <w:ind w:left="0" w:right="0" w:firstLine="360"/>
        <w:jc w:val="both"/>
        <w:rPr/>
      </w:pPr>
      <w:r>
        <w:rPr/>
      </w:r>
    </w:p>
    <w:tbl>
      <w:tblPr>
        <w:tblW w:w="8175" w:type="dxa"/>
        <w:jc w:val="left"/>
        <w:tblInd w:w="0" w:type="dxa"/>
        <w:tblLayout w:type="fixed"/>
        <w:tblCellMar>
          <w:top w:w="28" w:type="dxa"/>
          <w:left w:w="28" w:type="dxa"/>
          <w:bottom w:w="28" w:type="dxa"/>
          <w:right w:w="28" w:type="dxa"/>
        </w:tblCellMar>
      </w:tblPr>
      <w:tblGrid>
        <w:gridCol w:w="1497"/>
        <w:gridCol w:w="1319"/>
        <w:gridCol w:w="1324"/>
        <w:gridCol w:w="364"/>
        <w:gridCol w:w="1065"/>
        <w:gridCol w:w="205"/>
        <w:gridCol w:w="109"/>
        <w:gridCol w:w="109"/>
        <w:gridCol w:w="109"/>
        <w:gridCol w:w="206"/>
        <w:gridCol w:w="444"/>
        <w:gridCol w:w="116"/>
        <w:gridCol w:w="109"/>
        <w:gridCol w:w="109"/>
        <w:gridCol w:w="109"/>
        <w:gridCol w:w="196"/>
        <w:gridCol w:w="631"/>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net income after adjusting for non-cash items</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working capital</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regulatory assets and liabilities (1)</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change is primarily related to the receipt of proceeds at CenterPoint Energy and CERC from the Texas securitization program in 2023. For further details, see Note 6 to the Interim Condensed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 xml:space="preserve">The following items contributed to (increased) decreased net cash used in investing activities for the three months ended March 31, 2024 compared to the three months ended March 31, 2023: </w:t>
      </w:r>
    </w:p>
    <w:p>
      <w:pPr>
        <w:pStyle w:val="TextBody"/>
        <w:bidi w:val="0"/>
        <w:spacing w:before="0" w:after="0"/>
        <w:ind w:left="0" w:right="0" w:firstLine="360"/>
        <w:jc w:val="both"/>
        <w:rPr/>
      </w:pPr>
      <w:r>
        <w:rPr/>
      </w:r>
    </w:p>
    <w:tbl>
      <w:tblPr>
        <w:tblW w:w="7934" w:type="dxa"/>
        <w:jc w:val="center"/>
        <w:tblInd w:w="0" w:type="dxa"/>
        <w:tblLayout w:type="fixed"/>
        <w:tblCellMar>
          <w:top w:w="28" w:type="dxa"/>
          <w:left w:w="28" w:type="dxa"/>
          <w:bottom w:w="28" w:type="dxa"/>
          <w:right w:w="28" w:type="dxa"/>
        </w:tblCellMar>
      </w:tblPr>
      <w:tblGrid>
        <w:gridCol w:w="1490"/>
        <w:gridCol w:w="1308"/>
        <w:gridCol w:w="1311"/>
        <w:gridCol w:w="440"/>
        <w:gridCol w:w="947"/>
        <w:gridCol w:w="247"/>
        <w:gridCol w:w="109"/>
        <w:gridCol w:w="109"/>
        <w:gridCol w:w="109"/>
        <w:gridCol w:w="206"/>
        <w:gridCol w:w="444"/>
        <w:gridCol w:w="116"/>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capital expenditures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notes receivable from affiliated companies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The following items contributed to (increased) decreased net cash used in financing activities for the three months ended March 31, 2024 compared to the three months ended March 31, 2023:</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2248"/>
        <w:gridCol w:w="1976"/>
        <w:gridCol w:w="1989"/>
        <w:gridCol w:w="369"/>
        <w:gridCol w:w="1052"/>
        <w:gridCol w:w="207"/>
        <w:gridCol w:w="109"/>
        <w:gridCol w:w="109"/>
        <w:gridCol w:w="109"/>
        <w:gridCol w:w="196"/>
        <w:gridCol w:w="495"/>
        <w:gridCol w:w="109"/>
        <w:gridCol w:w="109"/>
        <w:gridCol w:w="109"/>
        <w:gridCol w:w="109"/>
        <w:gridCol w:w="196"/>
        <w:gridCol w:w="556"/>
        <w:gridCol w:w="158"/>
      </w:tblGrid>
      <w:tr>
        <w:trPr/>
        <w:tc>
          <w:tcPr>
            <w:tcW w:w="224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w:t>
              <w:br/>
              <w:t>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commercial paper outstanding</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proceeds from issuances of Common Stock</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long-term debt and term loans outstanding, excluding commercial paper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debt issuance costs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short-term borrowings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Increased payment of Common Stock dividends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Decreased payment of preferred stock dividends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notes payable from affiliated companies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contribution from parent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dividend to parent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Future Sources and Uses of Cash</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Common Stock and interest payments on debt, the Registrants’ principal anticipated cash requirements for the remaining nine months of 2024 include the following:</w:t>
      </w:r>
    </w:p>
    <w:p>
      <w:pPr>
        <w:pStyle w:val="TextBody"/>
        <w:bidi w:val="0"/>
        <w:spacing w:before="0" w:after="0"/>
        <w:ind w:left="0" w:right="0" w:firstLine="360"/>
        <w:jc w:val="both"/>
        <w:rPr/>
      </w:pPr>
      <w:r>
        <w:rPr/>
      </w:r>
    </w:p>
    <w:tbl>
      <w:tblPr>
        <w:tblW w:w="9339" w:type="dxa"/>
        <w:jc w:val="left"/>
        <w:tblInd w:w="0" w:type="dxa"/>
        <w:tblLayout w:type="fixed"/>
        <w:tblCellMar>
          <w:top w:w="28" w:type="dxa"/>
          <w:left w:w="28" w:type="dxa"/>
          <w:bottom w:w="28" w:type="dxa"/>
          <w:right w:w="28" w:type="dxa"/>
        </w:tblCellMar>
      </w:tblPr>
      <w:tblGrid>
        <w:gridCol w:w="1875"/>
        <w:gridCol w:w="1647"/>
        <w:gridCol w:w="1652"/>
        <w:gridCol w:w="109"/>
        <w:gridCol w:w="371"/>
        <w:gridCol w:w="1056"/>
        <w:gridCol w:w="208"/>
        <w:gridCol w:w="109"/>
        <w:gridCol w:w="109"/>
        <w:gridCol w:w="109"/>
        <w:gridCol w:w="196"/>
        <w:gridCol w:w="556"/>
        <w:gridCol w:w="109"/>
        <w:gridCol w:w="109"/>
        <w:gridCol w:w="109"/>
        <w:gridCol w:w="109"/>
        <w:gridCol w:w="196"/>
        <w:gridCol w:w="556"/>
        <w:gridCol w:w="154"/>
      </w:tblGrid>
      <w:tr>
        <w:trPr/>
        <w:tc>
          <w:tcPr>
            <w:tcW w:w="187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Houston</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Estimated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Maturing CenterPoint Energy senior notes</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Scheduled principal payments on Securitization Bonds</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contributions to pension plans and other post-retirement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expect that anticipated cash needs for the remaining nine months of 2024 will be met with borrowings under their credit facilities, proceeds from the issuance of long-term debt, proceeds from equity issuances, anticipated cash flows from operations, and, with respect to CenterPoint Energy and CERC, proceeds from commercial paper. Proceeds from equity issuances may include the issuance of shares of Common Stock under the Equity Distribution Agreement entered into on January 10, 2024. Issuances of debt securities in the capital markets, funds raised in the commercial paper markets and additional credit facilities may not, however, be available on acceptable terms.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Regulatory Matters </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February 2021 Winter Storm Event</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February 2021 Winter Storm Event, see Note 6 to the Interim Condensed Financial Statements.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Indiana Electric Securitization of Generation Retirements (CenterPoint Energy)</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issuance of SIGECO Securitization Bonds, see Note 6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Indiana Electric CPCN (CenterPoint Energy)</w:t>
      </w:r>
    </w:p>
    <w:p>
      <w:pPr>
        <w:pStyle w:val="TextBody"/>
        <w:bidi w:val="0"/>
        <w:spacing w:before="0" w:after="0"/>
        <w:ind w:left="0" w:right="0" w:firstLine="18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BTAs</w:t>
      </w:r>
    </w:p>
    <w:p>
      <w:pPr>
        <w:pStyle w:val="TextBody"/>
        <w:bidi w:val="0"/>
        <w:spacing w:before="0" w:after="0"/>
        <w:ind w:left="0" w:right="0" w:firstLine="18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2021, Indiana Electric filed a CPCN with the IURC seeking approval to purchase the Posey Solar project. 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is contingent on further IURC review and approval. On February 7, 2023, Indiana Electric filed a CPCN with the IURC to approve the amended BTA. With the passage of the IRA, Indiana Electric can now pursue PTCs for solar projects. Indiana Electric requested that project costs, net of PTCs, be recovered in rate base rather than a levelized rate, through base rates or the CECA mechanism, depending on which provides more timely recovery. On September 6, 2023 the IURC issued an order approving the CPCN. The Posey Solar project is expected to be placed in service in 2025 and recovered through base rates.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authorizing Indiana Electric to purchase and acquire the Pike County solar project through a BTA and approved the estimated cost. The IURC also designated the project as a clean energy project under applicable Indiana regulations, approved the proposed levelized rate and associated ratemaking and accounting treatment. Due to inflationary pressures, the developer disclosed that costs have exceeded the agreed upon levels in the BTA. After negotiations, Indiana Electric and the developer were not able to agree upon updated pricing. As a result, on February 27, 2024, Indiana Electric provided notice that it was exercising its right to terminate the BTA, which terminated all further obligations of Indiana Electric with respect to the project.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2023, Indiana Electric filed a CPCN with the IURC to acquire a wind energy generating facility with installed capacity of 200 MWs through a BTA, consistent with its 2019/2020 IRP that calls for up to 300 MWs of wind generation. The wind project is located in MISO’s Central Region. Indiana Electric received approval from the IURC to recover the costs of the wind facility via the CECA mechanism, which is expected to be placed in service by the end of 2026. On June 6, 2023 the IURC issued an order approving the CPCN, thereby authorizing Indiana Electric to purchase the wind generating facility. However, as of the date of the filing of this Form 10-Q, Indiana Electric has not entered into any definitive agreement relating to this wind energy generating facility, and it is not certain that a definitive agreement will be entered into at all.</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PPAs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Indiana Electric also sought approval in February 2021 for a 100 MW solar PPA with Clenera LLC in Warrick County, Indiana. The request accounted for increased cost of debt related to this PPA, which provides equivalent equity return to offset imputed debt during the 25 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 agreement to increase the PPA price. On January 17, 2023, Indiana Electric filed a request with the IURC to amend the previously approved PPA with certain modifications. Revised purchase power costs are requested to be recovered through the fuel adjustment clause proceedings over the term of the amended PPA. On May 30, 2023, the IURC approved the Warrick County solar amended PPA; however, due to MISO interconnection study delays, the developer disclosed the project in-service date could be delayed from 2025 to 2026.</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August 25, 2021, Indiana Electric filed with the IURC seeking approval to purchase 185 MW of solar power, under a 15-year PPA, from </w:t>
      </w:r>
      <w:r>
        <w:rPr>
          <w:rFonts w:ascii="Times New Roman;sans-serif" w:hAnsi="Times New Roman;sans-serif"/>
          <w:b w:val="false"/>
          <w:color w:val="000000"/>
          <w:sz w:val="20"/>
          <w:shd w:fill="FEFEFE" w:val="clear"/>
        </w:rPr>
        <w:t>Oriden</w:t>
      </w:r>
      <w:r>
        <w:rPr>
          <w:rFonts w:ascii="Times New Roman;sans-serif" w:hAnsi="Times New Roman;sans-serif"/>
          <w:b w:val="false"/>
          <w:color w:val="000000"/>
          <w:sz w:val="20"/>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will be delayed from 2024 to 2025. On January 17, 2023, Indiana Electric filed a request with the IURC to amend the previously approved PPA with Oriden with certain modifications. Revised purchase power costs were approved to be recovered through the fuel adjustment clause proceedings over the term of the amended PPA with Oriden. On May 30, 2023, the IURC approved the Vermillion County solar amended PPA; however, due to MISO interconnection study delays, the developer disclosed the project in-service date could be delayed from 2025 to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Natural Gas Combustion Turbines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being constructed at the previous site of the A.B. Brown power plant in Posey County, Indiana and is expected to provide a combined output of 460 MW. Indiana Electric received approval for depreciation expense and post in-service carrying costs to be deferred in a regulatory asset until the date Indiana Electric’s base rates include a return on and recovery of depreciation expense on the facility. A new approximately 23.5 mile pipeline will be constructed and operated by Texas Gas Transmission, LLC to supply natural gas to the turbine facility. FERC granted a certificate to construct the pipeline on October 20, 2022. The period to challenge FERC’s certificate in a federal district court expired on February 20, 2023. Indiana Electric granted its contractor a full notice to proceed to construct the turbines on December 9, 2022. The facility is targeted to be operational by mid-year 2025. Recovery of the proposed natural gas combustion turbines and regulatory asset is included in the forecasted test year in the Indiana Electric rate case, which was filed with the IURC on December 5, 2023.</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Culley Unit 3 Operations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F.B. Culley Unit 3, an Indiana Electric coal-fired electric generation unit with an installed generating capacity of 270 MW, experienced an operating issue relating to its boiler feed pump turbine. The unit returned to service in March 2023. In testimony filed September 13, 2023, the OUCC and an intervenor that represents industrial customers filed testimony with the IURC alleging that Indiana Electric did not act prudently which led to the unplanned outage and recommended disallowances between $21 million to $27 million. On October 23, 2023, Indiana Electric filed rebuttal testimony with the IURC and an evidentiary hearing was held on November 2, 2023. Indiana Electric expects a decision from the IURC later this year.</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Space City Solar Transmission Interconnection Project (CenterPoint Energy and Houston Electric)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2020, Houston Electric filed a CPCN with the PUCT for approval to build a 345 kV transmission line in Wharton County, Texas connecting the Hillje substation on Houston Electric’s transmission system to the planned 610 MW Space City Solar Generation facility being developed by third-party developer EDF Renewables. In November 2021, the PUCT approved a route that was estimated to cost $25 million and issued a final order on January 12, 2022. There have been project delays due to supply chain constraints in the developer acquiring solar panels. Houston Electric substantially completed construction in the fall of 2023, and the transmission line is expected to be energized shortly after the generation facility is complete, which is anticipated to occur in the first half of 2025.</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Kilgore Transmission Project (CenterPoint Energy and Houston Electric)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Houston Electric filed a CCN application with the PUCT for approval to build a 138 kV double circuit transmission line in Chambers County, Texas that will loop the existing 138 kV Chevron to Langston circuit number 86 on Houston Electric’s transmission system to Houston Electric’s planned Kilgore substation. On March 7, the PUCT issued a final order approving a route that was estimated to cost $60 million, including substation costs. The actual capital costs of the project, including the transmission line and the planned Kilgore substation, will depend on actual land acquisition costs, construction costs, and other factors. Completion of construction and energization of the line and substation is anticipated to occur in the second quarter of 2026.</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Mill Creek</w:t>
      </w:r>
      <w:r>
        <w:rPr>
          <w:color w:val="000000"/>
        </w:rPr>
        <w:t xml:space="preserve"> </w:t>
      </w:r>
      <w:r>
        <w:rPr>
          <w:rFonts w:ascii="Times New Roman;sans-serif" w:hAnsi="Times New Roman;sans-serif"/>
          <w:b/>
          <w:i/>
          <w:color w:val="000000"/>
          <w:sz w:val="20"/>
        </w:rPr>
        <w:t>Transmission Project (CenterPoint Energy and Houston Electric)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17, 2023, Houston Electric filed a CCN application with the PUCT for approval to build a 138 kV double circuit transmission line in Harris and Montgomery counties, Texas that will connect Houston Electric’s transmission system to Houston Electric’s planned Mill Creek substation. The actual capital costs of the project, including the transmission line and the planned Kilgore substation, will depend on actual land acquisition costs, construction costs, and other factors and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to be $62 million to $98 million, based on an amended CCN application filed by Houston Electric on February 26, 2024. A decision on the approval of the project in the PUCT proceeding is expected in the third quarter of 2024.</w:t>
      </w:r>
    </w:p>
    <w:p>
      <w:pPr>
        <w:pStyle w:val="TextBody"/>
        <w:bidi w:val="0"/>
        <w:spacing w:before="0" w:after="0"/>
        <w:ind w:left="0" w:right="0" w:firstLine="36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Texas Legislation (CenterPoint Energy, Houston Electric and CERC)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and CERC are also reviewing legislation passed in 2023 and associated PUCT rulemaking projects, including the following pieces of legislation that became law during the 88th Texas Legislature, including:</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House Bill 1500 became effective on September 1, 2023 and continues the functions of the PUCT, the Office of Public Utility Counsel, and ERCOT through 2029. This bill also includes an amendment that clarifies the use cases under which TDUs may lease and operate temporary generation during “significant” power outages;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House Bill 2263 became effective on June 12, 2023 and authorizes LDCs to offer programs to promote energy conservation and to recover costs prudently incurred to implement such programs under Railroad Commission authority;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House Bill 2555 became effective on June 13, 2023 and allows an electric utility to create a transmission and distribution system resiliency plan with the PUCT and associated cost recovery to enhance its system through hardening, undergrounding certain lines, flood mitigation measures, and vegetation management. On January 18, 2024, the PUCT issued an Order adopting its Resiliency Plan Rule (16 TAC 25.62);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947 became effective on September 1, 2023 and creates severe criminal offenses for intentional damage to critical infrastructure facilities that create extended power outages;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1015 became effective on June 18, 2023 and allows utilities to file the DCRF twice a year, on any day the PUCT is open (at least 185 days after filing a full base rate proceeding) and setting an administrative approval timeline of 60 days;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1016 became effective on May 5, 2023 and requires the PUCT to presume that all employee compensation and benefits are reasonable and necessary when establishing a utility’s rates if based upon market compensation studies issued within the last three years; it includes exceptions for utility officer incentives that are based on financial metrics. Certain incentive compensation that is in-line with market studies will be presumed reasonable and recoverable;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Senate Bill 1076 became effective on June 2, 2023 and moves the timeline for the PUCT to approve CCN for transmission projects to 180 days after the date of filing, rather than the first anniversary of the day it was filed.</w:t>
      </w:r>
    </w:p>
    <w:p>
      <w:pPr>
        <w:pStyle w:val="TextBody"/>
        <w:bidi w:val="0"/>
        <w:spacing w:before="0" w:after="0"/>
        <w:ind w:left="0" w:right="0" w:firstLine="360"/>
        <w:jc w:val="both"/>
        <w:rPr/>
      </w:pPr>
      <w:r>
        <w:rPr/>
      </w:r>
    </w:p>
    <w:p>
      <w:pPr>
        <w:pStyle w:val="TextBody"/>
        <w:bidi w:val="0"/>
        <w:spacing w:lineRule="auto" w:line="26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Minnesota Legislation (CenterPoint Energy and CERC)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GHG emissions and advancing the state’s clean energy future. The maximum allowable cost for an innovation plan will start at 1.75% of the utility's revenue in the state and could increase to 4% by 2033, subject to review and approval by the MPUC. Specifically, the Natural Gas Innovation Act allows a natural gas utility to submit an innovation plan for approval by the MPUC which could propose the use of renewable energy resources and innovative technologies such as: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natural gas (produces energy from organic materials such as wastewater, agricultural manure, food waste, agricultural or forest waste);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hydrogen gas (produces energy from water through electrolysis with renewable electricity such as solar);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energy efficiency measures (avoids energy consumption in excess of the utility’s existing conservation programs);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innovative technologies (reduces or avoids greenhouse gas emissions using technologies such as carbon capture).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2023, CERC submitted its first innovation plan to the MPUC; the five-year plan includes 18 pilot projects and seven smaller research-and-development projects. These projects will deploy and evaluate a broad array of innovative resources including made-in-Minnesota alternative gases such as renewable natural gas and green hydrogen as well as pioneering technologies such as a networked geothermal district energy system and end-use carbon capture. The proposed plan requires approval from the MPUC through a review process that is expected to take about one year. The MPUC requested comments by September 15, 2023 if parties believe that the filing is incomplete based on the reporting requirements or if parties do not believe that that the MPUC’s standard informal proceeding process is appropriate. No parties filed comments regarding completeness or raising concerns that the MPUC’s standard informal procedural process is inappropriate. The initial comment period closed January 15, 2024, the reply comment period closed March 15, 2024 and supplemental comments are due May 15, 2024; CERC anticipates the MPUC will hear this matter after the final comments are received.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Solar Panel Issues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current and future solar projects have been impacted by delays and/or increased costs. The potential delays and inflationary cost pressures communicated from the developers of our solar projects have been primarily due to (i) unavailability of solar panels and other uncertainties related to a DOC investigation on anti-dumping and countervailing duties petition filed by a domestic solar manufacturer, (ii) the December 2021 Uyghur Forced Labor Prevention Act on solar modules and other products manufactured in China's Xinjiang Uyghur Autonomous Region and (iii) persistent general global supply chain and labor availability issues. On December 2, 2022, the DOC issued its preliminary determination, finding four of the eight companies being investigated are attempting to bypass U.S. duties. On August 18, 2023, the DOC announced its final determination and found that five of the eight companies investigated are attempting to bypass U.S. duties by doing minor processing in one of the Southeast Asian countries before shipment to the United States. Pursuant to President Biden’s executive order issued in June 2022, duties will not be collected on any solar module and cell imports from these Southeast Asian countries until June 2024, as long as the imports are consumed in the U.S. market within six months of the termination of the executive order. The executive order could be subject to legal and legislative challenges and its effects remain uncertain. The resolution of these issues will determine what additional costs or delays our solar projects will be subject to. These impacts have resulted in cost increases for certain projects, and may result in cost increases in other projects, and such impacts have resulted in, or are expected to result in, the need for us to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“Item 1A. Risk Factors” in the Registrants’ combined 2023 Form 10-K.</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TDSIC 2.0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24, 2023, Indiana Electric filed its petition and case-in-chief with the IURC requesting, among other things, approval of its five-year plan for transmission, distribution, and storage improvements (TDSIC Plan). Intervenors filed their case-in-chief on August 16, 2023 and Indiana Electric filed rebuttal on August 29, 2023. A hearing was held on September 13, 2023 and an order approving the TDSIC Plan was issued on December 27, 2023. The approved five-year TDSIC Plan, covering the period January 1, 2024 through December 31, 2028, consists of approximately $454 million in proposed investments across seven different programs: (1) Distribution 12kV Circuit Rebuild, (2) Distribution Underground Rebuild, (3) Distribution Automation, (4) Wood Pole Replacement, (5) Transmission Line Rebuild, (6) Substation Rebuild, and (7) Substation Physical Security.</w:t>
      </w:r>
    </w:p>
    <w:p>
      <w:pPr>
        <w:pStyle w:val="TextBody"/>
        <w:bidi w:val="0"/>
        <w:spacing w:before="0" w:after="0"/>
        <w:ind w:left="0" w:right="0" w:firstLine="360"/>
        <w:jc w:val="both"/>
        <w:rPr/>
      </w:pPr>
      <w:r>
        <w:rPr/>
      </w:r>
    </w:p>
    <w:p>
      <w:pPr>
        <w:pStyle w:val="TextBody"/>
        <w:bidi w:val="0"/>
        <w:spacing w:lineRule="auto" w:line="26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Transmission and Distribution System Resiliency Plan (CenterPoint Energy and Houston Electric)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House Bill 2555 was passed by the 88th Texas Legislature in 2023 and allows an electric utility to create a transmission and distribution system resiliency plan to enhance its system through the implementation of one or more of the following measures: hardening, modernization, undergrounding certain lines, lightning mitigation measures, flood mitigation measures, information technology, cybersecurity measures, physical security measures, vegetation management, and wildfire mitigation and response. House Bill 2555 also allows an electric utility to establish a regulatory asset for distribution-related costs, including depreciation expense and carrying costs at the electric utility’s weighted average cost of capital, relating to the implementation of a transmission and distribution system resiliency plan.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2024, Houston Electric filed its first transmission and distribution system resiliency plan with the PUCT for review and approval. Houston Electric’s transmission and distribution system resiliency plan proposes to enhance its system over a three year period through twenty-five (25) measures related to: system hardening, grid modernization, flood mitigation, information technology, physical security, and vegetation management. Houston Electric’s transmission and distribution system resiliency plan also proposes to further analyze and identify specific wildfire risk and implement additional measures to mitigate the identified wildfire risk. The estimated capital cost is approximately $2.2 billion, the estimated incremental operations and maintenance expense is approximately $86 million over the three year period, and Houston Electric has requested that the PUCT allow Houston Electric to establish a regulatory asset for distribution related costs. The PUCT has 180 days to make a decision on Houston Electric’s transmission and distribution system resiliency plan, and a final decision is expected in the fourth quarter of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Rate Change Applications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ECA, CECA and TDSIC), its cost of service adjustments (e.g., RSP and RRA), its decoupling mechanism (e.g., Decoupling and SRC), and its energy efficiency cost trackers (e.g., CIP, DSMA, EECR, EECRF, EEFC and EEFR).</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Texas Gas Rate Case. </w:t>
      </w:r>
      <w:r>
        <w:rPr>
          <w:rFonts w:ascii="Times New Roman;sans-serif" w:hAnsi="Times New Roman;sans-serif"/>
          <w:b w:val="false"/>
          <w:color w:val="000000"/>
          <w:sz w:val="20"/>
        </w:rPr>
        <w:t>On October 30, 2023 CERC filed an application with the Railroad Commission and municipal regulatory authorities to set new natural gas base rates that would be applied consistently across the approximately 1.9 million customers. The requested increase is approximately 3.1% or $37 million based on an historical test year ending June 30, 2023. The need for a rate change is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10.50% ROE on a 60.61% equity ratio. Intervenor testimony was filed March 8, 2024, rebuttal testimony addressing intervenor issues was filed March 29, 2024 and a settlement agreement was filed on April 23, 2024. A hearing was held on April 24, 2024. A final order is expected in the second quarter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Minnesota Rate Case. </w:t>
      </w:r>
      <w:r>
        <w:rPr>
          <w:rFonts w:ascii="Times New Roman;sans-serif" w:hAnsi="Times New Roman;sans-serif"/>
          <w:b w:val="false"/>
          <w:color w:val="000000"/>
          <w:sz w:val="20"/>
        </w:rPr>
        <w:t>On November 1, 2023, CERC filed an application with the MPUC requesting an adjustment to delivery charges in 2024 and 2025 for the natural gas business in Minnesota. The requested increase is approximately 6.5% or $85 million for 2024 and an additional approximately 3.7% or $52 million for 2025. The need for a rate change is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10.3% ROE on a 52.5% equity ratio. Interim rates of $69 million, subject to refund, were implemented as of January 1, 2024. A decision on 2025 interim rates was delayed until the fourth quarter of 2024. The anticipated decision date of the rate case is July 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Indiana Electric Rate Case. </w:t>
      </w:r>
      <w:r>
        <w:rPr>
          <w:rFonts w:ascii="Times New Roman;sans-serif" w:hAnsi="Times New Roman;sans-serif"/>
          <w:b w:val="false"/>
          <w:color w:val="000000"/>
          <w:sz w:val="20"/>
        </w:rPr>
        <w:t>On December 5, 2023, Indiana Electric filed a petition with the IURC for authority to modify its rates and charges for electric utility service through a phase-in of rates. The requested increase is approximately 16% or $119 million based on a forward looking 2025 test year. The need for a rate increase is primarily driven by the continuing investment that is being made to bolster the safety and reliability of the system and normal increases in operating expenses. The rate case reflects a proposed 10.4% ROE on a 55% equity ratio. On April 9, 2024 Indiana Electric filed rebuttal in the rate case. The requested increase remains at 16% with an updated requested increase of $115 million. A hearing is scheduled to begin May 2, 2024. A final order is expected in the fourth quarter of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Houston Electric Rate Case.</w:t>
      </w:r>
      <w:r>
        <w:rPr>
          <w:color w:val="000000"/>
        </w:rPr>
        <w:t xml:space="preserve"> </w:t>
      </w:r>
      <w:r>
        <w:rPr>
          <w:rFonts w:ascii="Times New Roman;sans-serif" w:hAnsi="Times New Roman;sans-serif"/>
          <w:b w:val="false"/>
          <w:color w:val="000000"/>
          <w:sz w:val="20"/>
        </w:rPr>
        <w:t>On March 6, 2024, Houston Electric filed an application with the PUCT requesting authority to change rates and charges for electric transmission and distribution service. The requested increase is approximately $17 million (1%) for retail customers and $43 million (6.6%) for wholesale transmission service, excluding TCRF and rate case expenses. Texas law mandates that electric utilities file a base rate proceeding no later than every four years from the date of their last base rate proceeding final order. Houston Electric’s most recent base rate proceeding order was approved by the PUCT on March 9, 2020, in Docket No. 49421. Therefore, Houston Electric was required to file a next base rate proceeding no later than March 9, 2024. The need for a rate increase is primarily driven by the continuing investment that has been made to support customer growth and to bolster the safety and reliability of Houston Electric’s transmission and distribution system. The request reflects a proposed 10.4% ROE and a 45% equity ratio. Intervenor and PUCT Staff testimony is expected in June 2024, followed by rebuttal on July 12, 2024. A hearing on the merits is scheduled to start in late July 2024 and a final order is expected late fourth quarter of 2024 or the first quarter of 2025.</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significant applications pending or completed since the Registrants’ combined 2023 Form 10-K was filed with the SEC through the date of the filing of this Form 10-Q:</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308"/>
        <w:gridCol w:w="308"/>
        <w:gridCol w:w="309"/>
        <w:gridCol w:w="109"/>
        <w:gridCol w:w="109"/>
        <w:gridCol w:w="109"/>
        <w:gridCol w:w="354"/>
        <w:gridCol w:w="282"/>
        <w:gridCol w:w="286"/>
        <w:gridCol w:w="109"/>
        <w:gridCol w:w="109"/>
        <w:gridCol w:w="109"/>
        <w:gridCol w:w="255"/>
        <w:gridCol w:w="255"/>
        <w:gridCol w:w="256"/>
        <w:gridCol w:w="109"/>
        <w:gridCol w:w="109"/>
        <w:gridCol w:w="109"/>
        <w:gridCol w:w="270"/>
        <w:gridCol w:w="270"/>
        <w:gridCol w:w="271"/>
        <w:gridCol w:w="109"/>
        <w:gridCol w:w="109"/>
        <w:gridCol w:w="109"/>
        <w:gridCol w:w="1394"/>
        <w:gridCol w:w="1163"/>
        <w:gridCol w:w="165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Mechanism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Annual Increase (Decrease) </w:t>
            </w:r>
            <w:r>
              <w:rPr>
                <w:rFonts w:ascii="Times New Roman;sans-serif" w:hAnsi="Times New Roman;sans-serif"/>
                <w:b/>
                <w:color w:val="000000"/>
                <w:sz w:val="12"/>
              </w:rPr>
              <w:t>(1)</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Information</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Houston Electric (PUCT)</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DCRF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April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March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Based on the net change in distribution invested capital since its last base rate proceeding of approximately $2.5 billion for the period January 1, 2019 through September 30, 2023 for an incremental revenue increase of $86 million, adjusted for load growth. This is the second DCRF filing made in 2023; filing two DCRFs in a year was authorized in 2023 legislative session. A request for interim rates to be implemented on February 12, 2024 was also made on December 14, 2023 which was denied on January 9, 2024 by the ALJ who also granted a good cause exemption to extend the procedural schedule. On February 5, 2024, Houston Electric notified the ALJ that the parties reached an agreement in principle on all issues in this proceeding, and filed an agreed expedited motion for interim rates. On February 13, 2024, interim rates designed to collect $220 million ($73 million incremental) were approved by the ALJ, to be effective April 2024. A final order was issued by the PUCT March 7, 2024.</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Houston Electric Rate Case.</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Beaumont/East Texas, South Texas, Houston and Texas Coast (Railroad Commission)</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Texas Gas Rate Case.</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Minnesota (MPUC)</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November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Minnesota Rate Case.</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Louisiana (LPSC)</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RSP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September/October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Based on ROE of 9.95% with 50 basis point (+/-) earnings band. The North Louisiana increase, net of TCJA effects considered outside of the earnings band and completion of COVID-19 asset recovery, is $8 million based on a test year ended June 2023 and adjusted ROE of 3.67%. The South Louisiana increase, net of TCJA effects considered outside of the earnings band and completion of COVID-19 asset recovery, is $5 million based on a test year ended June 2023 and adjusted ROE of 5.47%. The TCJA refund impact to North Louisiana and South Louisiana was $0.6 million and $0.4 million, respectively. South Louisiana interim rates were implemented on December 28, 2023, subject to refund. North Louisiana interim rates were implemented on January 29, 2024. Staff reports issued on January 31, 2024 recommended disallowances of $0.3 million and $0.2 million in North and South Louisiana, respectively. LPSC voted to approve the January 2024 staff reports on April 19, 2024. Implementation will occur after the final order is issued and compliance tariffs are approved.</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 Indiana South - Gas (IURC)</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CSIA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April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July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Requested an increase of $35 million to rate base, which reflects approximately $3.6 million annual increase in current revenues. 80% of revenue requirement is included in requested rate increase and 20% is deferred until the next rate case. The mechanism also includes a change in (over)/under-recovery variance of $0.03 million annually. OUCC is scheduled to file testimony on or before May 31, 2024. Rebuttal testimony, if needed, is due June 14, 2024. Evidentiary hearing is scheduled for July 1, 2024. </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Indiana North - Gas (IURC)</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CSIA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April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July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$97 million to rate base, which reflects approximately $9.4 million annual increase in current revenues. 80% of revenue requirement is included in requested rate increase and 20% is deferred until the next rate case. The mechanism also includes a change in (over)/under-recovery variance of $1 million annually. OUCC is scheduled to file testimony or before May 31, 2024. Rebuttal testimony, if needed, is due June 14, 2024. Evidentiary hearing is scheduled for July 1, 2024.</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274"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317"/>
        <w:gridCol w:w="317"/>
        <w:gridCol w:w="319"/>
        <w:gridCol w:w="109"/>
        <w:gridCol w:w="109"/>
        <w:gridCol w:w="109"/>
        <w:gridCol w:w="276"/>
        <w:gridCol w:w="276"/>
        <w:gridCol w:w="281"/>
        <w:gridCol w:w="109"/>
        <w:gridCol w:w="109"/>
        <w:gridCol w:w="109"/>
        <w:gridCol w:w="257"/>
        <w:gridCol w:w="257"/>
        <w:gridCol w:w="258"/>
        <w:gridCol w:w="109"/>
        <w:gridCol w:w="109"/>
        <w:gridCol w:w="109"/>
        <w:gridCol w:w="272"/>
        <w:gridCol w:w="272"/>
        <w:gridCol w:w="273"/>
        <w:gridCol w:w="109"/>
        <w:gridCol w:w="109"/>
        <w:gridCol w:w="109"/>
        <w:gridCol w:w="1403"/>
        <w:gridCol w:w="1177"/>
        <w:gridCol w:w="168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Mechanism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Annual Increase (Decrease) </w:t>
            </w:r>
            <w:r>
              <w:rPr>
                <w:rFonts w:ascii="Times New Roman;sans-serif" w:hAnsi="Times New Roman;sans-serif"/>
                <w:b/>
                <w:color w:val="000000"/>
                <w:sz w:val="12"/>
              </w:rPr>
              <w:t>(1)</w:t>
            </w:r>
          </w:p>
          <w:p>
            <w:pPr>
              <w:pStyle w:val="TableContents"/>
              <w:bidi w:val="0"/>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Information</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 Indiana Electric (IURC)</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4"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4"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4"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4"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4"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Rate Case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See discussion above under </w:t>
            </w:r>
            <w:r>
              <w:rPr>
                <w:rFonts w:ascii="Times New Roman;sans-serif" w:hAnsi="Times New Roman;sans-serif"/>
                <w:b w:val="false"/>
                <w:i/>
                <w:color w:val="000000"/>
                <w:sz w:val="16"/>
              </w:rPr>
              <w:t>Indiana Electric Rate Case.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TDSIC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$36 million to rate base, which reflects a $5 million annual increase in current revenues. 80% of the revenue requirement is included in requested rate increase and 20% is deferred until next rate case. The mechanism also includes a change in (over)/under-recovery variance and a tax reform credit for a total of $1 million. The OUCC filed testimony on April 2, 2024, Indiana Electric did not file rebuttal and the evidentiary hearing is scheduled for April 30, 2024.</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CECA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Requested a decrease of $1 million to rate base, which reflects no change in current revenues. The mechanism also includes a change in (over)/under-recovery variance of $0.1 million. OUCC filed testimony on April 2, 2024, recommending a $0.3 million reduction in the revenue requirement, comprised almost entirely of a reduction in estimated operation and maintenance expenses and a small offset to capital investment for grant funding. CEI South filed rebuttal testimony on April 9, 2024, disagreeing with the OUCC’s reasoning behind the recommended reductions, but in an effort to help address affordability concerns, agreed to make one-time adjustment in this proceeding. The evidentiary hearing was held on April 23, 2024.</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proposed increases (decreases) when effective date and/or approval date is not yet determined. Approved rates could differ materially from proposed rates.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Inflation Reduction Act (IRA)</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IRA was signed into law. The new law extends or creates tax-related energy incentives for solar, wind and alternative clean energy sources, implements, subject to certain exceptions, a 1% tax on share repurchases after December 31, 2022, and implements a 15% CAMT based on the adjusted financial statement income of certain large corporations. Corporations are entitled to a CAMT credit to the extent CAMT liability exceeds regular tax liability, which can be carried forward indefinitely and used in future years when regular tax exceeds the CAMT. It is likely that the Registrants will owe CAMT in excess of their regular tax liability beginning in 2024. As a result, the Registrants may experience a temporary increase in federal cash tax liability due to this provision beginning in 2024.</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Greenhouse Gas Regulation and Compliance (CenterPoint Energy)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EPA exceeded its authority in promulgating the CPP. On May 11, 2023, the EPA announced proposed emission limits and guidelines for carbon dioxide from fossil fuel-fired power plants under Section 111 of the Clean Air Act which, if finalized, apply new GHG performance standards for those existing coal-fired units expected to continue operation beyond December 31, 2029. On February 29, 2024, EPA announced that it would be delaying the rulemaking as applied to existing natural gas-fired units. On April 25, 2024, the EPA released its New Source Performance Standards for Greenhouse Gas Emissions From New, Modified, Reconstructed Fossil Fuel-Fired Units; Emission Guidelines for Greenhouse Gas Emissions From Existing Fossil Fuel-Fired Electric Generating Units; and Repeal of the Affordable Clean Energy Rule. CenterPoint Energy is currently reviewing this rule, but would note that CenterPoint Energy does not currently have plans to operate any of its coal-fired units beyond December 2029.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Biden administration recommitted the United States to the Paris Agreement, which has driven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net zero emissions goals for both Scope 1 emissions and certain Scope 2 emissions by 2035 as well as a goal to reduce certain Scope 3 emissions by 20% to 30% by 2035.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Texas is an unregulated market, CenterPoint Energy’s Scope 2 estimates do not take into account Texas electric transmission and distribution assets in the line loss calculation and, in addition, exclude emissions related to purchased power in Indiana between 2024 and 2026 as estimated. CenterPoint Energy’s Scope 3 emissions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The IRA established the Methane Emissions Reduction Program, which imposes a charge on methane emissions from certain natural gas transmission facilities, and the EPA has proposed new regulations targeting reductions in methane emissions, which if implemented will increase costs related to production, transmission and storage of natural gas.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CenterPoint Energy’s net zero emissions goals are aligned with Indiana Electric’s generation transition plan and are expected to position Indiana Electric to comply with anticipated future regulatory requirements related to GHG emissions reductions. Houston Electric, in contrast to some electric utilities including Indiana Electric, does not generate electricity, other than TEEEF, and thus is not directly exposed to the risk of high capital costs and regulatory uncertainties that face electric utilities that burn fossil fuels to generate electricity.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w:t>
      </w:r>
      <w:r>
        <w:rPr>
          <w:rFonts w:ascii="Times New Roman;sans-serif" w:hAnsi="Times New Roman;sans-serif"/>
          <w:b w:val="false"/>
          <w:color w:val="000000"/>
          <w:sz w:val="20"/>
          <w:shd w:fill="FFFFFF" w:val="clear"/>
        </w:rPr>
        <w:t>to provide customers with access to renewable energy resources and innovative technologies, with the goal of reducing GHG emissions.</w:t>
      </w:r>
      <w:r>
        <w:rPr>
          <w:color w:val="000000"/>
        </w:rPr>
        <w:t xml:space="preserve"> </w:t>
      </w:r>
      <w:r>
        <w:rPr>
          <w:rFonts w:ascii="Times New Roman;sans-serif" w:hAnsi="Times New Roman;sans-serif"/>
          <w:b w:val="false"/>
          <w:color w:val="000000"/>
          <w:sz w:val="20"/>
          <w:shd w:fill="FFFFFF" w:val="clear"/>
        </w:rPr>
        <w:t xml:space="preserve">Further, certain local government bodies have introduced or are considering requirements and/or incentives to reduce energy consumption by certain specified dates. </w:t>
      </w:r>
      <w:r>
        <w:rPr>
          <w:rFonts w:ascii="Times New Roman;sans-serif" w:hAnsi="Times New Roman;sans-serif"/>
          <w:b w:val="false"/>
          <w:color w:val="000000"/>
          <w:sz w:val="20"/>
        </w:rPr>
        <w:t xml:space="preserve">For example, Minneapolis has adopted carbon emission reduction goals in an effort to decrease reliance on natural gas. </w:t>
      </w:r>
      <w:r>
        <w:rPr>
          <w:rFonts w:ascii="Times New Roman;sans-serif" w:hAnsi="Times New Roman;sans-serif"/>
          <w:b w:val="false"/>
          <w:color w:val="000000"/>
          <w:sz w:val="20"/>
          <w:shd w:fill="FFFFFF" w:val="clear"/>
        </w:rPr>
        <w:t>Additionally,</w:t>
      </w:r>
      <w:r>
        <w:rPr>
          <w:color w:val="000000"/>
        </w:rPr>
        <w:t xml:space="preserve"> </w:t>
      </w:r>
      <w:r>
        <w:rPr>
          <w:rFonts w:ascii="Times New Roman;sans-serif" w:hAnsi="Times New Roman;sans-serif"/>
          <w:b w:val="false"/>
          <w:color w:val="000000"/>
          <w:sz w:val="20"/>
        </w:rPr>
        <w:t>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Climate Change Trends and Uncertainties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likely become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may increase as a result of customer changes in response to climate change. For example, as the expected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legislators or other stakeholders could harm its reputation.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these developments, CenterPoint Energy announced its net zero emissions goals for both Scope 1 emissions and certain Scope 2 emissions by 2035. 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continues to execute on its 2019/2020 IRP and has received initial approvals for 626 MWs of the 700-1,000 MWs identified within Indiana Electric’s 2019/2020 IRP. Additionally, as reflected in its 10-year capital plan announced in September 2021, CenterPoint Energy anticipates spending over $3 billion in cleaner energy investments and enablement, which may be used to support, among other things, renewable energy generation and electric vehicle expansion. CenterPoint Energy believes its planned investments in renewable energy generation and corresponding planned reduction in its GHG emissions as part of its net zero emissions goals support global efforts to reduce the impacts of climate change. Indiana Electric has conducted a new IRP, which was submitted to the IURC in May 2023, to identify an appropriate generation resource portfolio to satisfy the needs of its customers and comply with environmental regulations. The proposed preferred portfolio is the second evolution to the generation transition plan to move away from coal-fired generation to a more sustainable portfolio of resources. Under the proposed preferred portfolio, Indiana Electric plans to convert its last remaining coal unit to natural gas by the end of 2027 and to add a significant amount of additional renewable resources through 2033. For more information regarding CenterPoint Energy’s net zero emission goals and the risks associated with them, see “Risk Factors — Risk Factors Affecting Regulatory, Environmental and Legal Risks — CenterPoint Energy is subject to operational and financial risks...” in Item 1A of Part I of the Registrants’ combined 2023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current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its operation of TEEEF.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the SEC adopted final rules that require the Registrants to disclose certain climate-related information in registration statements and annual reports. The final rules require Registrants to disclose, among other things, material climate-related risks, activities to mitigate such risks and information about the Registrants’ board of directors oversight and management’s role in managing material climate-related risks. The final rule also requires the Registrants to provide information related to any climate-related targets or goals that are material to the Registrants’ businesses, results of operations, or financial condition. A majority of the reporting requirements are applicable to the fiscal year beginning in 2025, with the addition of assurance reporting for GHG inventories starting in 2029 for large accelerated filers. Litigation challenging the new rule was filed by multiple parties in multiple jurisdictions, which have been consolidated and assigned to the U.S. District Court of Appeals for the Eighth Circuit. On April 4, 2024, the SEC announced that it is voluntarily delaying the implementation of the climate disclosure regulations while the U.S. District Court of Appeals considers the litigation. The Registrants are currently evaluating the impact of the final rules on their respective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consolidated debt to capitalization covenant in the Registrants’ revolving credit facilities, the Registrants would have been permitted to utilize the full capacity of such revolving credit facilities, which aggregated approximately $4.0 billion as of March 31, 2024. As of April 22, 2024, the Registrants had the following revolving credit facilities and utilization of such facilities: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513"/>
        <w:gridCol w:w="451"/>
        <w:gridCol w:w="456"/>
        <w:gridCol w:w="109"/>
        <w:gridCol w:w="109"/>
        <w:gridCol w:w="109"/>
        <w:gridCol w:w="234"/>
        <w:gridCol w:w="685"/>
        <w:gridCol w:w="120"/>
        <w:gridCol w:w="109"/>
        <w:gridCol w:w="109"/>
        <w:gridCol w:w="109"/>
        <w:gridCol w:w="211"/>
        <w:gridCol w:w="406"/>
        <w:gridCol w:w="109"/>
        <w:gridCol w:w="109"/>
        <w:gridCol w:w="109"/>
        <w:gridCol w:w="109"/>
        <w:gridCol w:w="286"/>
        <w:gridCol w:w="551"/>
        <w:gridCol w:w="147"/>
        <w:gridCol w:w="109"/>
        <w:gridCol w:w="109"/>
        <w:gridCol w:w="109"/>
        <w:gridCol w:w="277"/>
        <w:gridCol w:w="809"/>
        <w:gridCol w:w="145"/>
        <w:gridCol w:w="109"/>
        <w:gridCol w:w="109"/>
        <w:gridCol w:w="109"/>
        <w:gridCol w:w="507"/>
        <w:gridCol w:w="507"/>
        <w:gridCol w:w="509"/>
        <w:gridCol w:w="109"/>
        <w:gridCol w:w="109"/>
        <w:gridCol w:w="109"/>
        <w:gridCol w:w="383"/>
        <w:gridCol w:w="383"/>
        <w:gridCol w:w="554"/>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Amount Utilized as of April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Size of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Letters of Credit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Commercial Paper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Date</w:t>
            </w:r>
          </w:p>
        </w:tc>
      </w:tr>
      <w:tr>
        <w:trPr/>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CenterPoint Energy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credit facility was issued by SIGECO.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borrowers are currently in compliance with the various business and financial covenants in the four revolving credit facilities.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Debt Transactions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detailed information about the Registrants’ debt transactions to date in 2024, see Note 11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Securities Registered with the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2024, see Note 11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for information related to shares of Common Stock sold pursuant to the CenterPoint Energy Equity Distribution Agreement, see Note 18 to the Interim Condensed Financial Statements.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Temporary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22, 2024, the Registrants had no temporary investments.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Money Pool</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 money pool activity by Registrant as of April 22, 2024:</w:t>
      </w:r>
    </w:p>
    <w:p>
      <w:pPr>
        <w:pStyle w:val="TextBody"/>
        <w:bidi w:val="0"/>
        <w:spacing w:before="0" w:after="0"/>
        <w:ind w:left="0" w:right="0" w:firstLine="360"/>
        <w:jc w:val="both"/>
        <w:rPr/>
      </w:pPr>
      <w:r>
        <w:rPr/>
      </w:r>
    </w:p>
    <w:tbl>
      <w:tblPr>
        <w:tblW w:w="7558" w:type="dxa"/>
        <w:jc w:val="center"/>
        <w:tblInd w:w="0" w:type="dxa"/>
        <w:tblLayout w:type="fixed"/>
        <w:tblCellMar>
          <w:top w:w="28" w:type="dxa"/>
          <w:left w:w="28" w:type="dxa"/>
          <w:bottom w:w="28" w:type="dxa"/>
          <w:right w:w="28" w:type="dxa"/>
        </w:tblCellMar>
      </w:tblPr>
      <w:tblGrid>
        <w:gridCol w:w="793"/>
        <w:gridCol w:w="697"/>
        <w:gridCol w:w="699"/>
        <w:gridCol w:w="854"/>
        <w:gridCol w:w="854"/>
        <w:gridCol w:w="857"/>
        <w:gridCol w:w="109"/>
        <w:gridCol w:w="109"/>
        <w:gridCol w:w="109"/>
        <w:gridCol w:w="370"/>
        <w:gridCol w:w="818"/>
        <w:gridCol w:w="191"/>
        <w:gridCol w:w="109"/>
        <w:gridCol w:w="109"/>
        <w:gridCol w:w="109"/>
        <w:gridCol w:w="211"/>
        <w:gridCol w:w="40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CERC</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pool investments </w:t>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Impact on Liquidity of a Downgrade in Credit Ratings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borrowings under the credit facilities is based on each respective borrower’s credit ratings. As of April 22, 2024, Moody’s, S&amp;P and Fitch had assigned the following credit ratings to the borrowers: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49"/>
        <w:gridCol w:w="395"/>
        <w:gridCol w:w="400"/>
        <w:gridCol w:w="109"/>
        <w:gridCol w:w="109"/>
        <w:gridCol w:w="109"/>
        <w:gridCol w:w="710"/>
        <w:gridCol w:w="710"/>
        <w:gridCol w:w="712"/>
        <w:gridCol w:w="109"/>
        <w:gridCol w:w="109"/>
        <w:gridCol w:w="109"/>
        <w:gridCol w:w="210"/>
        <w:gridCol w:w="210"/>
        <w:gridCol w:w="211"/>
        <w:gridCol w:w="109"/>
        <w:gridCol w:w="109"/>
        <w:gridCol w:w="109"/>
        <w:gridCol w:w="288"/>
        <w:gridCol w:w="288"/>
        <w:gridCol w:w="289"/>
        <w:gridCol w:w="109"/>
        <w:gridCol w:w="109"/>
        <w:gridCol w:w="109"/>
        <w:gridCol w:w="210"/>
        <w:gridCol w:w="210"/>
        <w:gridCol w:w="211"/>
        <w:gridCol w:w="109"/>
        <w:gridCol w:w="109"/>
        <w:gridCol w:w="109"/>
        <w:gridCol w:w="288"/>
        <w:gridCol w:w="288"/>
        <w:gridCol w:w="289"/>
        <w:gridCol w:w="109"/>
        <w:gridCol w:w="109"/>
        <w:gridCol w:w="109"/>
        <w:gridCol w:w="210"/>
        <w:gridCol w:w="210"/>
        <w:gridCol w:w="211"/>
        <w:gridCol w:w="109"/>
        <w:gridCol w:w="109"/>
        <w:gridCol w:w="109"/>
        <w:gridCol w:w="266"/>
        <w:gridCol w:w="266"/>
        <w:gridCol w:w="385"/>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Fitch</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Borrower/Instrument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Outlook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Outlook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Outlook (3)</w:t>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Senior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Vectren Corp. Issuer 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SIGECO Senior 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 Senior 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CERC Corp. Senior Unsecured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Stable</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Gas Senior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 Moody’s rating outlook is an opinion regarding the likely direction of an issuer’s rating over the medium term.</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(2)An S&amp;P outlook assesses the potential direction of a long-term credit rating over the intermediate to longer term.</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 Fitch rating outlook indicates the direction a rating is likely to move over a one- to two-year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decline in credit ratings could increase borrowing costs under the Registrants’ revolving credit facilities. If the Registrants’ credit ratings had been downgraded one notch by S&amp;P and Moody’s from the ratings that existed as of March 31, 2024,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$179 million as of March 31, 2024. The amount of collateral will depend on seasonal variations in transportation levels.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ZENS and Securities Related to ZENS (CenterPoint Energy)</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March 31, 2024, deferred taxes of approximately $764 million would have been payable in 2024. If all the ZENS-Related Securities had been sold on March 31, 2024, capital gains taxes of approximately $63 million would have been payable in 2024 based on 2024 tax rates in effect. For additional information about ZENS, see Note 10 to the Interim Condensed Financial Statements.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Cross Defaults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each of CenterPoint Energy’s, Houston Electric’s and CERC’s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Possible Acquisitions, Divestitures and Joint Ventures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has increased its planned capital expenditures in its Electric and Natural Gas businesses multiple times over the recent years to support rate base growth and may continue to do so in the future. The Registrants may continue to explore asset sales as a means to efficiently finance a portion of its increased capital expenditures in the future, subject to the considerations listed above. For further information, see Note 3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19, 2024, CenterPoint Energy, through its subsidiary CERC Corp., entered into the LAMS Asset Purchase Agreement to sell its Louisiana and Mississippi natural gas LDC businesses. The transaction is expected to close in the first quarter of 2025. For further information, see Note 3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Hedging of Interest Expense for Future Debt Issuances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Collection of Receivables from REPs (CenterPoint Energy and Houston Electric)</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Other Factors that Could Affect 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factors, the Registrants’ liquidity and capital resources could also be negatively affected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acceleration of payment dates on certain gas supply contracts, under certain circumstances, as a result of increased natural gas prices, and concentration of natural gas suppliers (CenterPoint Energy and CERC);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costs related to the acquisition of natural gas (CenterPoint Energy and CERC);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interest expense in connection with debt refinancings and borrowings under credit facilities or term loans or the use of alternative sources of financings on capital and other financial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various legislative or regulatory actions;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incremental collateral, if any, that may be required due to regulation of derivatives (CenterPoint Energy);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REPs, including REP affiliates of NRG and Vistra Energy Corp., to satisfy their obligations to CenterPoint Energy and Houston Electric;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slower customer payments and increased write-offs of receivables due to higher natural gas prices, changing economic conditions, public health threats or severe weather events (CenterPoint Energy and CERC);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satisfaction of any obligations pursuant to guarantees;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litigation, including litigation related to the February 2021 Winter Storm Event;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contributions to pension and postretirement benefit plans;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restoration costs and revenue losses resulting from future natural disasters such as hurricanes and the timing of recovery of such restoration costs;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various other risks identified in “Risk Factors” in </w:t>
      </w:r>
      <w:hyperlink r:id="rId2">
        <w:r>
          <w:rPr>
            <w:rStyle w:val="InternetLink"/>
            <w:rFonts w:ascii="Times New Roman;sans-serif" w:hAnsi="Times New Roman;sans-serif"/>
            <w:b w:val="false"/>
            <w:color w:val="0000FF"/>
            <w:sz w:val="20"/>
            <w:u w:val="single"/>
          </w:rPr>
          <w:t>Item 1A of Part I of the Registrants’ combined 2023 Form 10-K</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Certain Contractual Limits on Our Ability to Issue Securities and Borrow Money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11 to the Interim Condensed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The accounting estimates described below require the Registrants to make assumptions about matters that are highly uncertain at the time the estimate is made.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Assets Held for Sale</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as described further in Note 3 to the Interim Condensed Financial Statements, certain assets and liabilities representing the Louisiana and Mississippi natural gas LDC businesses met the held for sale criteria. The sale will be considered an asset sale for tax purposes, requiring net deferred tax liabilities to be excluded from held for sale balances. The deferred taxes associated with the businesses will be recognized as a deferred income tax benefit by CenterPoint Energy and CERC upon closing.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see Note 3 to the Interim Condensed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assets held for sale analysis discussed above, there have been no significant changes in our critical accounting policies during the three months ended March 31, 2024, as compared to the critical accounting policies disclosed in Management’s Discussion and Analysis of Financial Condition and Results of Operations included in the Registrants’ combined 2023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Registrants had outstanding long-term debt, lease obligations and CenterPoint Energy had obligations under its ZENS that subject them to the risk of loss associated with movements in market interest rates.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floating rate obligations aggregated $2.0 billion and $1.9 billion as of March 31, 2024 and December 31, 2023, respectively. If the floating interest rates were to increase by 100 basis points from March 31, 2024 rates, CenterPoint Energy’s combined interest expense would increase by approximately $20 million annually. CenterPoint Energy has $350 million aggregate principal amount of floating rate notes maturing in 2024 that are expected to be refinanced at then current market rates.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CenterPoint Energy had outstanding fixed-rate debt (excluding indexed debt securities) aggregating $17.3 billion and $16.9 billion, respectively, in principal amount and having a fair value of $16.1 billion and $16.1 billion, respectively. Because these instruments are fixed-rate, they do not expose CenterPoint Energy to the risk of loss in earnings due to changes in market interest rates. However, the fair value of these instruments would increase by approximately $650 million if interest rates were to decline by 10% from levels at March 31, 2024. In general, such an increase in fair value would impact earnings and cash flows only if CenterPoint Energy were to reacquire all or a portion of these instruments in the open market prior to their maturity. CenterPoint Energy has $500 million of fixed-rate senior notes maturing in 2024 that are expected to be refinanced at then current market rates.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ZENS obligation is bifurcated into a debt component and a derivative component. The debt component of $4 million as of March 31, 2024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March 31, 2024. Changes in the fair value of the derivative component, a $520 million recorded liability at March 31, 2024,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March 31, 2024 levels, the fair value of the derivative component liability would decrease by $1 million, which would be recorded as an unrealized gain in CenterPoint Energy’s Condensed Statements of Consolidated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Equity Market Value Risk (CenterPoint Energy)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March 31, 2024 aggregate market value of these shares would result in a net loss of less than $1 million, which would be recorded as a loss on debt securities in CenterPoint Energy’s Condensed Statements of Consolidated Income.</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 From Non-Trading Activities (CenterPoint Energy and CERC)</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regulated operations are exposed to commodity price risk during severe weather events such as hurricanes, tornadoes and severe winter weather conditions. Severe weather events can increase commodity prices related to natural gas, coal and purchased power, which may increase our costs of providing service, and those costs may not be recoverable in rates. Recovery of cost increases driven by rising commodity prices during severe weather events could be resisted by our regulators and our regulators might attempt to deny or defer timely recovery of those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However, 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March 31, 2024, the recorded fair value of non-trading energy derivative liabilities was $12 million and $10 million, respectively, for CenterPoint Energy’s and CERC’s utility natural gas operations in Indiana.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Item 4.CONTROLS AND PROCEDURES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March 31, 2024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Registrants’ internal controls over financial reporting that occurred during the three months ended March 31, 2024 that has materially affected, or is reasonably likely to materially affect, the Registrants’ internal controls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please read Note 13(c)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r>
        <w:fldChar w:fldCharType="begin"/>
      </w:r>
      <w:r>
        <w:rPr>
          <w:rStyle w:val="InternetLink"/>
          <w:sz w:val="20"/>
          <w:u w:val="single"/>
          <w:b w:val="false"/>
          <w:rFonts w:ascii="Times New Roman;sans-serif" w:hAnsi="Times New Roman;sans-serif"/>
          <w:color w:val="0000FF"/>
        </w:rPr>
        <w:instrText xml:space="preserve"> HYPERLINK "http://www.sec.gov/ix?doc=/Archives/edgar/data/48732/000113031020000016/cnp10k12312019.htm" \l "s29CE5F5E2BDE5C749379199663742F59"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Business — Regulation” and “— Environmental Matters</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in Item 1 and “</w:t>
      </w:r>
      <w:r>
        <w:fldChar w:fldCharType="begin"/>
      </w:r>
      <w:r>
        <w:rPr>
          <w:rStyle w:val="InternetLink"/>
          <w:sz w:val="20"/>
          <w:u w:val="single"/>
          <w:b w:val="false"/>
          <w:rFonts w:ascii="Times New Roman;sans-serif" w:hAnsi="Times New Roman;sans-serif"/>
          <w:color w:val="0000FF"/>
        </w:rPr>
        <w:instrText xml:space="preserve"> HYPERLINK "http://www.sec.gov/ix?doc=/Archives/edgar/data/48732/000113031020000016/cnp10k12312019.htm" \l "s0E6A8085ACE15900BB7AB519F58ABDD3"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Legal Proceedings</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in Item 3 of the Registrants’ combined 2023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 xml:space="preserve">Item 1A.RISK FACTORS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disclosed in the Registrants’ combined 2023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Item 5.OTHER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 director or officer of CenterPoint Energy, Houston Electric or CERC adopted or terminated a “Rule 10b5-1 trading arrangement” or “non-Rule 10b5-1 trading arrangement,” as each term is defined in Item 408 of Regulation S-K.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603"/>
        <w:gridCol w:w="603"/>
        <w:gridCol w:w="610"/>
        <w:gridCol w:w="109"/>
        <w:gridCol w:w="109"/>
        <w:gridCol w:w="109"/>
        <w:gridCol w:w="389"/>
        <w:gridCol w:w="389"/>
        <w:gridCol w:w="391"/>
        <w:gridCol w:w="109"/>
        <w:gridCol w:w="109"/>
        <w:gridCol w:w="109"/>
        <w:gridCol w:w="335"/>
        <w:gridCol w:w="335"/>
        <w:gridCol w:w="336"/>
        <w:gridCol w:w="109"/>
        <w:gridCol w:w="109"/>
        <w:gridCol w:w="109"/>
        <w:gridCol w:w="275"/>
        <w:gridCol w:w="275"/>
        <w:gridCol w:w="276"/>
        <w:gridCol w:w="109"/>
        <w:gridCol w:w="109"/>
        <w:gridCol w:w="109"/>
        <w:gridCol w:w="340"/>
        <w:gridCol w:w="340"/>
        <w:gridCol w:w="341"/>
        <w:gridCol w:w="109"/>
        <w:gridCol w:w="109"/>
        <w:gridCol w:w="109"/>
        <w:gridCol w:w="250"/>
        <w:gridCol w:w="250"/>
        <w:gridCol w:w="251"/>
        <w:gridCol w:w="109"/>
        <w:gridCol w:w="109"/>
        <w:gridCol w:w="109"/>
        <w:gridCol w:w="180"/>
        <w:gridCol w:w="180"/>
        <w:gridCol w:w="26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6"/>
                  <w:u w:val="single"/>
                </w:rPr>
                <w:t xml:space="preserve">Agreement and Plan of Merger, dated as of April 21, 2018, by and among Vectren Corporation, CenterPoint Energy, Inc. and Pacer Merger Sub,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April 21,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6"/>
                  <w:u w:val="single"/>
                </w:rPr>
                <w:t>Securities Purchase Agreement, dated as of February 3, 2020, by and among Vectren Utility Services, Inc., PowerTeam Services, LLC and, solely for purposes of Section 10.17 of the Securities Purchase Agreement, Vectren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6"/>
                  <w:u w:val="single"/>
                </w:rPr>
                <w:t>Equity Purchase Agreement, dated as of February 24, 2020, by and between CERC Corp. and Athena Energy Services Buyer,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24,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659"/>
        <w:gridCol w:w="531"/>
        <w:gridCol w:w="532"/>
        <w:gridCol w:w="109"/>
        <w:gridCol w:w="109"/>
        <w:gridCol w:w="109"/>
        <w:gridCol w:w="471"/>
        <w:gridCol w:w="399"/>
        <w:gridCol w:w="401"/>
        <w:gridCol w:w="109"/>
        <w:gridCol w:w="109"/>
        <w:gridCol w:w="109"/>
        <w:gridCol w:w="335"/>
        <w:gridCol w:w="335"/>
        <w:gridCol w:w="336"/>
        <w:gridCol w:w="109"/>
        <w:gridCol w:w="109"/>
        <w:gridCol w:w="109"/>
        <w:gridCol w:w="275"/>
        <w:gridCol w:w="275"/>
        <w:gridCol w:w="276"/>
        <w:gridCol w:w="109"/>
        <w:gridCol w:w="109"/>
        <w:gridCol w:w="109"/>
        <w:gridCol w:w="338"/>
        <w:gridCol w:w="338"/>
        <w:gridCol w:w="339"/>
        <w:gridCol w:w="109"/>
        <w:gridCol w:w="109"/>
        <w:gridCol w:w="109"/>
        <w:gridCol w:w="249"/>
        <w:gridCol w:w="249"/>
        <w:gridCol w:w="250"/>
        <w:gridCol w:w="109"/>
        <w:gridCol w:w="109"/>
        <w:gridCol w:w="109"/>
        <w:gridCol w:w="180"/>
        <w:gridCol w:w="180"/>
        <w:gridCol w:w="26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6"/>
                  <w:u w:val="single"/>
                </w:rPr>
                <w:t>Asset Purchase Agreement, by and between CenterPoint Energy Resources Corp. and Southern Col Midco, LLC, dated as of April 29,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10-Q for the quarter ended March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16"/>
                  <w:u w:val="single"/>
                </w:rPr>
                <w:t>A</w:t>
              </w:r>
            </w:hyperlink>
            <w:hyperlink r:id="rId8">
              <w:r>
                <w:rPr>
                  <w:rStyle w:val="InternetLink"/>
                  <w:rFonts w:ascii="Times New Roman;sans-serif" w:hAnsi="Times New Roman;sans-serif"/>
                  <w:b w:val="false"/>
                  <w:color w:val="000080"/>
                  <w:sz w:val="16"/>
                  <w:u w:val="single"/>
                </w:rPr>
                <w:t xml:space="preserve">sset Purchase Agreement, dated February 19, 2024, among CenterPoint Energy Resources Corp. and Delta </w:t>
              </w:r>
            </w:hyperlink>
            <w:hyperlink r:id="rId9">
              <w:r>
                <w:rPr>
                  <w:rStyle w:val="InternetLink"/>
                  <w:rFonts w:ascii="Times New Roman;sans-serif" w:hAnsi="Times New Roman;sans-serif"/>
                  <w:b w:val="false"/>
                  <w:color w:val="000080"/>
                  <w:sz w:val="16"/>
                  <w:u w:val="single"/>
                </w:rPr>
                <w:t>Utilities No. LA, LLC, Delta Utilities S. LA, LLC, Delta Utilities MS, LLC, and Delta Shared Services 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6"/>
                  <w:u w:val="single"/>
                </w:rPr>
                <w:t>Restated Articles of Incorporation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July 24,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6"/>
                  <w:u w:val="single"/>
                </w:rPr>
                <w:t>Restated Certificate of Formation of Houston Electric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June 30,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6"/>
                  <w:u w:val="single"/>
                </w:rPr>
                <w:t>Certificate of Incorporation of RERC Corp.</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6"/>
                  <w:u w:val="single"/>
                </w:rPr>
                <w:t>Certificate of Merger merging former NorAm Energy Corp. with and into HI Merger, Inc. dated August 6, 1997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6"/>
                  <w:u w:val="single"/>
                </w:rPr>
                <w:t>Certificate of Amendment changing the name to Reliant Energy Resources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6"/>
                  <w:u w:val="single"/>
                </w:rPr>
                <w:t>Certificate of Amendment changing the name to CenterPoint Energy Resources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10-Q for the quarter ended June 30, 2003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16"/>
                  <w:u w:val="single"/>
                </w:rPr>
                <w:t>Fourth</w:t>
              </w:r>
            </w:hyperlink>
            <w:hyperlink r:id="rId17">
              <w:r>
                <w:rPr>
                  <w:rStyle w:val="InternetLink"/>
                  <w:rFonts w:ascii="Times New Roman;sans-serif" w:hAnsi="Times New Roman;sans-serif"/>
                  <w:b w:val="false"/>
                  <w:color w:val="000080"/>
                  <w:sz w:val="16"/>
                  <w:u w:val="single"/>
                </w:rPr>
                <w:t xml:space="preserve"> Amended and Restated Bylaws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6"/>
                  <w:u w:val="single"/>
                </w:rPr>
                <w:t>Amended and Restated Limited Liability Company Agreement of Houston Electric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June 30,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6"/>
                  <w:u w:val="single"/>
                </w:rPr>
                <w:t>Bylaws of RERC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6"/>
                  <w:u w:val="single"/>
                </w:rPr>
                <w:t>Statement of Resolutions Deleting Shares Designated Series A Preferred Stock of CenterPoint Energy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6"/>
                  <w:u w:val="single"/>
                </w:rPr>
                <w:t>Form of CenterPoint Energy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Registration Statement on Form 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3-69502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80"/>
                  <w:sz w:val="16"/>
                  <w:u w:val="single"/>
                </w:rPr>
                <w:t>G</w:t>
              </w:r>
            </w:hyperlink>
            <w:hyperlink r:id="rId23">
              <w:r>
                <w:rPr>
                  <w:rStyle w:val="InternetLink"/>
                  <w:rFonts w:ascii="Times New Roman;sans-serif" w:hAnsi="Times New Roman;sans-serif"/>
                  <w:b w:val="false"/>
                  <w:color w:val="000080"/>
                  <w:sz w:val="16"/>
                  <w:u w:val="single"/>
                </w:rPr>
                <w:t>eneral Mortgage Indenture</w:t>
              </w:r>
            </w:hyperlink>
            <w:hyperlink r:id="rId24">
              <w:r>
                <w:rPr>
                  <w:rStyle w:val="InternetLink"/>
                  <w:rFonts w:ascii="Times New Roman;sans-serif" w:hAnsi="Times New Roman;sans-serif"/>
                  <w:b w:val="false"/>
                  <w:color w:val="000080"/>
                  <w:sz w:val="16"/>
                  <w:u w:val="single"/>
                </w:rPr>
                <w:t xml:space="preserve">, dated as of October 10, 2002, between </w:t>
              </w:r>
            </w:hyperlink>
            <w:hyperlink r:id="rId25">
              <w:r>
                <w:rPr>
                  <w:rStyle w:val="InternetLink"/>
                  <w:rFonts w:ascii="Times New Roman;sans-serif" w:hAnsi="Times New Roman;sans-serif"/>
                  <w:b w:val="false"/>
                  <w:color w:val="000080"/>
                  <w:sz w:val="16"/>
                  <w:u w:val="single"/>
                </w:rPr>
                <w:t xml:space="preserve">Houston Electric and the </w:t>
              </w:r>
            </w:hyperlink>
            <w:hyperlink r:id="rId26">
              <w:r>
                <w:rPr>
                  <w:rStyle w:val="InternetLink"/>
                  <w:rFonts w:ascii="Times New Roman;sans-serif" w:hAnsi="Times New Roman;sans-serif"/>
                  <w:b w:val="false"/>
                  <w:color w:val="000080"/>
                  <w:sz w:val="16"/>
                  <w:u w:val="single"/>
                </w:rPr>
                <w:t>The Bank of New York Mellon</w:t>
              </w:r>
            </w:hyperlink>
            <w:hyperlink r:id="rId27">
              <w:r>
                <w:rPr>
                  <w:rStyle w:val="InternetLink"/>
                  <w:rFonts w:ascii="Times New Roman;sans-serif" w:hAnsi="Times New Roman;sans-serif"/>
                  <w:b w:val="false"/>
                  <w:color w:val="000080"/>
                  <w:sz w:val="16"/>
                  <w:u w:val="single"/>
                </w:rPr>
                <w:t xml:space="preserve"> Trust Company, National Association (successor in trust to JP</w:t>
              </w:r>
            </w:hyperlink>
            <w:hyperlink r:id="rId28">
              <w:r>
                <w:rPr>
                  <w:rStyle w:val="InternetLink"/>
                  <w:rFonts w:ascii="Times New Roman;sans-serif" w:hAnsi="Times New Roman;sans-serif"/>
                  <w:b w:val="false"/>
                  <w:color w:val="000080"/>
                  <w:sz w:val="16"/>
                  <w:u w:val="single"/>
                </w:rPr>
                <w:t>Morgan C</w:t>
              </w:r>
            </w:hyperlink>
            <w:hyperlink r:id="rId29">
              <w:r>
                <w:rPr>
                  <w:rStyle w:val="InternetLink"/>
                  <w:rFonts w:ascii="Times New Roman;sans-serif" w:hAnsi="Times New Roman;sans-serif"/>
                  <w:b w:val="false"/>
                  <w:color w:val="000080"/>
                  <w:sz w:val="16"/>
                  <w:u w:val="single"/>
                </w:rPr>
                <w:t>hase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September 30,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4(j)(1)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80"/>
                  <w:sz w:val="16"/>
                  <w:u w:val="single"/>
                </w:rPr>
                <w:t>Ninth Supplemental Indenture</w:t>
              </w:r>
            </w:hyperlink>
            <w:hyperlink r:id="rId31">
              <w:r>
                <w:rPr>
                  <w:rStyle w:val="InternetLink"/>
                  <w:rFonts w:ascii="Times New Roman;sans-serif" w:hAnsi="Times New Roman;sans-serif"/>
                  <w:b w:val="false"/>
                  <w:color w:val="000080"/>
                  <w:sz w:val="16"/>
                  <w:u w:val="single"/>
                </w:rPr>
                <w:t xml:space="preserve">, </w:t>
              </w:r>
            </w:hyperlink>
            <w:hyperlink r:id="rId32">
              <w:r>
                <w:rPr>
                  <w:rStyle w:val="InternetLink"/>
                  <w:rFonts w:ascii="Times New Roman;sans-serif" w:hAnsi="Times New Roman;sans-serif"/>
                  <w:b w:val="false"/>
                  <w:color w:val="000080"/>
                  <w:sz w:val="16"/>
                  <w:u w:val="single"/>
                </w:rPr>
                <w:t xml:space="preserve">dated as of November 12, 2002, to </w:t>
              </w:r>
            </w:hyperlink>
            <w:hyperlink r:id="rId33">
              <w:r>
                <w:rPr>
                  <w:rStyle w:val="InternetLink"/>
                  <w:rFonts w:ascii="Times New Roman;sans-serif" w:hAnsi="Times New Roman;sans-serif"/>
                  <w:b w:val="false"/>
                  <w:color w:val="000080"/>
                  <w:sz w:val="16"/>
                  <w:u w:val="single"/>
                </w:rPr>
                <w:t>Exhibit 4.</w:t>
              </w:r>
            </w:hyperlink>
            <w:r>
              <w:rPr>
                <w:rFonts w:ascii="Times New Roman;sans-serif" w:hAnsi="Times New Roman;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4(e)(10)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6"/>
                  <w:u w:val="single"/>
                </w:rPr>
                <w:t>Twentieth Supplemental Indenture, dated as of December 9, 2008, to Exhibit 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8-K dated January 6, 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80"/>
                  <w:sz w:val="16"/>
                  <w:u w:val="single"/>
                </w:rPr>
                <w:t>T</w:t>
              </w:r>
            </w:hyperlink>
            <w:hyperlink r:id="rId36">
              <w:r>
                <w:rPr>
                  <w:rStyle w:val="InternetLink"/>
                  <w:rFonts w:ascii="Times New Roman;sans-serif" w:hAnsi="Times New Roman;sans-serif"/>
                  <w:b w:val="false"/>
                  <w:color w:val="000080"/>
                  <w:sz w:val="16"/>
                  <w:u w:val="single"/>
                </w:rPr>
                <w:t>hirty-Fifth Supplemental Indenture, dated as of February 29, 2024, to Exhibit 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8-K dated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6"/>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6-officerscertific.htm">
              <w:r>
                <w:rPr>
                  <w:rStyle w:val="InternetLink"/>
                  <w:rFonts w:ascii="Times New Roman;sans-serif" w:hAnsi="Times New Roman;sans-serif"/>
                  <w:b w:val="false"/>
                  <w:color w:val="000080"/>
                  <w:sz w:val="16"/>
                  <w:u w:val="single"/>
                </w:rPr>
                <w:t>Officer</w:t>
              </w:r>
            </w:hyperlink>
            <w:hyperlink w:anchor="exhibit46-officerscertific.htm">
              <w:r>
                <w:rPr>
                  <w:rStyle w:val="InternetLink"/>
                  <w:rFonts w:ascii="Times New Roman;sans-serif" w:hAnsi="Times New Roman;sans-serif"/>
                  <w:b w:val="false"/>
                  <w:color w:val="000080"/>
                  <w:sz w:val="16"/>
                  <w:u w:val="single"/>
                </w:rPr>
                <w:t>’</w:t>
              </w:r>
            </w:hyperlink>
            <w:hyperlink w:anchor="exhibit46-officerscertific.htm">
              <w:r>
                <w:rPr>
                  <w:rStyle w:val="InternetLink"/>
                  <w:rFonts w:ascii="Times New Roman;sans-serif" w:hAnsi="Times New Roman;sans-serif"/>
                  <w:b w:val="false"/>
                  <w:color w:val="000080"/>
                  <w:sz w:val="16"/>
                  <w:u w:val="single"/>
                </w:rPr>
                <w:t>s Certificate, dated as of February 29,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thirdamendmentch.htm">
              <w:r>
                <w:rPr>
                  <w:rStyle w:val="InternetLink"/>
                  <w:rFonts w:ascii="Times New Roman;sans-serif" w:hAnsi="Times New Roman;sans-serif"/>
                  <w:b w:val="false"/>
                  <w:color w:val="000080"/>
                  <w:sz w:val="16"/>
                  <w:u w:val="single"/>
                </w:rPr>
                <w:t xml:space="preserve">Third Amendment </w:t>
              </w:r>
            </w:hyperlink>
            <w:hyperlink w:anchor="exhibit101thirdamendmentch.htm">
              <w:r>
                <w:rPr>
                  <w:rStyle w:val="InternetLink"/>
                  <w:rFonts w:ascii="Times New Roman;sans-serif" w:hAnsi="Times New Roman;sans-serif"/>
                  <w:b w:val="false"/>
                  <w:color w:val="000080"/>
                  <w:sz w:val="16"/>
                  <w:u w:val="single"/>
                </w:rPr>
                <w:t xml:space="preserve">dated </w:t>
              </w:r>
            </w:hyperlink>
            <w:hyperlink w:anchor="exhibit101thirdamendmentch.htm">
              <w:r>
                <w:rPr>
                  <w:rStyle w:val="InternetLink"/>
                  <w:rFonts w:ascii="Times New Roman;sans-serif" w:hAnsi="Times New Roman;sans-serif"/>
                  <w:b w:val="false"/>
                  <w:color w:val="000080"/>
                  <w:sz w:val="16"/>
                  <w:u w:val="single"/>
                </w:rPr>
                <w:t>February 2</w:t>
              </w:r>
            </w:hyperlink>
            <w:hyperlink w:anchor="exhibit101thirdamendmentch.htm">
              <w:r>
                <w:rPr>
                  <w:rStyle w:val="InternetLink"/>
                  <w:rFonts w:ascii="Times New Roman;sans-serif" w:hAnsi="Times New Roman;sans-serif"/>
                  <w:b w:val="false"/>
                  <w:color w:val="000080"/>
                  <w:sz w:val="16"/>
                  <w:u w:val="single"/>
                </w:rPr>
                <w:t>2</w:t>
              </w:r>
            </w:hyperlink>
            <w:hyperlink w:anchor="exhibit101thirdamendmentch.htm">
              <w:r>
                <w:rPr>
                  <w:rStyle w:val="InternetLink"/>
                  <w:rFonts w:ascii="Times New Roman;sans-serif" w:hAnsi="Times New Roman;sans-serif"/>
                  <w:b w:val="false"/>
                  <w:color w:val="000080"/>
                  <w:sz w:val="16"/>
                  <w:u w:val="single"/>
                </w:rPr>
                <w:t>, 202</w:t>
              </w:r>
            </w:hyperlink>
            <w:hyperlink w:anchor="exhibit101thirdamendmentch.htm">
              <w:r>
                <w:rPr>
                  <w:rStyle w:val="InternetLink"/>
                  <w:rFonts w:ascii="Times New Roman;sans-serif" w:hAnsi="Times New Roman;sans-serif"/>
                  <w:b w:val="false"/>
                  <w:color w:val="000080"/>
                  <w:sz w:val="16"/>
                  <w:u w:val="single"/>
                </w:rPr>
                <w:t>4</w:t>
              </w:r>
            </w:hyperlink>
            <w:hyperlink w:anchor="exhibit101thirdamendmentch.htm">
              <w:r>
                <w:rPr>
                  <w:rStyle w:val="InternetLink"/>
                  <w:rFonts w:ascii="Times New Roman;sans-serif" w:hAnsi="Times New Roman;sans-serif"/>
                  <w:b w:val="false"/>
                  <w:color w:val="000080"/>
                  <w:sz w:val="16"/>
                  <w:u w:val="single"/>
                </w:rPr>
                <w:t xml:space="preserve"> to CenterPoint Energy </w:t>
              </w:r>
            </w:hyperlink>
            <w:hyperlink w:anchor="exhibit101thirdamendmentch.htm">
              <w:r>
                <w:rPr>
                  <w:rStyle w:val="InternetLink"/>
                  <w:rFonts w:ascii="Times New Roman;sans-serif" w:hAnsi="Times New Roman;sans-serif"/>
                  <w:b w:val="false"/>
                  <w:color w:val="000080"/>
                  <w:sz w:val="16"/>
                  <w:u w:val="single"/>
                </w:rPr>
                <w:t xml:space="preserve">Change of Control </w:t>
              </w:r>
            </w:hyperlink>
            <w:hyperlink w:anchor="exhibit101thirdamendmentch.htm">
              <w:r>
                <w:rPr>
                  <w:rStyle w:val="InternetLink"/>
                  <w:rFonts w:ascii="Times New Roman;sans-serif" w:hAnsi="Times New Roman;sans-serif"/>
                  <w:b w:val="false"/>
                  <w:color w:val="000080"/>
                  <w:sz w:val="16"/>
                  <w:u w:val="single"/>
                </w:rPr>
                <w:t xml:space="preserve">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651"/>
        <w:gridCol w:w="651"/>
        <w:gridCol w:w="658"/>
        <w:gridCol w:w="109"/>
        <w:gridCol w:w="109"/>
        <w:gridCol w:w="109"/>
        <w:gridCol w:w="355"/>
        <w:gridCol w:w="355"/>
        <w:gridCol w:w="356"/>
        <w:gridCol w:w="109"/>
        <w:gridCol w:w="109"/>
        <w:gridCol w:w="109"/>
        <w:gridCol w:w="335"/>
        <w:gridCol w:w="335"/>
        <w:gridCol w:w="336"/>
        <w:gridCol w:w="109"/>
        <w:gridCol w:w="109"/>
        <w:gridCol w:w="109"/>
        <w:gridCol w:w="275"/>
        <w:gridCol w:w="275"/>
        <w:gridCol w:w="276"/>
        <w:gridCol w:w="109"/>
        <w:gridCol w:w="109"/>
        <w:gridCol w:w="109"/>
        <w:gridCol w:w="332"/>
        <w:gridCol w:w="332"/>
        <w:gridCol w:w="333"/>
        <w:gridCol w:w="109"/>
        <w:gridCol w:w="109"/>
        <w:gridCol w:w="109"/>
        <w:gridCol w:w="242"/>
        <w:gridCol w:w="242"/>
        <w:gridCol w:w="244"/>
        <w:gridCol w:w="109"/>
        <w:gridCol w:w="109"/>
        <w:gridCol w:w="109"/>
        <w:gridCol w:w="180"/>
        <w:gridCol w:w="180"/>
        <w:gridCol w:w="26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esgterminationa.htm">
              <w:r>
                <w:rPr>
                  <w:rStyle w:val="InternetLink"/>
                  <w:rFonts w:ascii="Times New Roman;sans-serif" w:hAnsi="Times New Roman;sans-serif"/>
                  <w:b w:val="false"/>
                  <w:color w:val="000080"/>
                  <w:sz w:val="16"/>
                  <w:u w:val="single"/>
                </w:rPr>
                <w:t>Partial Termination</w:t>
              </w:r>
            </w:hyperlink>
            <w:hyperlink w:anchor="exhibit102-esgterminationa.htm">
              <w:r>
                <w:rPr>
                  <w:rStyle w:val="InternetLink"/>
                  <w:rFonts w:ascii="Times New Roman;sans-serif" w:hAnsi="Times New Roman;sans-serif"/>
                  <w:b w:val="false"/>
                  <w:color w:val="000080"/>
                  <w:sz w:val="16"/>
                  <w:u w:val="single"/>
                </w:rPr>
                <w:t xml:space="preserve"> Amendment </w:t>
              </w:r>
            </w:hyperlink>
            <w:hyperlink w:anchor="exhibit102-esgterminationa.htm">
              <w:r>
                <w:rPr>
                  <w:rStyle w:val="InternetLink"/>
                  <w:rFonts w:ascii="Times New Roman;sans-serif" w:hAnsi="Times New Roman;sans-serif"/>
                  <w:b w:val="false"/>
                  <w:color w:val="000080"/>
                  <w:sz w:val="16"/>
                  <w:u w:val="single"/>
                </w:rPr>
                <w:t xml:space="preserve">dated January 9, 2024 </w:t>
              </w:r>
            </w:hyperlink>
            <w:hyperlink w:anchor="exhibit102-esgterminationa.htm">
              <w:r>
                <w:rPr>
                  <w:rStyle w:val="InternetLink"/>
                  <w:rFonts w:ascii="Times New Roman;sans-serif" w:hAnsi="Times New Roman;sans-serif"/>
                  <w:b w:val="false"/>
                  <w:color w:val="000080"/>
                  <w:sz w:val="16"/>
                  <w:u w:val="single"/>
                </w:rPr>
                <w:t>to</w:t>
              </w:r>
            </w:hyperlink>
            <w:hyperlink w:anchor="exhibit102-esgterminationa.htm">
              <w:r>
                <w:rPr>
                  <w:rStyle w:val="InternetLink"/>
                  <w:rFonts w:ascii="Times New Roman;sans-serif" w:hAnsi="Times New Roman;sans-serif"/>
                  <w:b w:val="false"/>
                  <w:color w:val="000080"/>
                  <w:sz w:val="16"/>
                  <w:u w:val="single"/>
                </w:rPr>
                <w:t xml:space="preserve"> </w:t>
              </w:r>
            </w:hyperlink>
            <w:hyperlink w:anchor="exhibit102-esgterminationa.htm">
              <w:r>
                <w:rPr>
                  <w:rStyle w:val="InternetLink"/>
                  <w:rFonts w:ascii="Times New Roman;sans-serif" w:hAnsi="Times New Roman;sans-serif"/>
                  <w:b w:val="false"/>
                  <w:color w:val="000080"/>
                  <w:sz w:val="16"/>
                  <w:u w:val="single"/>
                </w:rPr>
                <w:t xml:space="preserve">Vectren </w:t>
              </w:r>
            </w:hyperlink>
            <w:hyperlink w:anchor="exhibit102-esgterminationa.htm">
              <w:r>
                <w:rPr>
                  <w:rStyle w:val="InternetLink"/>
                  <w:rFonts w:ascii="Times New Roman;sans-serif" w:hAnsi="Times New Roman;sans-serif"/>
                  <w:b w:val="false"/>
                  <w:color w:val="000080"/>
                  <w:sz w:val="16"/>
                  <w:u w:val="single"/>
                </w:rPr>
                <w:t>C</w:t>
              </w:r>
            </w:hyperlink>
            <w:hyperlink w:anchor="exhibit102-esgterminationa.htm">
              <w:r>
                <w:rPr>
                  <w:rStyle w:val="InternetLink"/>
                  <w:rFonts w:ascii="Times New Roman;sans-serif" w:hAnsi="Times New Roman;sans-serif"/>
                  <w:b w:val="false"/>
                  <w:color w:val="000080"/>
                  <w:sz w:val="16"/>
                  <w:u w:val="single"/>
                </w:rPr>
                <w:t>o</w:t>
              </w:r>
            </w:hyperlink>
            <w:hyperlink w:anchor="exhibit102-esgterminationa.htm">
              <w:r>
                <w:rPr>
                  <w:rStyle w:val="InternetLink"/>
                  <w:rFonts w:ascii="Times New Roman;sans-serif" w:hAnsi="Times New Roman;sans-serif"/>
                  <w:b w:val="false"/>
                  <w:color w:val="000080"/>
                  <w:sz w:val="16"/>
                  <w:u w:val="single"/>
                </w:rPr>
                <w:t>rporation</w:t>
              </w:r>
            </w:hyperlink>
            <w:hyperlink w:anchor="exhibit102-esgterminationa.htm">
              <w:r>
                <w:rPr>
                  <w:rStyle w:val="InternetLink"/>
                  <w:rFonts w:ascii="Times New Roman;sans-serif" w:hAnsi="Times New Roman;sans-serif"/>
                  <w:b w:val="false"/>
                  <w:color w:val="000080"/>
                  <w:sz w:val="16"/>
                  <w:u w:val="single"/>
                </w:rPr>
                <w:t xml:space="preserve"> Non-Qualified Deferred Compensation Plan, effective January 1, 2005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6"/>
                  <w:u w:val="single"/>
                </w:rPr>
                <w:t>Equity Distribution Agreement, dated January 10, 2024, among CenterPoint Energy, Inc. and BofA Securities, Inc., Barclays Capital Inc., Citigroup Global Markets Inc., Goldman Sachs &amp; Co. LLC, J.P. Morgan Securities LLC, Mizuho Securities USA LLC, MUFG Securities Americas Inc. and RBC Capital Markets, LLC, as managers, Bank of America, N.A., Barclays Bank PLC, Citibank, N.A., Goldman Sachs &amp; Co. LLC, JPMorgan Chase Bank, National Association, Mizuho Markets Americas LLC, MUFG Securities EMEA plc and Royal Bank of Canada, as forward purchasers, and BofA Securities, Inc., Barclays Capital Inc., Citigroup Global Markets Inc., Goldman Sachs &amp; Co. LLC, J.P. Morgan Securities LLC, Mizuho Securities USA LLC, MUFG Securities Americas Inc. and RBC Capital Markets, LLC, as forward sellers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January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6"/>
                  <w:u w:val="single"/>
                </w:rPr>
                <w:t>Form of Restricted Stock Unit Award Agreement for Officers and Director Employees (with Performance Goals) under CenterPoint Energy, Inc. 2022 Long 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10(cc)(13)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6"/>
                  <w:u w:val="single"/>
                </w:rPr>
                <w:t>Form of Performance Award Agreement for Officers and Director Employees under CenterPoint Energy, Inc. 2022 Long 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10(cc)(14)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6"/>
                  <w:u w:val="single"/>
                </w:rPr>
                <w:t>Form of Restricted Stock Unit Award Agreement under CenterPoint Energy, Inc. 2022 Long 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10(cc)(15)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111x3312024.htm">
              <w:r>
                <w:rPr>
                  <w:rStyle w:val="InternetLink"/>
                  <w:rFonts w:ascii="Times New Roman;sans-serif" w:hAnsi="Times New Roman;sans-serif"/>
                  <w:b w:val="false"/>
                  <w:color w:val="0000FF"/>
                  <w:sz w:val="16"/>
                  <w:u w:val="single"/>
                </w:rPr>
                <w:t>Rule 13a-14(a)/15d-14(a) Certification of Jason P. Wells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112x3312024.htm">
              <w:r>
                <w:rPr>
                  <w:rStyle w:val="InternetLink"/>
                  <w:rFonts w:ascii="Times New Roman;sans-serif" w:hAnsi="Times New Roman;sans-serif"/>
                  <w:b w:val="false"/>
                  <w:color w:val="0000FF"/>
                  <w:sz w:val="16"/>
                  <w:u w:val="single"/>
                </w:rPr>
                <w:t>Rule 13a-14(a)/15d-14(a) Certification of Lynnae K. Wilson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113x3312024.htm">
              <w:r>
                <w:rPr>
                  <w:rStyle w:val="InternetLink"/>
                  <w:rFonts w:ascii="Times New Roman;sans-serif" w:hAnsi="Times New Roman;sans-serif"/>
                  <w:b w:val="false"/>
                  <w:color w:val="0000FF"/>
                  <w:sz w:val="16"/>
                  <w:u w:val="single"/>
                </w:rPr>
                <w:t>Rule 13a-14(a)/15d-14(a) Certification of Darin M Carroll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121x3312024.htm">
              <w:r>
                <w:rPr>
                  <w:rStyle w:val="InternetLink"/>
                  <w:rFonts w:ascii="Times New Roman;sans-serif" w:hAnsi="Times New Roman;sans-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122x3312024.htm">
              <w:r>
                <w:rPr>
                  <w:rStyle w:val="InternetLink"/>
                  <w:rFonts w:ascii="Times New Roman;sans-serif" w:hAnsi="Times New Roman;sans-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123x3312024.htm">
              <w:r>
                <w:rPr>
                  <w:rStyle w:val="InternetLink"/>
                  <w:rFonts w:ascii="Times New Roman;sans-serif" w:hAnsi="Times New Roman;sans-serif"/>
                  <w:b w:val="false"/>
                  <w:color w:val="0000FF"/>
                  <w:sz w:val="16"/>
                  <w:u w:val="single"/>
                </w:rPr>
                <w:t>Rule 13a-14(a)/15d-14(a)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211x3312024.htm">
              <w:r>
                <w:rPr>
                  <w:rStyle w:val="InternetLink"/>
                  <w:rFonts w:ascii="Times New Roman;sans-serif" w:hAnsi="Times New Roman;sans-serif"/>
                  <w:b w:val="false"/>
                  <w:color w:val="0000FF"/>
                  <w:sz w:val="16"/>
                  <w:u w:val="single"/>
                </w:rPr>
                <w:t>Section 1350 Certification of Jason P. Wells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212x3312024.htm">
              <w:r>
                <w:rPr>
                  <w:rStyle w:val="InternetLink"/>
                  <w:rFonts w:ascii="Times New Roman;sans-serif" w:hAnsi="Times New Roman;sans-serif"/>
                  <w:b w:val="false"/>
                  <w:color w:val="0000FF"/>
                  <w:sz w:val="16"/>
                  <w:u w:val="single"/>
                </w:rPr>
                <w:t>Section 1350 Certification of Lynnae K. Wilson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213x3312024.htm">
              <w:r>
                <w:rPr>
                  <w:rStyle w:val="InternetLink"/>
                  <w:rFonts w:ascii="Times New Roman;sans-serif" w:hAnsi="Times New Roman;sans-serif"/>
                  <w:b w:val="false"/>
                  <w:color w:val="0000FF"/>
                  <w:sz w:val="16"/>
                  <w:u w:val="single"/>
                </w:rPr>
                <w:t>Section 1350 Certification of Darin M. Carroll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p_exhibit3221x3312024.htm">
              <w:r>
                <w:rPr>
                  <w:rStyle w:val="InternetLink"/>
                  <w:rFonts w:ascii="Times New Roman;sans-serif" w:hAnsi="Times New Roman;sans-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he_exhibit3222x3312024.htm">
              <w:r>
                <w:rPr>
                  <w:rStyle w:val="InternetLink"/>
                  <w:rFonts w:ascii="Times New Roman;sans-serif" w:hAnsi="Times New Roman;sans-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32.2.3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rc_exhibit3223x3312024.htm">
              <w:r>
                <w:rPr>
                  <w:rStyle w:val="InternetLink"/>
                  <w:rFonts w:ascii="Times New Roman;sans-serif" w:hAnsi="Times New Roman;sans-serif"/>
                  <w:b w:val="false"/>
                  <w:color w:val="0000FF"/>
                  <w:sz w:val="16"/>
                  <w:u w:val="single"/>
                </w:rPr>
                <w:t>Section 1350 Certification of Christopher A.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586"/>
        <w:gridCol w:w="573"/>
        <w:gridCol w:w="575"/>
        <w:gridCol w:w="109"/>
        <w:gridCol w:w="109"/>
        <w:gridCol w:w="109"/>
        <w:gridCol w:w="372"/>
        <w:gridCol w:w="372"/>
        <w:gridCol w:w="373"/>
        <w:gridCol w:w="109"/>
        <w:gridCol w:w="109"/>
        <w:gridCol w:w="109"/>
        <w:gridCol w:w="335"/>
        <w:gridCol w:w="335"/>
        <w:gridCol w:w="336"/>
        <w:gridCol w:w="109"/>
        <w:gridCol w:w="109"/>
        <w:gridCol w:w="109"/>
        <w:gridCol w:w="275"/>
        <w:gridCol w:w="275"/>
        <w:gridCol w:w="276"/>
        <w:gridCol w:w="109"/>
        <w:gridCol w:w="109"/>
        <w:gridCol w:w="109"/>
        <w:gridCol w:w="357"/>
        <w:gridCol w:w="357"/>
        <w:gridCol w:w="358"/>
        <w:gridCol w:w="109"/>
        <w:gridCol w:w="109"/>
        <w:gridCol w:w="109"/>
        <w:gridCol w:w="269"/>
        <w:gridCol w:w="269"/>
        <w:gridCol w:w="270"/>
        <w:gridCol w:w="109"/>
        <w:gridCol w:w="109"/>
        <w:gridCol w:w="109"/>
        <w:gridCol w:w="180"/>
        <w:gridCol w:w="180"/>
        <w:gridCol w:w="262"/>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d809f3a65c1456cabe653223c905996_7">
        <w:r>
          <w:rPr>
            <w:rStyle w:val="InternetLink"/>
            <w:rFonts w:ascii="Times New Roman;sans-serif" w:hAnsi="Times New Roman;sans-serif"/>
            <w:b w:val="false"/>
            <w:i/>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each registrant has duly caused this report to be signed on its behalf by the undersigned thereunto duly authorized.</w:t>
      </w:r>
    </w:p>
    <w:p>
      <w:pPr>
        <w:pStyle w:val="TextBody"/>
        <w:bidi w:val="0"/>
        <w:spacing w:before="0" w:after="0"/>
        <w:jc w:val="left"/>
        <w:rPr/>
      </w:pPr>
      <w:r>
        <w:rPr/>
      </w:r>
    </w:p>
    <w:tbl>
      <w:tblPr>
        <w:tblW w:w="5430" w:type="dxa"/>
        <w:jc w:val="left"/>
        <w:tblInd w:w="0" w:type="dxa"/>
        <w:tblLayout w:type="fixed"/>
        <w:tblCellMar>
          <w:top w:w="28" w:type="dxa"/>
          <w:left w:w="28" w:type="dxa"/>
          <w:bottom w:w="28" w:type="dxa"/>
          <w:right w:w="28" w:type="dxa"/>
        </w:tblCellMar>
      </w:tblPr>
      <w:tblGrid>
        <w:gridCol w:w="151"/>
        <w:gridCol w:w="134"/>
        <w:gridCol w:w="135"/>
        <w:gridCol w:w="1465"/>
        <w:gridCol w:w="1465"/>
        <w:gridCol w:w="208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Kristie L. Colvin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Kristie L. Colvin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Accounting Officer)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2024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CENTERPOINT ENERGY HOUSTON ELECTRIC, LLC </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OFFICER’S CERTIFICATE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February 29, 2024</w:t>
      </w:r>
    </w:p>
    <w:p>
      <w:pPr>
        <w:pStyle w:val="TextBody"/>
        <w:bidi w:val="0"/>
        <w:spacing w:before="0" w:after="0"/>
        <w:jc w:val="center"/>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February 24, 2024,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pStyle w:val="TextBody"/>
        <w:bidi w:val="0"/>
        <w:spacing w:before="0" w:after="0"/>
        <w:ind w:left="0" w:right="0" w:firstLine="144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The terms and conditions of the Securities of the series described in this Officer’s Certificate are as follows (the numbered subdivisions set forth in this Paragraph 1 corresponding to the numbered subdivisions of Section 301 of the Indenture):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Securities of the fortieth series to be issued under the Indenture shall be designated as the “5.15% General Mortgage Bonds, Series AN, due 2034” (the “Bonds”), as set forth in the Thirty-Fifth Supplemental Indenture, dated as of the date hereof, between the Company and the Trustee.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(2)    The Trustee shall authenticate and deliver the Bonds for original issue on February 29, 2024 (the “Issue Date”) in the aggregate principal amount of $400,000,000, upon a Company Order for the authentication and delivery thereof and satisfaction of Section 401 of the Indenture; </w:t>
      </w:r>
      <w:r>
        <w:rPr>
          <w:rFonts w:ascii="Times New Roman;sans-serif" w:hAnsi="Times New Roman;sans-serif"/>
          <w:b w:val="false"/>
          <w:color w:val="000000"/>
          <w:sz w:val="24"/>
          <w:shd w:fill="FFFFFF" w:val="clear"/>
        </w:rPr>
        <w:t>provided, however, that, as contemplated in the second paragraph of Section 301 of the Indenture and the definition of “Tranche” in Section 101 of the Indenture, additional Securities of a series or Tranche may be subsequently issued from time to time, without any consent of Holders of the Securities of such series, pursuant to Section 1401(4) of the Indenture</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Interest on the Bonds shall be payable to the Persons in whose names such Securities are registered at the close of business on the Regular Record Date for such interest (as specified in (5) below), except as otherwise expressly provided in the form of such Securities attached hereto as Exhibit 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The Bonds shall mature and the principal thereof shall be due and payable together with all accrued and unpaid interest thereon on March 1, 2034. </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    The Bonds shall bear interest at the rate of 5.15% per annum. Interest shall accrue on the Bonds from the Issue Date, or the most recent date to which interest has been paid or duly provided for. The Interest Payment Dates for the Bonds shall be March 1 and September 1 in each year commencing September 1, 2024, and the Regular Record Dates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Interest Payment Dates for the Bonds shall be the February 15 and August 15, respectively, immediately preceding each Interest Payment Date (whether or not a Business Day); provided, however, that interest payable at maturity, upon redemption or when principal is otherwise due, will be payable to the Holder to whom principal is payable.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the Bonds.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Prior to December 1, 2033 (the “Par Call Date”), the Company may redeem the Bonds in whole or in part, at any time and from time to time, at a redemption price (expressed as a percentage of principal amount and rounded to three decimal places) equal to the greater of:</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(1)(a) the sum of the present values of the remaining scheduled payments of principal and interest on the Bonds of such series to be redeemed discounted to the Redemption Date (assuming the Bonds to be redeemed matured on the Par Call Date) on a semi-annual basis (assuming a 360-day year consisting of twelve 30-day months) at the Treasury Rate plus 15 basis points; less (b) interest accrued to the Redemption Date; and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(2) 100% of the principal amount of the Bonds to be redeemed;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plus, in each case, accrued and unpaid interest thereon to, but excluding, the Redemption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On or after the Par Call Date, the Company may redeem the Bonds in whole or in part, at any time and from time to time, at a redemption price equal to 100% of the principal amount of Bonds being redeemed plus, in each case, accrued and unpaid interest thereon to, but excluding, the Redemption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Treasury Rate” means, with respect to any Redemption Date, the yield determined by the Company in accordance with the following two paragraphs.</w:t>
      </w:r>
    </w:p>
    <w:p>
      <w:pPr>
        <w:pStyle w:val="TextBody"/>
        <w:bidi w:val="0"/>
        <w:spacing w:before="0" w:after="0"/>
        <w:ind w:left="0" w:right="0" w:firstLine="1440"/>
        <w:jc w:val="both"/>
        <w:rPr/>
      </w:pPr>
      <w:r>
        <w:rPr/>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actions and determinations in determining the redemption price shall be conclusive and binding for all purposes, absent manifest error.</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10 and not more than 60 days prior to the date fixed for redemption. Unless the Company defaults on payment of the redemption price, interest will cease to accrue on the Bonds or portions thereof called for redemption on the Redemption Date. If fewer than all of the Bonds are to be redeemed, not more than 60 days prior to the Redemption Date, the particular Bonds or portions thereof called for redemption will be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selected from the outstanding Bonds not previously called by lot by the Trustee.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pStyle w:val="TextBody"/>
        <w:bidi w:val="0"/>
        <w:spacing w:before="0" w:after="0"/>
        <w:ind w:left="0" w:right="0" w:firstLine="144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Not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The Bonds will be issued in minimum denominations of $2,000 and integral multiples of $1,000 in excess thereof.</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Not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Not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Not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(13) See subsection (7) above.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Not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 Not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(16) Not applicable.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(17)    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Clauses (1), (2), (3) and (4) below shall apply only to Global Securities: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Each Global Security authenticated under the Indenture shall be registered in the name of the Depositary designated for such Global Security or a nominee thereof and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delivered to such Depositary or a nominee thereof or custodian therefor, and each such Global Security shall constitute a single Security for all purposes of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Notwithstanding any other provision in the Indenture, no Global Security may be exchanged in whole or in part for Securities registered, and no transfer of a Global Security 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Depositary, or the Depositary has ceased to be a clearing agency registered under the Exchange Act,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Every Security authenticated and delivered upon registration of transfer of, or in exchange for or in lieu of, a Global Security or any portion thereof, whether pursuant to Sections 304, 305, 306, 507 or 1406 of the Indenture or otherwise, shall be authenticated and delivered in the form of, and shall be, a Global Security, unless such Security is registered in the name of a Person other than the Depositary for such Global Security or a nominee thereof.</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Not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(19) Not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(20) For purposes of the Bonds, “Business Day” shall mean any day, other than Saturday or Sunday, on which commercial banks and foreign exchange markets are open for business, including dealings in deposits in U.S. dollars, in New York, New York.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 Not applicable.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(22) The Bonds shall have such other terms and provisions as are provided in the forms thereof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and shall be issued in substantially such forms.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The undersigned has read all of the covenants and conditions contained in the Indenture, and the definitions in the Indenture relating thereto, relating to the authentication, delivery and issuance of the Bonds and the execution and delivery of the Thirty-Fifth Supplemental Indenture and in respect of compliance with which this certificate is made.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In the opinion of the undersigned, she has made such examination or investigation as is necessary to enable her to express an informed opinion as to whether or not such covenants and conditions have been complied with.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In the opinion of the undersigned, such conditions and covenants have been complied with.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To my knowledge, no Event of Default has occurred and is continuing.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The execution of the Thirty-Fifth Supplemental Indenture, dated as of the date hereof, between the Company and the Trustee, is authorized or permitted by the Indenture.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With respect to Section 402(2)(B) of the Indenture, Property Additions of $6,224,657,049.81 are the basis for authentication and delivery of $400,000,000 aggregate principal amount of the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The First Mortgage Collateralization Date has not occurred.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No certificate of an Independent Accountant pursuant to Section 104 of the Indenture is required in connection with the authentication and delivery of the Bonds because (i) the Net Earnings Certificate covers a period different from that required to be covered by annual reports 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Pursuant to the resolutions adopted by the Sole Manager of the Company by written consent on February 24, 2024, Jacqueline M. Richert, Vice President, Investor Relations &amp; Treasurer, has been named an Authorized Officer, as defined under the Indenture, including for purposes of executing the Net Earnings Certificate.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Officer’s Certificate as of the date first written above.</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/s/ Jacqueline M. Richert </w:t>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Jacqueline M. Richert </w:t>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Vice President, Investor Relations &amp; Treasurer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Acknowledged and Received as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of the date first written above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NATIONAL ASSOCIATION,</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As Trustee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/s/ Michael C. Jenkins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Michael C. Jenkins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EXHIBIT A </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 BOND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CENTERPOINT ENERGY HOUSTON ELECTRIC, LLC </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5.15% General Mortgage Bonds, Series AN, due 2034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09"/>
        <w:gridCol w:w="623"/>
        <w:gridCol w:w="627"/>
        <w:gridCol w:w="2413"/>
        <w:gridCol w:w="2413"/>
        <w:gridCol w:w="3420"/>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Original Interest Accrual Date: February 29, 2024</w:t>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Stated Maturity: March 1, 2034</w:t>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5.15%</w:t>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 Dates: March 1 and September 1</w:t>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Regular Record Dates: February 15 and August 15 immediately preceding the respective Interest Payment Date</w:t>
            </w:r>
          </w:p>
        </w:tc>
        <w:tc>
          <w:tcPr>
            <w:tcW w:w="824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Yes [X] No [ </w:t>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Date: At any time.</w:t>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Price: Prior to December 1, 2033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15 basis points, less (b) interest accrued to the Redemption Date, and (ii) 100% of the principal amount of this Security (or such portion to be redeemed); plus, in each case, accrued and unpaid interest thereon to, but excluding, the Redemption Date; or on or after December 1, 2033, at a redemption price equal to 100% of the principal amount of this Security or the portion thereof to be redeemed plus accrued and unpaid interest thereon to, but excluding, the Redemption Date.</w:t>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This Security is not an Original Issue Discount Security</w:t>
      </w:r>
    </w:p>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meaning of the within-mentioned Indenture. </w:t>
      </w:r>
    </w:p>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before="0" w:after="0"/>
        <w:ind w:left="0" w:right="0" w:firstLine="72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Principal Amount</w:t>
      </w:r>
      <w:r>
        <w:rPr>
          <w:color w:val="000000"/>
        </w:rPr>
        <w:t xml:space="preserve"> </w:t>
      </w:r>
      <w:r>
        <w:rPr>
          <w:rFonts w:ascii="Times New Roman;sans-serif" w:hAnsi="Times New Roman;sans-serif"/>
          <w:b w:val="false"/>
          <w:color w:val="000000"/>
          <w:sz w:val="20"/>
        </w:rPr>
        <w:t>Registered No. T-1</w:t>
      </w:r>
    </w:p>
    <w:p>
      <w:pPr>
        <w:pStyle w:val="TextBody"/>
        <w:bidi w:val="0"/>
        <w:spacing w:lineRule="auto" w:line="268" w:before="0" w:after="0"/>
        <w:jc w:val="both"/>
        <w:rPr/>
      </w:pPr>
      <w:r>
        <w:rPr>
          <w:rFonts w:ascii="Times New Roman;sans-serif" w:hAnsi="Times New Roman;sans-serif"/>
          <w:b w:val="false"/>
          <w:color w:val="000000"/>
          <w:sz w:val="20"/>
        </w:rPr>
        <w:t>$400,000,000*</w:t>
      </w:r>
      <w:r>
        <w:rPr>
          <w:color w:val="000000"/>
        </w:rPr>
        <w:t xml:space="preserve"> </w:t>
      </w:r>
      <w:r>
        <w:rPr>
          <w:rFonts w:ascii="Times New Roman;sans-serif" w:hAnsi="Times New Roman;sans-serif"/>
          <w:b w:val="false"/>
          <w:color w:val="000000"/>
          <w:sz w:val="20"/>
        </w:rPr>
        <w:t>CUSIP 15189X BE7</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HOUSTON ELECTRIC, LLC, a limited liability company duly organized and existing under the laws of the State of Texas (herein called the “Company,” which term includes any successor under the Indenture referred to below), for value received, hereby promises to pay to </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***CEDE &amp; Co.***</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*Reference is made to Schedule A attached hereto with respect to decreases and increases in the aggregate principal amount of Securities evidenced hereby.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both"/>
        <w:rPr/>
      </w:pPr>
      <w:r>
        <w:rPr>
          <w:rFonts w:ascii="Times New Roman;sans-serif" w:hAnsi="Times New Roman;sans-serif"/>
          <w:b w:val="false"/>
          <w:color w:val="000000"/>
          <w:sz w:val="20"/>
        </w:rPr>
        <w:t xml:space="preserve">, or its registered assigns, the principal sum of FOUR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w:t>
      </w:r>
      <w:r>
        <w:rPr>
          <w:rFonts w:ascii="Times New Roman;sans-serif" w:hAnsi="Times New Roman;sans-serif"/>
          <w:b w:val="false"/>
          <w:color w:val="000000"/>
          <w:sz w:val="24"/>
        </w:rPr>
        <w:t>September 1, 202</w:t>
      </w:r>
      <w:r>
        <w:rPr>
          <w:rFonts w:ascii="Times New Roman;sans-serif" w:hAnsi="Times New Roman;sans-serif"/>
          <w:b w:val="false"/>
          <w:color w:val="000000"/>
          <w:sz w:val="20"/>
        </w:rPr>
        <w:t>4, and at Maturity, at the Interest Rate per annum specified above, until the principal hereof is paid or duly provided for.</w:t>
      </w:r>
      <w:r>
        <w:rPr>
          <w:color w:val="000000"/>
        </w:rPr>
        <w:t xml:space="preserve"> </w:t>
      </w:r>
      <w:r>
        <w:rPr>
          <w:rFonts w:ascii="Times New Roman;sans-serif" w:hAnsi="Times New Roman;sans-serif"/>
          <w:b w:val="false"/>
          <w:color w:val="000000"/>
          <w:sz w:val="20"/>
        </w:rPr>
        <w:t>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w:t>
      </w:r>
      <w:r>
        <w:rPr>
          <w:color w:val="000000"/>
        </w:rPr>
        <w:t xml:space="preserve"> </w:t>
      </w:r>
      <w:r>
        <w:rPr>
          <w:rFonts w:ascii="Times New Roman;sans-serif" w:hAnsi="Times New Roman;sans-serif"/>
          <w:b w:val="false"/>
          <w:color w:val="000000"/>
          <w:sz w:val="20"/>
        </w:rPr>
        <w:t>Notwithstanding the foregoing, interest payable at Maturity shall be paid to the Person to whom principal shall be paid.</w:t>
      </w:r>
      <w:r>
        <w:rPr>
          <w:color w:val="000000"/>
        </w:rPr>
        <w:t xml:space="preserve"> </w:t>
      </w:r>
      <w:r>
        <w:rPr>
          <w:rFonts w:ascii="Times New Roman;sans-serif" w:hAnsi="Times New Roman;sans-serif"/>
          <w:b w:val="false"/>
          <w:color w:val="000000"/>
          <w:sz w:val="20"/>
        </w:rPr>
        <w:t>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w:t>
      </w:r>
      <w:r>
        <w:rPr>
          <w:color w:val="000000"/>
        </w:rPr>
        <w:t xml:space="preserve"> </w:t>
      </w:r>
      <w:r>
        <w:rPr>
          <w:rFonts w:ascii="Times New Roman;sans-serif" w:hAnsi="Times New Roman;sans-serif"/>
          <w:b w:val="false"/>
          <w:color w:val="000000"/>
          <w:sz w:val="20"/>
        </w:rPr>
        <w:t>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w:t>
      </w:r>
      <w:r>
        <w:rPr>
          <w:color w:val="000000"/>
        </w:rPr>
        <w:t xml:space="preserve"> </w:t>
      </w:r>
      <w:r>
        <w:rPr>
          <w:rFonts w:ascii="Times New Roman;sans-serif" w:hAnsi="Times New Roman;sans-serif"/>
          <w:b w:val="false"/>
          <w:color w:val="000000"/>
          <w:sz w:val="20"/>
        </w:rPr>
        <w:t>The acceptance of this Security shall be deemed to constitute the consent and agreement by the Holder hereof to all of the terms and provisions of the Indenture.</w:t>
      </w:r>
      <w:r>
        <w:rPr>
          <w:color w:val="000000"/>
        </w:rPr>
        <w:t xml:space="preserve"> </w:t>
      </w:r>
      <w:r>
        <w:rPr>
          <w:rFonts w:ascii="Times New Roman;sans-serif" w:hAnsi="Times New Roman;sans-serif"/>
          <w:b w:val="false"/>
          <w:color w:val="000000"/>
          <w:sz w:val="20"/>
        </w:rPr>
        <w:t>This Security is one of the series designated above.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w:t>
      </w:r>
      <w:r>
        <w:rPr>
          <w:color w:val="000000"/>
        </w:rPr>
        <w:t xml:space="preserve"> </w:t>
      </w:r>
      <w:r>
        <w:rPr>
          <w:rFonts w:ascii="Times New Roman;sans-serif" w:hAnsi="Times New Roman;sans-serif"/>
          <w:b w:val="false"/>
          <w:color w:val="000000"/>
          <w:sz w:val="20"/>
        </w:rPr>
        <w:t>Interest will be computed on the basis of a 360-day year of twelve 30-day months.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Prior to </w:t>
      </w:r>
      <w:r>
        <w:rPr>
          <w:rFonts w:ascii="Times New Roman;sans-serif" w:hAnsi="Times New Roman;sans-serif"/>
          <w:b w:val="false"/>
          <w:color w:val="000000"/>
          <w:sz w:val="24"/>
        </w:rPr>
        <w:t xml:space="preserve">December 1, 2033 </w:t>
      </w:r>
      <w:r>
        <w:rPr>
          <w:rFonts w:ascii="Times New Roman;sans-serif" w:hAnsi="Times New Roman;sans-serif"/>
          <w:b w:val="false"/>
          <w:color w:val="000000"/>
          <w:sz w:val="20"/>
        </w:rPr>
        <w:t>(the “Par Call Date”), the Company may redeem this Security, in whole or in part, at any time and from time to time, at a redemption price (expressed as a percentage of principal amount and rounded to three decimal places) equal to the greater of:</w:t>
      </w:r>
    </w:p>
    <w:p>
      <w:pPr>
        <w:pStyle w:val="TextBody"/>
        <w:bidi w:val="0"/>
        <w:spacing w:before="0" w:after="0"/>
        <w:jc w:val="both"/>
        <w:rPr/>
      </w:pPr>
      <w:r>
        <w:rPr/>
      </w:r>
    </w:p>
    <w:p>
      <w:pPr>
        <w:pStyle w:val="TextBody"/>
        <w:bidi w:val="0"/>
        <w:spacing w:lineRule="auto" w:line="268"/>
        <w:ind w:left="0" w:right="0" w:hanging="360"/>
        <w:jc w:val="both"/>
        <w:rPr/>
      </w:pPr>
      <w:r>
        <w:rPr>
          <w:color w:val="000000"/>
        </w:rPr>
        <w:t>•</w:t>
      </w:r>
      <w:r>
        <w:rPr>
          <w:rFonts w:ascii="Times New Roman;sans-serif" w:hAnsi="Times New Roman;sans-serif"/>
          <w:b w:val="false"/>
          <w:color w:val="000000"/>
          <w:sz w:val="20"/>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15 basis points; less (b) interest accrued to the Redemption Date; and</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(2) 100% of the principal amount of this Security (or such portion to be redeemed);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plus, in each case, accrued and unpaid interest thereon to, but excluding, the Redemption Date.</w:t>
      </w:r>
      <w:r>
        <w:rPr>
          <w:color w:val="000000"/>
        </w:rPr>
        <w:t xml:space="preserve"> </w:t>
      </w:r>
    </w:p>
    <w:p>
      <w:pPr>
        <w:pStyle w:val="TextBody"/>
        <w:bidi w:val="0"/>
        <w:spacing w:lineRule="auto" w:line="268" w:before="0" w:after="0"/>
        <w:jc w:val="both"/>
        <w:rPr/>
      </w:pPr>
      <w:r>
        <w:rPr>
          <w:rFonts w:ascii="Times New Roman;sans-serif" w:hAnsi="Times New Roman;sans-serif"/>
          <w:b w:val="false"/>
          <w:color w:val="000000"/>
          <w:sz w:val="20"/>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w:t>
      </w:r>
      <w:r>
        <w:rPr>
          <w:color w:val="000000"/>
        </w:rPr>
        <w:t xml:space="preserve"> </w:t>
      </w:r>
      <w:r>
        <w:rPr>
          <w:rFonts w:ascii="Times New Roman;sans-serif" w:hAnsi="Times New Roman;sans-serif"/>
          <w:b w:val="false"/>
          <w:color w:val="000000"/>
          <w:sz w:val="20"/>
        </w:rPr>
        <w:t>The Trustee shall have no responsibility for the calculation of such amount.</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Treasury Rate” means, with respect to any Redemption Date, the yield determined by the Company in accordance with the following two paragraphs.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w:t>
      </w:r>
      <w:r>
        <w:rPr>
          <w:color w:val="000000"/>
        </w:rPr>
        <w:t xml:space="preserve"> </w:t>
      </w:r>
      <w:r>
        <w:rPr>
          <w:rFonts w:ascii="Times New Roman;sans-serif" w:hAnsi="Times New Roman;sans-serif"/>
          <w:b w:val="false"/>
          <w:color w:val="000000"/>
          <w:sz w:val="20"/>
        </w:rPr>
        <w:t>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r>
        <w:rPr>
          <w:color w:val="000000"/>
        </w:rPr>
        <w:t xml:space="preserve"> </w:t>
      </w:r>
      <w:r>
        <w:rPr>
          <w:rFonts w:ascii="Times New Roman;sans-serif" w:hAnsi="Times New Roman;sans-serif"/>
          <w:b w:val="false"/>
          <w:color w:val="000000"/>
          <w:sz w:val="20"/>
        </w:rPr>
        <w:t>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actions and determinations in determining the redemption price shall be conclusive and binding for all purposes, absent manifest error.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both"/>
        <w:rPr/>
      </w:pPr>
      <w:r>
        <w:rPr>
          <w:rFonts w:ascii="Times New Roman;sans-serif" w:hAnsi="Times New Roman;sans-serif"/>
          <w:b w:val="false"/>
          <w:color w:val="000000"/>
          <w:sz w:val="20"/>
        </w:rPr>
        <w:t>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lot by the Trustee.</w:t>
      </w:r>
      <w:r>
        <w:rPr>
          <w:color w:val="000000"/>
        </w:rPr>
        <w:t xml:space="preserve"> </w:t>
      </w:r>
      <w:r>
        <w:rPr>
          <w:rFonts w:ascii="Times New Roman;sans-serif" w:hAnsi="Times New Roman;sans-serif"/>
          <w:b w:val="false"/>
          <w:color w:val="000000"/>
          <w:sz w:val="20"/>
        </w:rPr>
        <w:t>The Trustee may select for redemption Securities of this series and portions of Securities of this series in amounts of $2,000 or whole multiples of $1,000.</w:t>
      </w:r>
      <w:r>
        <w:rPr>
          <w:color w:val="000000"/>
        </w:rPr>
        <w:t xml:space="preserve"> </w:t>
      </w:r>
      <w:r>
        <w:rPr>
          <w:rFonts w:ascii="Times New Roman;sans-serif" w:hAnsi="Times New Roman;sans-serif"/>
          <w:b w:val="false"/>
          <w:color w:val="000000"/>
          <w:sz w:val="20"/>
        </w:rPr>
        <w:t>In the case of a partial redemption of Securities registered in the name of Cede &amp; Co, the Securities to be redeemed will be determined in accordance with the procedures of The Depository Trust Company.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Times New Roman;sans-serif" w:hAnsi="Times New Roman;sans-serif"/>
          <w:b w:val="false"/>
          <w:i/>
          <w:color w:val="000000"/>
          <w:sz w:val="24"/>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0"/>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Times New Roman;sans-serif" w:hAnsi="Times New Roman;sans-serif"/>
          <w:b w:val="false"/>
          <w:i/>
          <w:color w:val="000000"/>
          <w:sz w:val="24"/>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0"/>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Times New Roman;sans-serif" w:hAnsi="Times New Roman;sans-serif"/>
          <w:b w:val="false"/>
          <w:i/>
          <w:color w:val="000000"/>
          <w:sz w:val="24"/>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0"/>
        </w:rPr>
        <w:t>, that the Indenture permits the Trustee to enter into one or more supplemental indentures for limited purposes without the consent of any Holders of Securities.</w:t>
      </w:r>
      <w:r>
        <w:rPr>
          <w:color w:val="000000"/>
        </w:rPr>
        <w:t xml:space="preserve"> </w:t>
      </w:r>
      <w:r>
        <w:rPr>
          <w:rFonts w:ascii="Times New Roman;sans-serif" w:hAnsi="Times New Roman;sans-serif"/>
          <w:b w:val="false"/>
          <w:color w:val="000000"/>
          <w:sz w:val="20"/>
        </w:rPr>
        <w:t>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w:t>
      </w:r>
      <w:r>
        <w:rPr>
          <w:color w:val="000000"/>
        </w:rPr>
        <w:t xml:space="preserve"> </w:t>
      </w:r>
      <w:r>
        <w:rPr>
          <w:rFonts w:ascii="Times New Roman;sans-serif" w:hAnsi="Times New Roman;sans-serif"/>
          <w:b w:val="false"/>
          <w:color w:val="000000"/>
          <w:sz w:val="20"/>
        </w:rPr>
        <w:t>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are not entitled to the benefit of any sinking fund.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As used herein, “Business Day” shall mean any day, other than Saturday or Sunday, on which commercial banks and foreign exchange markets are open for business, including dealings in deposits in U.S. dollars, in New York, New York.</w:t>
      </w:r>
      <w:r>
        <w:rPr>
          <w:color w:val="000000"/>
        </w:rPr>
        <w:t xml:space="preserve"> </w:t>
      </w:r>
      <w:r>
        <w:rPr>
          <w:rFonts w:ascii="Times New Roman;sans-serif" w:hAnsi="Times New Roman;sans-serif"/>
          <w:b w:val="false"/>
          <w:color w:val="000000"/>
          <w:sz w:val="20"/>
        </w:rPr>
        <w:t>All other terms used in this Security which are defined in the Indenture shall have the meanings assigned to them in the Indenture.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remainder of this page is intentionally left blank.]</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before="0" w:after="0"/>
        <w:jc w:val="left"/>
        <w:rPr/>
      </w:pPr>
      <w:r>
        <w:rPr/>
      </w:r>
    </w:p>
    <w:p>
      <w:pPr>
        <w:pStyle w:val="TextBody"/>
        <w:bidi w:val="0"/>
        <w:spacing w:lineRule="auto" w:line="268" w:before="0" w:after="0"/>
        <w:ind w:left="0" w:right="0" w:firstLine="741"/>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has caused this instrument to be duly executed.</w:t>
      </w:r>
    </w:p>
    <w:p>
      <w:pPr>
        <w:pStyle w:val="TextBody"/>
        <w:bidi w:val="0"/>
        <w:spacing w:before="0" w:after="0"/>
        <w:ind w:left="0" w:right="0" w:firstLine="741"/>
        <w:jc w:val="both"/>
        <w:rPr/>
      </w:pPr>
      <w:r>
        <w:rPr/>
      </w:r>
    </w:p>
    <w:tbl>
      <w:tblPr>
        <w:tblW w:w="10205" w:type="dxa"/>
        <w:jc w:val="left"/>
        <w:tblInd w:w="0" w:type="dxa"/>
        <w:tblLayout w:type="fixed"/>
        <w:tblCellMar>
          <w:top w:w="28" w:type="dxa"/>
          <w:left w:w="28" w:type="dxa"/>
          <w:bottom w:w="28" w:type="dxa"/>
          <w:right w:w="28" w:type="dxa"/>
        </w:tblCellMar>
      </w:tblPr>
      <w:tblGrid>
        <w:gridCol w:w="1908"/>
        <w:gridCol w:w="1678"/>
        <w:gridCol w:w="1690"/>
        <w:gridCol w:w="1441"/>
        <w:gridCol w:w="1441"/>
        <w:gridCol w:w="2047"/>
      </w:tblGrid>
      <w:tr>
        <w:trPr/>
        <w:tc>
          <w:tcPr>
            <w:tcW w:w="190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5276"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Attest: ____________________________ Vincent A. Mercaldi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c>
          <w:tcPr>
            <w:tcW w:w="492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 HOUSTON ELECTRIC, LLC</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Kristie L. Colvin</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p>
            <w:pPr>
              <w:pStyle w:val="TableContents"/>
              <w:bidi w:val="0"/>
              <w:spacing w:before="0" w:after="0"/>
              <w:jc w:val="left"/>
              <w:rPr/>
            </w:pPr>
            <w:r>
              <w:rPr/>
            </w:r>
          </w:p>
        </w:tc>
      </w:tr>
    </w:tbl>
    <w:p>
      <w:pPr>
        <w:pStyle w:val="TextBody"/>
        <w:bidi w:val="0"/>
        <w:spacing w:lineRule="auto" w:line="268" w:before="0" w:after="0"/>
        <w:ind w:left="0" w:right="0" w:firstLine="741"/>
        <w:jc w:val="both"/>
        <w:rPr>
          <w:rFonts w:ascii="Times New Roman;sans-serif" w:hAnsi="Times New Roman;sans-serif"/>
          <w:b w:val="false"/>
          <w:color w:val="000000"/>
          <w:sz w:val="20"/>
        </w:rPr>
      </w:pPr>
      <w:r>
        <w:rPr>
          <w:rFonts w:ascii="Times New Roman;sans-serif" w:hAnsi="Times New Roman;sans-serif"/>
          <w:b w:val="false"/>
          <w:color w:val="000000"/>
          <w:sz w:val="20"/>
        </w:rPr>
        <w:t>(SEAL)</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AUTHENTICATION</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is one of the Securities of the series designated therein referred to in the within-mentioned Indenture.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of Authentication: February 29, 2024</w:t>
      </w:r>
    </w:p>
    <w:p>
      <w:pPr>
        <w:pStyle w:val="TextBody"/>
        <w:bidi w:val="0"/>
        <w:spacing w:lineRule="auto" w:line="268" w:before="0" w:after="0"/>
        <w:ind w:left="0" w:right="0" w:firstLine="4320"/>
        <w:jc w:val="right"/>
        <w:rPr/>
      </w:pPr>
      <w:r>
        <w:rPr>
          <w:rFonts w:ascii="Times New Roman;sans-serif" w:hAnsi="Times New Roman;sans-serif"/>
          <w:b/>
          <w:color w:val="000000"/>
          <w:sz w:val="20"/>
        </w:rPr>
        <w:t>THE BANK OF NEW YORK MELLON TRUST         COMPANY, NATIONAL ASSOCIATION</w:t>
      </w:r>
      <w:r>
        <w:rPr>
          <w:rFonts w:ascii="Times New Roman;sans-serif" w:hAnsi="Times New Roman;sans-serif"/>
          <w:b w:val="false"/>
          <w:color w:val="000000"/>
          <w:sz w:val="20"/>
        </w:rPr>
        <w:t>, as Trustee</w:t>
      </w:r>
    </w:p>
    <w:p>
      <w:pPr>
        <w:pStyle w:val="TextBody"/>
        <w:bidi w:val="0"/>
        <w:spacing w:before="0" w:after="0"/>
        <w:jc w:val="left"/>
        <w:rPr/>
      </w:pPr>
      <w:r>
        <w:rPr/>
      </w:r>
    </w:p>
    <w:p>
      <w:pPr>
        <w:pStyle w:val="TextBody"/>
        <w:bidi w:val="0"/>
        <w:spacing w:lineRule="auto" w:line="268" w:before="0" w:after="0"/>
        <w:ind w:left="0" w:right="0" w:firstLine="43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4.6</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initial aggregate principal amount of Securities evidenced by the Certificate to which this Schedule is attached is $400,000,000.</w:t>
      </w:r>
      <w:r>
        <w:rPr>
          <w:color w:val="000000"/>
        </w:rPr>
        <w:t xml:space="preserve"> </w:t>
      </w:r>
      <w:r>
        <w:rPr>
          <w:rFonts w:ascii="Times New Roman;sans-serif" w:hAnsi="Times New Roman;sans-serif"/>
          <w:b w:val="false"/>
          <w:color w:val="000000"/>
          <w:sz w:val="20"/>
        </w:rPr>
        <w:t xml:space="preserve">The notations on the following table evidence decreases and increases in the aggregate principal amount of Securities evidenced by such Certificate. </w:t>
      </w:r>
    </w:p>
    <w:tbl>
      <w:tblPr>
        <w:tblW w:w="9090" w:type="dxa"/>
        <w:jc w:val="left"/>
        <w:tblInd w:w="0" w:type="dxa"/>
        <w:tblLayout w:type="fixed"/>
        <w:tblCellMar>
          <w:top w:w="28" w:type="dxa"/>
          <w:left w:w="28" w:type="dxa"/>
          <w:bottom w:w="28" w:type="dxa"/>
          <w:right w:w="28" w:type="dxa"/>
        </w:tblCellMar>
      </w:tblPr>
      <w:tblGrid>
        <w:gridCol w:w="384"/>
        <w:gridCol w:w="339"/>
        <w:gridCol w:w="343"/>
        <w:gridCol w:w="109"/>
        <w:gridCol w:w="109"/>
        <w:gridCol w:w="109"/>
        <w:gridCol w:w="639"/>
        <w:gridCol w:w="639"/>
        <w:gridCol w:w="641"/>
        <w:gridCol w:w="109"/>
        <w:gridCol w:w="109"/>
        <w:gridCol w:w="109"/>
        <w:gridCol w:w="619"/>
        <w:gridCol w:w="619"/>
        <w:gridCol w:w="621"/>
        <w:gridCol w:w="109"/>
        <w:gridCol w:w="109"/>
        <w:gridCol w:w="109"/>
        <w:gridCol w:w="604"/>
        <w:gridCol w:w="604"/>
        <w:gridCol w:w="606"/>
        <w:gridCol w:w="109"/>
        <w:gridCol w:w="109"/>
        <w:gridCol w:w="109"/>
        <w:gridCol w:w="329"/>
        <w:gridCol w:w="329"/>
        <w:gridCol w:w="466"/>
      </w:tblGrid>
      <w:tr>
        <w:trPr/>
        <w:tc>
          <w:tcPr>
            <w:tcW w:w="3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Decrease in 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Increase in 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Notation by</w:t>
            </w:r>
          </w:p>
        </w:tc>
      </w:tr>
      <w:tr>
        <w:trPr/>
        <w:tc>
          <w:tcPr>
            <w:tcW w:w="10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Such Decrease 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Security</w:t>
            </w:r>
          </w:p>
        </w:tc>
      </w:tr>
      <w:tr>
        <w:trPr/>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CENTERPOINT ENERGY, INC</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PLAN</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Amended and Restated Effective May 1, 2017)</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Third Amendment</w:t>
      </w:r>
    </w:p>
    <w:p>
      <w:pPr>
        <w:pStyle w:val="TextBody"/>
        <w:bidi w:val="0"/>
        <w:spacing w:before="0" w:after="0"/>
        <w:jc w:val="center"/>
        <w:rPr/>
      </w:pPr>
      <w:r>
        <w:rPr/>
      </w:r>
    </w:p>
    <w:p>
      <w:pPr>
        <w:pStyle w:val="TextBody"/>
        <w:bidi w:val="0"/>
        <w:spacing w:lineRule="auto" w:line="36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CenterPoint Energy, Inc., a Texas corporation, having established the CenterPoint Energy, Inc. Change in Control Plan, as amended and restated effective May 1, 2017, (the “Plan”), and having reserved the right under Section 7.06 thereof to amend the Plan, does hereby amend the Plan as follows, effective as of the date set forth below:</w:t>
      </w:r>
    </w:p>
    <w:p>
      <w:pPr>
        <w:pStyle w:val="TextBody"/>
        <w:bidi w:val="0"/>
        <w:spacing w:before="0" w:after="0"/>
        <w:ind w:left="0" w:right="0" w:firstLine="1440"/>
        <w:jc w:val="both"/>
        <w:rPr/>
      </w:pPr>
      <w:r>
        <w:rPr/>
      </w:r>
    </w:p>
    <w:p>
      <w:pPr>
        <w:pStyle w:val="TextBody"/>
        <w:bidi w:val="0"/>
        <w:spacing w:lineRule="auto" w:line="360"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 xml:space="preserve">The following new paragraph (d) shall be added to Section 5.03 of the Plan: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i/>
          <w:color w:val="000000"/>
          <w:sz w:val="24"/>
        </w:rPr>
        <w:t>Minnesota Participants</w:t>
      </w:r>
      <w:r>
        <w:rPr>
          <w:rFonts w:ascii="Times New Roman;sans-serif" w:hAnsi="Times New Roman;sans-serif"/>
          <w:b w:val="false"/>
          <w:color w:val="000000"/>
          <w:sz w:val="24"/>
        </w:rPr>
        <w:t>. If the Participant primarily resides and works for the Company in Minnesota when last employed with the Company or any of its affiliates, the post-employment non-competition covenant set forth in Section 5.03(b) above shall not apply to the Participant.</w:t>
      </w:r>
    </w:p>
    <w:p>
      <w:pPr>
        <w:pStyle w:val="TextBody"/>
        <w:bidi w:val="0"/>
        <w:spacing w:before="0" w:after="0"/>
        <w:ind w:left="0" w:right="0" w:firstLine="720"/>
        <w:jc w:val="both"/>
        <w:rPr/>
      </w:pPr>
      <w:r>
        <w:rPr/>
      </w:r>
    </w:p>
    <w:p>
      <w:pPr>
        <w:pStyle w:val="TextBody"/>
        <w:bidi w:val="0"/>
        <w:spacing w:lineRule="auto" w:line="360" w:before="0" w:after="0"/>
        <w:ind w:left="0" w:right="0" w:hanging="360"/>
        <w:jc w:val="both"/>
        <w:rPr/>
      </w:pPr>
      <w:r>
        <w:rPr>
          <w:rFonts w:ascii="Arial;sans-serif" w:hAnsi="Arial;sans-serif"/>
          <w:b w:val="false"/>
          <w:color w:val="000000"/>
          <w:sz w:val="24"/>
        </w:rPr>
        <w:t>2.</w:t>
      </w:r>
      <w:r>
        <w:rPr>
          <w:rFonts w:ascii="Times New Roman;sans-serif" w:hAnsi="Times New Roman;sans-serif"/>
          <w:b w:val="false"/>
          <w:color w:val="000000"/>
          <w:sz w:val="24"/>
        </w:rPr>
        <w:t xml:space="preserve">The following new paragraph shall be added to end of Section 5.01 of the Plan: </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notice that under the federal Defend Trade Secrets Act (DTSA) no individual may be held criminally or civilly liable under federal or state trade secret law for a trade secret disclosure that complies with 18 U.S.C. §1833(b) such as a disclosure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adjudicatory proceeding, if such filing is made under seal. Also, under the DTSA, an individual pursuing a legal claim for retaliation by an employer for reporting a suspected violation of the law may disclose a trade secret to his/her attorney and use it in information in the court or adjudicatory proceeding if the individual files any document containing the trade secret under seal and does not disclose the trade secret except to an order of the court or adjudicator.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blank. 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CenterPoint Energy, Inc. has caused these presents to be executed by its duly authorized officer in a number of copies, all of which shall constitute one and the same instrument, which may be sufficiently evidenced by any executed copy hereof, on this 22nd day of February, 2024, and effective as of such date.</w:t>
      </w:r>
    </w:p>
    <w:p>
      <w:pPr>
        <w:pStyle w:val="TextBody"/>
        <w:bidi w:val="0"/>
        <w:spacing w:before="0" w:after="0"/>
        <w:jc w:val="left"/>
        <w:rPr/>
      </w:pPr>
      <w:r>
        <w:rPr/>
      </w:r>
    </w:p>
    <w:p>
      <w:pPr>
        <w:pStyle w:val="TextBody"/>
        <w:bidi w:val="0"/>
        <w:spacing w:lineRule="auto" w:line="240" w:before="0" w:after="0"/>
        <w:ind w:left="0" w:right="0" w:firstLine="4680"/>
        <w:jc w:val="both"/>
        <w:rPr>
          <w:rFonts w:ascii="Times New Roman;sans-serif" w:hAnsi="Times New Roman;sans-serif"/>
          <w:b/>
          <w:color w:val="000000"/>
          <w:sz w:val="24"/>
        </w:rPr>
      </w:pPr>
      <w:r>
        <w:rPr>
          <w:rFonts w:ascii="Times New Roman;sans-serif" w:hAnsi="Times New Roman;sans-serif"/>
          <w:b/>
          <w:color w:val="000000"/>
          <w:sz w:val="24"/>
        </w:rPr>
        <w:t>CENTERPOINT ENERGY,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468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Jason Wells </w:t>
      </w:r>
    </w:p>
    <w:p>
      <w:pPr>
        <w:pStyle w:val="TextBody"/>
        <w:bidi w:val="0"/>
        <w:spacing w:lineRule="auto" w:line="240" w:before="0" w:after="0"/>
        <w:ind w:left="0" w:right="0" w:firstLine="4950"/>
        <w:jc w:val="both"/>
        <w:rPr>
          <w:rFonts w:ascii="Times New Roman;sans-serif" w:hAnsi="Times New Roman;sans-serif"/>
          <w:b w:val="false"/>
          <w:color w:val="000000"/>
          <w:sz w:val="24"/>
        </w:rPr>
      </w:pPr>
      <w:r>
        <w:rPr>
          <w:rFonts w:ascii="Times New Roman;sans-serif" w:hAnsi="Times New Roman;sans-serif"/>
          <w:b w:val="false"/>
          <w:color w:val="000000"/>
          <w:sz w:val="24"/>
        </w:rPr>
        <w:t>Jason Wells</w:t>
      </w:r>
    </w:p>
    <w:p>
      <w:pPr>
        <w:pStyle w:val="TextBody"/>
        <w:bidi w:val="0"/>
        <w:spacing w:lineRule="auto" w:line="240" w:before="0" w:after="0"/>
        <w:ind w:left="0" w:right="0" w:firstLine="4950"/>
        <w:jc w:val="both"/>
        <w:rPr>
          <w:rFonts w:ascii="Times New Roman;sans-serif" w:hAnsi="Times New Roman;sans-serif"/>
          <w:b w:val="false"/>
          <w:color w:val="000000"/>
          <w:sz w:val="24"/>
        </w:rPr>
      </w:pPr>
      <w:r>
        <w:rPr>
          <w:rFonts w:ascii="Times New Roman;sans-serif" w:hAnsi="Times New Roman;sans-serif"/>
          <w:b w:val="false"/>
          <w:color w:val="000000"/>
          <w:sz w:val="24"/>
        </w:rPr>
        <w:t>President and Chief Executive Officer</w:t>
      </w:r>
    </w:p>
    <w:p>
      <w:pPr>
        <w:pStyle w:val="TextBody"/>
        <w:bidi w:val="0"/>
        <w:spacing w:lineRule="auto" w:line="240" w:before="0" w:after="0"/>
        <w:jc w:val="both"/>
        <w:rPr/>
      </w:pPr>
      <w:r>
        <w:rPr>
          <w:rFonts w:ascii="Times New Roman;sans-serif" w:hAnsi="Times New Roman;sans-serif"/>
          <w:b/>
          <w:color w:val="000000"/>
          <w:sz w:val="24"/>
        </w:rPr>
        <w:t>ATTEST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/s/Vincent A. Mercaldi</w:t>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Vincent A. Mercaldi</w:t>
      </w:r>
    </w:p>
    <w:p>
      <w:pPr>
        <w:pStyle w:val="TextBody"/>
        <w:bidi w:val="0"/>
        <w:spacing w:lineRule="auto" w:line="240"/>
        <w:jc w:val="both"/>
        <w:rPr>
          <w:rFonts w:ascii="Times New Roman;sans-serif" w:hAnsi="Times New Roman;sans-serif"/>
          <w:b w:val="false"/>
          <w:color w:val="000000"/>
          <w:sz w:val="23"/>
        </w:rPr>
      </w:pPr>
      <w:r>
        <w:rPr>
          <w:rFonts w:ascii="Times New Roman;sans-serif" w:hAnsi="Times New Roman;sans-serif"/>
          <w:b w:val="false"/>
          <w:color w:val="000000"/>
          <w:sz w:val="23"/>
        </w:rPr>
        <w:t>Assistant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Times New Roman;sans-serif" w:hAnsi="Times New Roman;sans-serif"/>
          <w:b/>
          <w:color w:val="000000"/>
          <w:sz w:val="22"/>
        </w:rPr>
      </w:pPr>
      <w:r>
        <w:rPr>
          <w:rFonts w:ascii="Times New Roman;sans-serif" w:hAnsi="Times New Roman;sans-serif"/>
          <w:b/>
          <w:color w:val="000000"/>
          <w:sz w:val="22"/>
        </w:rPr>
        <w:t>Exhibit 10.2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3"/>
        </w:rPr>
      </w:pPr>
      <w:r>
        <w:rPr>
          <w:rFonts w:ascii="Times New Roman;sans-serif" w:hAnsi="Times New Roman;sans-serif"/>
          <w:b/>
          <w:color w:val="000000"/>
          <w:sz w:val="23"/>
        </w:rPr>
        <w:t>VECTREN CORPORATION NONQUALIFED DEFERRED COMPENSATION PLAN</w:t>
      </w:r>
    </w:p>
    <w:p>
      <w:pPr>
        <w:pStyle w:val="TextBody"/>
        <w:bidi w:val="0"/>
        <w:spacing w:lineRule="auto" w:line="319"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(Effective January 1, 2005)</w:t>
      </w:r>
    </w:p>
    <w:p>
      <w:pPr>
        <w:pStyle w:val="TextBody"/>
        <w:bidi w:val="0"/>
        <w:spacing w:before="0" w:after="0"/>
        <w:jc w:val="center"/>
        <w:rPr/>
      </w:pPr>
      <w:r>
        <w:rPr/>
      </w:r>
    </w:p>
    <w:p>
      <w:pPr>
        <w:pStyle w:val="TextBody"/>
        <w:bidi w:val="0"/>
        <w:spacing w:lineRule="auto" w:line="556" w:before="0" w:after="0"/>
        <w:jc w:val="center"/>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Partial Termination Amendment for ESG Participants</w:t>
      </w:r>
    </w:p>
    <w:p>
      <w:pPr>
        <w:pStyle w:val="TextBody"/>
        <w:bidi w:val="0"/>
        <w:spacing w:lineRule="auto" w:line="556" w:before="0" w:after="0"/>
        <w:ind w:left="0" w:right="0" w:firstLine="720"/>
        <w:jc w:val="both"/>
        <w:rPr/>
      </w:pPr>
      <w:r>
        <w:rPr>
          <w:rFonts w:ascii="Times New Roman;sans-serif" w:hAnsi="Times New Roman;sans-serif"/>
          <w:b/>
          <w:color w:val="000000"/>
          <w:sz w:val="23"/>
        </w:rPr>
        <w:t>WHEREAS,</w:t>
      </w:r>
      <w:r>
        <w:rPr>
          <w:color w:val="000000"/>
        </w:rPr>
        <w:t xml:space="preserve"> </w:t>
      </w:r>
      <w:r>
        <w:rPr>
          <w:rFonts w:ascii="Times New Roman;sans-serif" w:hAnsi="Times New Roman;sans-serif"/>
          <w:b w:val="false"/>
          <w:color w:val="000000"/>
          <w:sz w:val="23"/>
        </w:rPr>
        <w:t>Vectren, LLC, an Indiana limited liability company (the “Company”), is a wholly owned subsidiary of CenterPoint Energy, Inc. (“CNP”) and maintains the Vectren Corporation Nonqualified Deferred Compensation Plan (Effective January 1, 2005) (the “Plan”);</w:t>
      </w:r>
    </w:p>
    <w:p>
      <w:pPr>
        <w:pStyle w:val="TextBody"/>
        <w:bidi w:val="0"/>
        <w:spacing w:lineRule="auto" w:line="556" w:before="0" w:after="0"/>
        <w:ind w:left="0" w:right="0" w:firstLine="720"/>
        <w:jc w:val="both"/>
        <w:rPr/>
      </w:pPr>
      <w:r>
        <w:rPr>
          <w:rFonts w:ascii="Times New Roman;sans-serif" w:hAnsi="Times New Roman;sans-serif"/>
          <w:b/>
          <w:color w:val="000000"/>
          <w:sz w:val="23"/>
        </w:rPr>
        <w:t>WHEREAS,</w:t>
      </w:r>
      <w:r>
        <w:rPr>
          <w:color w:val="000000"/>
        </w:rPr>
        <w:t xml:space="preserve"> </w:t>
      </w:r>
      <w:r>
        <w:rPr>
          <w:rFonts w:ascii="Times New Roman;sans-serif" w:hAnsi="Times New Roman;sans-serif"/>
          <w:b w:val="false"/>
          <w:color w:val="000000"/>
          <w:sz w:val="23"/>
        </w:rPr>
        <w:t>pursuant to Section 12.1 of the Plan, the Company may terminate the Plan and provide for distribution Account Balances to the extent permitted under Treas. Reg. § 1.409A-3(j)(4)(ix);</w:t>
      </w:r>
    </w:p>
    <w:p>
      <w:pPr>
        <w:pStyle w:val="TextBody"/>
        <w:bidi w:val="0"/>
        <w:spacing w:lineRule="auto" w:line="556" w:before="0" w:after="0"/>
        <w:ind w:left="0" w:right="0" w:firstLine="720"/>
        <w:jc w:val="both"/>
        <w:rPr/>
      </w:pPr>
      <w:r>
        <w:rPr>
          <w:rFonts w:ascii="Times New Roman;sans-serif" w:hAnsi="Times New Roman;sans-serif"/>
          <w:b/>
          <w:color w:val="000000"/>
          <w:sz w:val="23"/>
        </w:rPr>
        <w:t>WHEREAS,</w:t>
      </w:r>
      <w:r>
        <w:rPr>
          <w:color w:val="000000"/>
        </w:rPr>
        <w:t xml:space="preserve"> </w:t>
      </w:r>
      <w:r>
        <w:rPr>
          <w:rFonts w:ascii="Times New Roman;sans-serif" w:hAnsi="Times New Roman;sans-serif"/>
          <w:b w:val="false"/>
          <w:color w:val="000000"/>
          <w:sz w:val="23"/>
        </w:rPr>
        <w:t>certain Participants of the Plan (the “ESG Participants”) experienced a change in control event (as defined in Treas. Reg. § 1.409A-3(i)(5)) on June 30, 2023 in connection with the sale of Energy Systems Group, LLC (the “ESG CIC Event”);</w:t>
      </w:r>
    </w:p>
    <w:p>
      <w:pPr>
        <w:pStyle w:val="TextBody"/>
        <w:bidi w:val="0"/>
        <w:spacing w:lineRule="auto" w:line="556" w:before="0" w:after="0"/>
        <w:ind w:left="0" w:right="0" w:firstLine="720"/>
        <w:jc w:val="both"/>
        <w:rPr/>
      </w:pPr>
      <w:r>
        <w:rPr>
          <w:rFonts w:ascii="Times New Roman;sans-serif" w:hAnsi="Times New Roman;sans-serif"/>
          <w:b/>
          <w:color w:val="000000"/>
          <w:sz w:val="23"/>
        </w:rPr>
        <w:t>WHEREAS,</w:t>
      </w:r>
      <w:r>
        <w:rPr>
          <w:color w:val="000000"/>
        </w:rPr>
        <w:t xml:space="preserve"> </w:t>
      </w:r>
      <w:r>
        <w:rPr>
          <w:rFonts w:ascii="Times New Roman;sans-serif" w:hAnsi="Times New Roman;sans-serif"/>
          <w:b w:val="false"/>
          <w:color w:val="000000"/>
          <w:sz w:val="23"/>
        </w:rPr>
        <w:t xml:space="preserve">the Company desires to irrevocably terminate and liquidate the Plan with respect to each ESG Participant in accordance with Treas. Reg. § 1.409A-3(j)(4)(ix)(B); </w:t>
      </w:r>
    </w:p>
    <w:p>
      <w:pPr>
        <w:pStyle w:val="TextBody"/>
        <w:bidi w:val="0"/>
        <w:spacing w:lineRule="auto" w:line="556" w:before="0" w:after="0"/>
        <w:ind w:left="0" w:right="0" w:firstLine="720"/>
        <w:jc w:val="both"/>
        <w:rPr/>
      </w:pPr>
      <w:r>
        <w:rPr>
          <w:rFonts w:ascii="Times New Roman;sans-serif" w:hAnsi="Times New Roman;sans-serif"/>
          <w:b/>
          <w:color w:val="000000"/>
          <w:sz w:val="23"/>
        </w:rPr>
        <w:t>WHEREAS,</w:t>
      </w:r>
      <w:r>
        <w:rPr>
          <w:color w:val="000000"/>
        </w:rPr>
        <w:t xml:space="preserve"> </w:t>
      </w:r>
      <w:r>
        <w:rPr>
          <w:rFonts w:ascii="Times New Roman;sans-serif" w:hAnsi="Times New Roman;sans-serif"/>
          <w:b w:val="false"/>
          <w:color w:val="000000"/>
          <w:sz w:val="23"/>
        </w:rPr>
        <w:t xml:space="preserve">on December 14, 2023 (the “Approval Date”), the Board of CNP approved such termination and liquidation of the Plan, and this amendment to the Plan, and also approved, with respect to each ESG Participant, the termination and liquidation of all agreements, methods, programs and other arrangements sponsored by CNP or an affiliate immediately after the ESG CIC Event which deferrals of compensation are, together with deferrals under the Plan, treated as deferred under a single plan under Treas. Reg. § 1.409A-1(c)(2) so that all ESG Participants are required to receive all amounts of compensation deferred under such terminated agreements, methods, programs, and other arrangements within 12 months of the Approval Date; and </w:t>
      </w:r>
    </w:p>
    <w:p>
      <w:pPr>
        <w:pStyle w:val="TextBody"/>
        <w:bidi w:val="0"/>
        <w:spacing w:lineRule="auto" w:line="556"/>
        <w:ind w:left="0" w:right="0" w:firstLine="720"/>
        <w:jc w:val="both"/>
        <w:rPr/>
      </w:pPr>
      <w:r>
        <w:rPr>
          <w:rFonts w:ascii="Times New Roman;sans-serif" w:hAnsi="Times New Roman;sans-serif"/>
          <w:b/>
          <w:color w:val="000000"/>
          <w:sz w:val="23"/>
        </w:rPr>
        <w:t>WHEREAS,</w:t>
      </w:r>
      <w:r>
        <w:rPr>
          <w:color w:val="000000"/>
        </w:rPr>
        <w:t xml:space="preserve"> </w:t>
      </w:r>
      <w:r>
        <w:rPr>
          <w:rFonts w:ascii="Times New Roman;sans-serif" w:hAnsi="Times New Roman;sans-serif"/>
          <w:b w:val="false"/>
          <w:color w:val="000000"/>
          <w:sz w:val="23"/>
        </w:rPr>
        <w:t>on January 9, 2024 the Manager of the Company also approved such termination and liquidation of the Plan, and this amendment to the Plan;</w:t>
      </w:r>
    </w:p>
    <w:p>
      <w:pPr>
        <w:pStyle w:val="TextBody"/>
        <w:bidi w:val="0"/>
        <w:spacing w:before="0" w:after="20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0815"/>
                <wp:effectExtent l="0" t="0" r="0" b="0"/>
                <wp:wrapNone/>
                <wp:docPr id="108" name="Frame108"/>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19" w:before="0" w:after="200"/>
                              <w:jc w:val="center"/>
                              <w:rPr>
                                <w:rFonts w:ascii="Calibri;sans-serif" w:hAnsi="Calibri;sans-serif"/>
                                <w:b w:val="false"/>
                                <w:color w:val="000000"/>
                                <w:sz w:val="22"/>
                              </w:rPr>
                            </w:pPr>
                            <w:r>
                              <w:rPr>
                                <w:rFonts w:ascii="Calibri;sans-serif" w:hAnsi="Calibr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Calibri;sans-serif" w:hAnsi="Calibri;sans-serif"/>
                          <w:b w:val="false"/>
                          <w:color w:val="000000"/>
                          <w:sz w:val="22"/>
                        </w:rPr>
                      </w:pPr>
                      <w:r>
                        <w:rPr>
                          <w:rFonts w:ascii="Calibri;sans-serif" w:hAnsi="Calibri;sans-serif"/>
                          <w:b w:val="false"/>
                          <w:color w:val="000000"/>
                          <w:sz w:val="22"/>
                        </w:rPr>
                        <w:t>1</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ans-serif" w:hAnsi="Times New Roman;sans-serif"/>
          <w:b/>
          <w:color w:val="000000"/>
          <w:sz w:val="23"/>
        </w:rPr>
        <w:t>NOW, THEREFORE,</w:t>
      </w:r>
      <w:r>
        <w:rPr>
          <w:color w:val="000000"/>
        </w:rPr>
        <w:t xml:space="preserve"> </w:t>
      </w:r>
      <w:r>
        <w:rPr>
          <w:rFonts w:ascii="Times New Roman;sans-serif" w:hAnsi="Times New Roman;sans-serif"/>
          <w:b w:val="false"/>
          <w:color w:val="000000"/>
          <w:sz w:val="23"/>
        </w:rPr>
        <w:t>the Company does hereby amend the Plan as follows, effective as of April 1, 2024 (the “Termination Date”):</w:t>
      </w:r>
    </w:p>
    <w:p>
      <w:pPr>
        <w:pStyle w:val="TextBody"/>
        <w:bidi w:val="0"/>
        <w:spacing w:lineRule="auto" w:line="556"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1.The Plan is hereby irrevocably terminated with respect to each ESG Participant.</w:t>
      </w:r>
    </w:p>
    <w:p>
      <w:pPr>
        <w:pStyle w:val="TextBody"/>
        <w:bidi w:val="0"/>
        <w:spacing w:lineRule="auto" w:line="556"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2.As soon as administratively practicable after the Termination Date, and in no event later than 12 months following the Approval Date, the benefit under Plan for each ESG Participant shall be irrevocably liquidated and paid to the ESG Participant in a single lump sum cash payment. </w:t>
      </w:r>
    </w:p>
    <w:p>
      <w:pPr>
        <w:pStyle w:val="TextBody"/>
        <w:bidi w:val="0"/>
        <w:spacing w:lineRule="auto" w:line="556"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3.It is intended that the termination of the Plan with respect to the ESG Participants as set forth herein shall comply with the requirements of Treas. Reg. § 1.409A-3(j)(4)(ix)(B), and this amendment shall be interpreted and administered consistent therewith.</w:t>
      </w:r>
    </w:p>
    <w:p>
      <w:pPr>
        <w:pStyle w:val="TextBody"/>
        <w:bidi w:val="0"/>
        <w:spacing w:lineRule="auto" w:line="556"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4.Capitalized terms not otherwise defined herein shall have the meanings set forth in the Plan.</w:t>
      </w:r>
    </w:p>
    <w:p>
      <w:pPr>
        <w:pStyle w:val="TextBody"/>
        <w:bidi w:val="0"/>
        <w:spacing w:before="0" w:after="0"/>
        <w:jc w:val="both"/>
        <w:rPr/>
      </w:pPr>
      <w:r>
        <w:rPr/>
      </w:r>
    </w:p>
    <w:p>
      <w:pPr>
        <w:pStyle w:val="TextBody"/>
        <w:bidi w:val="0"/>
        <w:spacing w:lineRule="auto" w:line="556" w:before="0" w:after="240"/>
        <w:ind w:left="0" w:right="0" w:firstLine="720"/>
        <w:jc w:val="both"/>
        <w:rPr/>
      </w:pPr>
      <w:r>
        <w:rPr>
          <w:rFonts w:ascii="Times New Roman;sans-serif" w:hAnsi="Times New Roman;sans-serif"/>
          <w:b/>
          <w:color w:val="000000"/>
          <w:sz w:val="23"/>
        </w:rPr>
        <w:t>IN WITNESS WHEREOF,</w:t>
      </w:r>
      <w:r>
        <w:rPr>
          <w:color w:val="000000"/>
        </w:rPr>
        <w:t xml:space="preserve"> </w:t>
      </w:r>
      <w:r>
        <w:rPr>
          <w:rFonts w:ascii="Times New Roman;sans-serif" w:hAnsi="Times New Roman;sans-serif"/>
          <w:b w:val="false"/>
          <w:color w:val="000000"/>
          <w:sz w:val="23"/>
        </w:rPr>
        <w:t>Vectren, LLC has executed these presents as evidenced by the signature of its officer affixed hereto, this 9 day of January, 2024, but effective as set forth above.</w:t>
      </w:r>
    </w:p>
    <w:tbl>
      <w:tblPr>
        <w:tblW w:w="3791" w:type="dxa"/>
        <w:jc w:val="left"/>
        <w:tblInd w:w="0" w:type="dxa"/>
        <w:tblLayout w:type="fixed"/>
        <w:tblCellMar>
          <w:top w:w="28" w:type="dxa"/>
          <w:left w:w="28" w:type="dxa"/>
          <w:bottom w:w="28" w:type="dxa"/>
          <w:right w:w="28" w:type="dxa"/>
        </w:tblCellMar>
      </w:tblPr>
      <w:tblGrid>
        <w:gridCol w:w="124"/>
        <w:gridCol w:w="109"/>
        <w:gridCol w:w="109"/>
        <w:gridCol w:w="1010"/>
        <w:gridCol w:w="1010"/>
        <w:gridCol w:w="14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319" w:before="0" w:after="600"/>
              <w:jc w:val="left"/>
              <w:rPr>
                <w:rFonts w:ascii="Times New Roman;sans-serif" w:hAnsi="Times New Roman;sans-serif"/>
                <w:b/>
                <w:color w:val="000000"/>
                <w:sz w:val="23"/>
              </w:rPr>
            </w:pPr>
            <w:r>
              <w:rPr>
                <w:rFonts w:ascii="Times New Roman;sans-serif" w:hAnsi="Times New Roman;sans-serif"/>
                <w:b/>
                <w:color w:val="000000"/>
                <w:sz w:val="23"/>
              </w:rPr>
              <w:t>CENTERPOINT ENERGY, INC.</w:t>
            </w:r>
          </w:p>
          <w:p>
            <w:pPr>
              <w:pStyle w:val="TableContents"/>
              <w:bidi w:val="0"/>
              <w:spacing w:lineRule="auto" w:line="319" w:before="0" w:after="0"/>
              <w:jc w:val="left"/>
              <w:rPr/>
            </w:pPr>
            <w:r>
              <w:rPr>
                <w:rFonts w:ascii="Times New Roman;sans-serif" w:hAnsi="Times New Roman;sans-serif"/>
                <w:b w:val="false"/>
                <w:color w:val="000000"/>
                <w:sz w:val="23"/>
              </w:rPr>
              <w:t>By:</w:t>
            </w:r>
            <w:r>
              <w:rPr>
                <w:rFonts w:ascii="Times New Roman;sans-serif" w:hAnsi="Times New Roman;sans-serif"/>
                <w:b w:val="false"/>
                <w:color w:val="000000"/>
                <w:sz w:val="23"/>
                <w:u w:val="single"/>
              </w:rPr>
              <w:t>/s/Jason P. Wells    </w:t>
            </w:r>
          </w:p>
          <w:p>
            <w:pPr>
              <w:pStyle w:val="TableContents"/>
              <w:bidi w:val="0"/>
              <w:spacing w:lineRule="auto" w:line="319" w:before="0" w:after="240"/>
              <w:jc w:val="left"/>
              <w:rPr>
                <w:rFonts w:ascii="Times New Roman;sans-serif" w:hAnsi="Times New Roman;sans-serif"/>
                <w:b w:val="false"/>
                <w:color w:val="000000"/>
                <w:sz w:val="23"/>
              </w:rPr>
            </w:pPr>
            <w:r>
              <w:rPr>
                <w:rFonts w:ascii="Times New Roman;sans-serif" w:hAnsi="Times New Roman;sans-serif"/>
                <w:b w:val="false"/>
                <w:color w:val="000000"/>
                <w:sz w:val="23"/>
              </w:rPr>
              <w:t>Jason P. Wells</w:t>
              <w:br/>
              <w:t>President</w:t>
            </w:r>
          </w:p>
        </w:tc>
      </w:tr>
    </w:tbl>
    <w:p>
      <w:pPr>
        <w:pStyle w:val="TextBody"/>
        <w:bidi w:val="0"/>
        <w:spacing w:lineRule="auto" w:line="240" w:before="0" w:after="600"/>
        <w:jc w:val="left"/>
        <w:rPr>
          <w:rFonts w:ascii="Times New Roman;sans-serif" w:hAnsi="Times New Roman;sans-serif"/>
          <w:b w:val="false"/>
          <w:color w:val="000000"/>
          <w:sz w:val="23"/>
        </w:rPr>
      </w:pPr>
      <w:r>
        <w:rPr>
          <w:rFonts w:ascii="Times New Roman;sans-serif" w:hAnsi="Times New Roman;sans-serif"/>
          <w:b w:val="false"/>
          <w:color w:val="000000"/>
          <w:sz w:val="23"/>
        </w:rPr>
        <w:t>ATTEST:</w:t>
      </w:r>
    </w:p>
    <w:p>
      <w:pPr>
        <w:pStyle w:val="TextBody"/>
        <w:bidi w:val="0"/>
        <w:spacing w:lineRule="auto" w:line="240" w:before="0" w:after="0"/>
        <w:jc w:val="left"/>
        <w:rPr>
          <w:rFonts w:ascii="Times New Roman;sans-serif" w:hAnsi="Times New Roman;sans-serif"/>
          <w:b w:val="false"/>
          <w:color w:val="000000"/>
          <w:sz w:val="23"/>
          <w:u w:val="single"/>
        </w:rPr>
      </w:pPr>
      <w:r>
        <w:rPr>
          <w:rFonts w:ascii="Times New Roman;sans-serif" w:hAnsi="Times New Roman;sans-serif"/>
          <w:b w:val="false"/>
          <w:color w:val="000000"/>
          <w:sz w:val="23"/>
          <w:u w:val="single"/>
        </w:rPr>
        <w:t>/s/Vincent A. Mercaldi</w:t>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Vincent A. Mercaldi</w:t>
      </w:r>
    </w:p>
    <w:p>
      <w:pPr>
        <w:pStyle w:val="TextBody"/>
        <w:bidi w:val="0"/>
        <w:spacing w:lineRule="auto" w:line="240"/>
        <w:jc w:val="both"/>
        <w:rPr>
          <w:rFonts w:ascii="Times New Roman;sans-serif" w:hAnsi="Times New Roman;sans-serif"/>
          <w:b w:val="false"/>
          <w:color w:val="000000"/>
          <w:sz w:val="23"/>
        </w:rPr>
      </w:pPr>
      <w:r>
        <w:rPr>
          <w:rFonts w:ascii="Times New Roman;sans-serif" w:hAnsi="Times New Roman;sans-serif"/>
          <w:b w:val="false"/>
          <w:color w:val="000000"/>
          <w:sz w:val="23"/>
        </w:rPr>
        <w:t>Assistant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8955"/>
                <wp:effectExtent l="0" t="0" r="0" b="0"/>
                <wp:wrapNone/>
                <wp:docPr id="109" name="Frame109"/>
                <a:graphic xmlns:a="http://schemas.openxmlformats.org/drawingml/2006/main">
                  <a:graphicData uri="http://schemas.microsoft.com/office/word/2010/wordprocessingShape">
                    <wps:wsp>
                      <wps:cNvSpPr txBox="1"/>
                      <wps:spPr>
                        <a:xfrm>
                          <a:off x="0" y="0"/>
                          <a:ext cx="6480175" cy="528955"/>
                        </a:xfrm>
                        <a:prstGeom prst="rect"/>
                        <a:solidFill>
                          <a:srgbClr val="FFFFFF"/>
                        </a:solidFill>
                      </wps:spPr>
                      <wps:txbx>
                        <w:txbxContent>
                          <w:p>
                            <w:pPr>
                              <w:pStyle w:val="TextBody"/>
                              <w:bidi w:val="0"/>
                              <w:spacing w:lineRule="auto" w:line="319" w:before="0" w:after="20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Jason P. Wells,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Inc.;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2024 </w:t>
      </w:r>
    </w:p>
    <w:p>
      <w:pPr>
        <w:pStyle w:val="TextBody"/>
        <w:bidi w:val="0"/>
        <w:spacing w:lineRule="auto" w:line="288" w:before="0" w:after="0"/>
        <w:jc w:val="both"/>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Lynnae K. Wilson,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CenterPoint Energy Houston Electric, LLC;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2024 </w:t>
      </w:r>
    </w:p>
    <w:p>
      <w:pPr>
        <w:pStyle w:val="TextBody"/>
        <w:bidi w:val="0"/>
        <w:spacing w:lineRule="auto" w:line="288" w:before="0" w:after="0"/>
        <w:jc w:val="both"/>
        <w:rPr>
          <w:color w:val="000000"/>
        </w:rPr>
      </w:pPr>
      <w:r>
        <w:rPr>
          <w:color w:val="000000"/>
        </w:rPr>
        <w:t> </w:t>
      </w:r>
    </w:p>
    <w:tbl>
      <w:tblPr>
        <w:tblW w:w="3551" w:type="dxa"/>
        <w:jc w:val="left"/>
        <w:tblInd w:w="0" w:type="dxa"/>
        <w:tblLayout w:type="fixed"/>
        <w:tblCellMar>
          <w:top w:w="28" w:type="dxa"/>
          <w:left w:w="28" w:type="dxa"/>
          <w:bottom w:w="28" w:type="dxa"/>
          <w:right w:w="28" w:type="dxa"/>
        </w:tblCellMar>
      </w:tblPr>
      <w:tblGrid>
        <w:gridCol w:w="124"/>
        <w:gridCol w:w="109"/>
        <w:gridCol w:w="109"/>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Lynnae K. Wilson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Lynnae K. Wilson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Darin M. Carroll,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CenterPoint Energy Resources Corp.;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2024 </w:t>
      </w:r>
    </w:p>
    <w:p>
      <w:pPr>
        <w:pStyle w:val="TextBody"/>
        <w:bidi w:val="0"/>
        <w:spacing w:lineRule="auto" w:line="288" w:before="0" w:after="0"/>
        <w:jc w:val="left"/>
        <w:rPr>
          <w:color w:val="000000"/>
        </w:rPr>
      </w:pPr>
      <w:r>
        <w:rPr>
          <w:color w:val="000000"/>
        </w:rPr>
        <w:t> </w:t>
      </w:r>
    </w:p>
    <w:tbl>
      <w:tblPr>
        <w:tblW w:w="3269" w:type="dxa"/>
        <w:jc w:val="right"/>
        <w:tblInd w:w="0" w:type="dxa"/>
        <w:tblLayout w:type="fixed"/>
        <w:tblCellMar>
          <w:top w:w="28" w:type="dxa"/>
          <w:left w:w="28" w:type="dxa"/>
          <w:bottom w:w="28" w:type="dxa"/>
          <w:right w:w="28" w:type="dxa"/>
        </w:tblCellMar>
      </w:tblPr>
      <w:tblGrid>
        <w:gridCol w:w="1043"/>
        <w:gridCol w:w="919"/>
        <w:gridCol w:w="1307"/>
      </w:tblGrid>
      <w:tr>
        <w:trPr/>
        <w:tc>
          <w:tcPr>
            <w:tcW w:w="10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Darin M. Carroll</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Darin M. Carroll</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r>
    </w:tbl>
    <w:p>
      <w:pPr>
        <w:pStyle w:val="TextBody"/>
        <w:bidi w:val="0"/>
        <w:spacing w:before="0" w:after="0"/>
        <w:jc w:val="left"/>
        <w:rPr/>
      </w:pPr>
      <w:r>
        <w:rPr/>
      </w:r>
    </w:p>
    <w:p>
      <w:pPr>
        <w:pStyle w:val="TextBody"/>
        <w:bidi w:val="0"/>
        <w:spacing w:lineRule="auto" w:line="288"/>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A. Foster,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Inc.;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2024 </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A. Foster,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Houston Electric, LLC;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2024 </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A. Foster,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CenterPoint Energy Resources Corp.;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30, 2024 </w:t>
      </w:r>
    </w:p>
    <w:p>
      <w:pPr>
        <w:pStyle w:val="TextBody"/>
        <w:bidi w:val="0"/>
        <w:spacing w:lineRule="auto" w:line="288" w:before="0" w:after="0"/>
        <w:jc w:val="left"/>
        <w:rPr>
          <w:color w:val="000000"/>
        </w:rPr>
      </w:pPr>
      <w:r>
        <w:rPr>
          <w:color w:val="000000"/>
        </w:rPr>
        <w:t> </w:t>
      </w:r>
    </w:p>
    <w:tbl>
      <w:tblPr>
        <w:tblW w:w="4781" w:type="dxa"/>
        <w:jc w:val="righ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Inc. (the “Company”) on Form 10-Q for the quarter ended March 31, 2024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2412" w:type="dxa"/>
        <w:jc w:val="left"/>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Houston Electric, LLC (the “Company”) on Form 10-Q for the quarter ended March 31, 2024 (the “Report”), as filed with the Securities and Exchange Commission on the date hereof, I, Lynnae K. Wilson,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3551" w:type="dxa"/>
        <w:jc w:val="left"/>
        <w:tblInd w:w="0" w:type="dxa"/>
        <w:tblLayout w:type="fixed"/>
        <w:tblCellMar>
          <w:top w:w="28" w:type="dxa"/>
          <w:left w:w="28" w:type="dxa"/>
          <w:bottom w:w="28" w:type="dxa"/>
          <w:right w:w="28" w:type="dxa"/>
        </w:tblCellMar>
      </w:tblPr>
      <w:tblGrid>
        <w:gridCol w:w="1148"/>
        <w:gridCol w:w="1013"/>
        <w:gridCol w:w="1018"/>
        <w:gridCol w:w="109"/>
        <w:gridCol w:w="109"/>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Lynnae K. Wilson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Lynnae K. Wilson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Resources Corp. (the “Company”) on Form 10-Q for the quarter ended March 31, 2024 (the “Report”), as filed with the Securities and Exchange Commission on the date hereof, I, Darin M. Carroll, Chief Executive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269" w:type="dxa"/>
        <w:jc w:val="left"/>
        <w:tblInd w:w="0" w:type="dxa"/>
        <w:tblLayout w:type="fixed"/>
        <w:tblCellMar>
          <w:top w:w="28" w:type="dxa"/>
          <w:left w:w="28" w:type="dxa"/>
          <w:bottom w:w="28" w:type="dxa"/>
          <w:right w:w="28" w:type="dxa"/>
        </w:tblCellMar>
      </w:tblPr>
      <w:tblGrid>
        <w:gridCol w:w="1043"/>
        <w:gridCol w:w="919"/>
        <w:gridCol w:w="1307"/>
      </w:tblGrid>
      <w:tr>
        <w:trPr/>
        <w:tc>
          <w:tcPr>
            <w:tcW w:w="10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Darin M. Carroll</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Darin M. Carroll</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color w:val="000000"/>
        </w:rPr>
      </w:pPr>
      <w:r>
        <w:rPr>
          <w:color w:val="000000"/>
        </w:rPr>
        <w:t xml:space="preserve">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Inc. (the “Company”) on Form 10-Q for the quarter ended March 31,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Houston Electric, LLC (the “Company”) on Form 10-Q for the quarter ended March 31,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Resources Corp. (the “Company”) on Form 10-Q for the quarter ended March 31,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A. Foster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Foster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30310/000113031024000010/cnp-20231231.htm" TargetMode="External"/><Relationship Id="rId3" Type="http://schemas.openxmlformats.org/officeDocument/2006/relationships/hyperlink" Target="https://www.sec.gov/Archives/edgar/data/1130310/000119312518125804/d561804dex21.htm" TargetMode="External"/><Relationship Id="rId4" Type="http://schemas.openxmlformats.org/officeDocument/2006/relationships/hyperlink" Target="https://www.sec.gov/Archives/edgar/data/1130310/000113031020000006/exhibit21purchaseagreeme.htm" TargetMode="External"/><Relationship Id="rId5" Type="http://schemas.openxmlformats.org/officeDocument/2006/relationships/hyperlink" Target="https://www.sec.gov/Archives/edgar/data/1042773/000113031020000012/exhibit21.htm" TargetMode="External"/><Relationship Id="rId6" Type="http://schemas.openxmlformats.org/officeDocument/2006/relationships/hyperlink" Target="https://www.sec.gov/Archives/edgar/data/48732/000113031021000024/exhibit24cerc-assetpurchas.htm" TargetMode="External"/><Relationship Id="rId7" Type="http://schemas.openxmlformats.org/officeDocument/2006/relationships/hyperlink" Target="https://www.sec.gov/ix?doc=/Archives/edgar/data/0001130310/000119312524039277/d794478d8k.htm" TargetMode="External"/><Relationship Id="rId8" Type="http://schemas.openxmlformats.org/officeDocument/2006/relationships/hyperlink" Target="https://www.sec.gov/ix?doc=/Archives/edgar/data/0001130310/000119312524039277/d794478d8k.htm" TargetMode="External"/><Relationship Id="rId9" Type="http://schemas.openxmlformats.org/officeDocument/2006/relationships/hyperlink" Target="https://www.sec.gov/ix?doc=/Archives/edgar/data/0001130310/000119312524039277/d794478d8k.htm" TargetMode="External"/><Relationship Id="rId10" Type="http://schemas.openxmlformats.org/officeDocument/2006/relationships/hyperlink" Target="https://www.sec.gov/Archives/edgar/data/1130310/000113031008000004/ex3-2.htm" TargetMode="External"/><Relationship Id="rId11" Type="http://schemas.openxmlformats.org/officeDocument/2006/relationships/hyperlink" Target="https://www.sec.gov/Archives/edgar/data/48732/000113031011000048/ex3-1.htm" TargetMode="External"/><Relationship Id="rId12" Type="http://schemas.openxmlformats.org/officeDocument/2006/relationships/hyperlink" Target="https://www.sec.gov/Archives/edgar/data/1042773/0000950129-98-001585.txt" TargetMode="External"/><Relationship Id="rId13" Type="http://schemas.openxmlformats.org/officeDocument/2006/relationships/hyperlink" Target="https://www.sec.gov/Archives/edgar/data/1042773/0000950129-98-001585.txt" TargetMode="External"/><Relationship Id="rId14" Type="http://schemas.openxmlformats.org/officeDocument/2006/relationships/hyperlink" Target="https://www.sec.gov/Archives/edgar/data/48732/0000950129-99-001059.txt" TargetMode="External"/><Relationship Id="rId15" Type="http://schemas.openxmlformats.org/officeDocument/2006/relationships/hyperlink" Target="https://www.sec.gov/Archives/edgar/data/1042773/000095012903004183/h07971exv3wa4.txt" TargetMode="External"/><Relationship Id="rId16" Type="http://schemas.openxmlformats.org/officeDocument/2006/relationships/hyperlink" Target="https://www.sec.gov/Archives/edgar/data/1130310/000113031024000010/exhibit3hfourthamendedan.htm" TargetMode="External"/><Relationship Id="rId17" Type="http://schemas.openxmlformats.org/officeDocument/2006/relationships/hyperlink" Target="https://www.sec.gov/Archives/edgar/data/1130310/000113031024000010/exhibit3hfourthamendedan.htm" TargetMode="External"/><Relationship Id="rId18" Type="http://schemas.openxmlformats.org/officeDocument/2006/relationships/hyperlink" Target="https://www.sec.gov/Archives/edgar/data/48732/000113031011000048/ex3-2.htm" TargetMode="External"/><Relationship Id="rId19" Type="http://schemas.openxmlformats.org/officeDocument/2006/relationships/hyperlink" Target="https://www.sec.gov/Archives/edgar/data/1042773/0000950129-98-001585.txt" TargetMode="External"/><Relationship Id="rId20" Type="http://schemas.openxmlformats.org/officeDocument/2006/relationships/hyperlink" Target="https://www.sec.gov/Archives/edgar/data/1130310/000113031012000011/exhibit3c.htm" TargetMode="External"/><Relationship Id="rId21" Type="http://schemas.openxmlformats.org/officeDocument/2006/relationships/hyperlink" Target="https://www.sec.gov/Archives/edgar/data/1130310/000095012901503771/h90625a1ex4-1.txt" TargetMode="External"/><Relationship Id="rId22" Type="http://schemas.openxmlformats.org/officeDocument/2006/relationships/hyperlink" Target="https://www.sec.gov/ix?doc=/Archives/edgar/data/48732/000119312524048049/d773950d8k.htm" TargetMode="External"/><Relationship Id="rId23" Type="http://schemas.openxmlformats.org/officeDocument/2006/relationships/hyperlink" Target="https://www.sec.gov/ix?doc=/Archives/edgar/data/48732/000119312524048049/d773950d8k.htm" TargetMode="External"/><Relationship Id="rId24" Type="http://schemas.openxmlformats.org/officeDocument/2006/relationships/hyperlink" Target="https://www.sec.gov/ix?doc=/Archives/edgar/data/48732/000119312524048049/d773950d8k.htm" TargetMode="External"/><Relationship Id="rId25" Type="http://schemas.openxmlformats.org/officeDocument/2006/relationships/hyperlink" Target="https://www.sec.gov/ix?doc=/Archives/edgar/data/48732/000119312524048049/d773950d8k.htm" TargetMode="External"/><Relationship Id="rId26" Type="http://schemas.openxmlformats.org/officeDocument/2006/relationships/hyperlink" Target="https://www.sec.gov/ix?doc=/Archives/edgar/data/48732/000119312524048049/d773950d8k.htm" TargetMode="External"/><Relationship Id="rId27" Type="http://schemas.openxmlformats.org/officeDocument/2006/relationships/hyperlink" Target="https://www.sec.gov/ix?doc=/Archives/edgar/data/48732/000119312524048049/d773950d8k.htm" TargetMode="External"/><Relationship Id="rId28" Type="http://schemas.openxmlformats.org/officeDocument/2006/relationships/hyperlink" Target="https://www.sec.gov/ix?doc=/Archives/edgar/data/48732/000119312524048049/d773950d8k.htm" TargetMode="External"/><Relationship Id="rId29" Type="http://schemas.openxmlformats.org/officeDocument/2006/relationships/hyperlink" Target="https://www.sec.gov/ix?doc=/Archives/edgar/data/48732/000119312524048049/d773950d8k.htm" TargetMode="External"/><Relationship Id="rId30" Type="http://schemas.openxmlformats.org/officeDocument/2006/relationships/hyperlink" Target="https://www.sec.gov/ix?doc=/Archives/edgar/data/48732/000119312524048049/d773950d8k.htm" TargetMode="External"/><Relationship Id="rId31" Type="http://schemas.openxmlformats.org/officeDocument/2006/relationships/hyperlink" Target="https://www.sec.gov/ix?doc=/Archives/edgar/data/48732/000119312524048049/d773950d8k.htm" TargetMode="External"/><Relationship Id="rId32" Type="http://schemas.openxmlformats.org/officeDocument/2006/relationships/hyperlink" Target="https://www.sec.gov/ix?doc=/Archives/edgar/data/48732/000119312524048049/d773950d8k.htm" TargetMode="External"/><Relationship Id="rId33" Type="http://schemas.openxmlformats.org/officeDocument/2006/relationships/hyperlink" Target="https://www.sec.gov/ix?doc=/Archives/edgar/data/48732/000119312524048049/d773950d8k.htm" TargetMode="External"/><Relationship Id="rId34" Type="http://schemas.openxmlformats.org/officeDocument/2006/relationships/hyperlink" Target="https://www.sec.gov/ix?doc=/Archives/edgar/data/48732/000119312524048049/d773950d8k.htm" TargetMode="External"/><Relationship Id="rId35" Type="http://schemas.openxmlformats.org/officeDocument/2006/relationships/hyperlink" Target="https://www.sec.gov/ix?doc=/Archives/edgar/data/48732/000119312524048049/d773950d8k.htm" TargetMode="External"/><Relationship Id="rId36" Type="http://schemas.openxmlformats.org/officeDocument/2006/relationships/hyperlink" Target="https://www.sec.gov/ix?doc=/Archives/edgar/data/48732/000119312524048049/d773950d8k.htm" TargetMode="External"/><Relationship Id="rId37" Type="http://schemas.openxmlformats.org/officeDocument/2006/relationships/hyperlink" Target="https://www.sec.gov/ix?doc=/Archives/edgar/data/0001130310/000119312524006148/d389888d8k.htm" TargetMode="External"/><Relationship Id="rId38" Type="http://schemas.openxmlformats.org/officeDocument/2006/relationships/hyperlink" Target="https://www.sec.gov/ix?doc=/Archives/edgar/data/1130310/000113031024000010/cnp-20231231.htm" TargetMode="External"/><Relationship Id="rId39" Type="http://schemas.openxmlformats.org/officeDocument/2006/relationships/hyperlink" Target="https://www.sec.gov/Archives/edgar/data/48732/000113031024000010/exhibit10cc14psuofficersan.htm" TargetMode="External"/><Relationship Id="rId40" Type="http://schemas.openxmlformats.org/officeDocument/2006/relationships/hyperlink" Target="https://www.sec.gov/Archives/edgar/data/48732/000113031024000010/exhibit10cc15rsuwithperfor.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55517</Words>
  <Characters>306099</Characters>
  <CharactersWithSpaces>358025</CharactersWithSpaces>
  <Paragraphs>6337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