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5" w:lineRule="exact"/>
        <w:rPr>
          <w:sz w:val="24"/>
          <w:szCs w:val="24"/>
          <w:color w:val="auto"/>
        </w:rPr>
      </w:pPr>
    </w:p>
    <w:p>
      <w:pPr>
        <w:jc w:val="center"/>
        <w:ind w:right="-780"/>
        <w:spacing w:after="0"/>
        <w:rPr>
          <w:sz w:val="20"/>
          <w:szCs w:val="20"/>
          <w:color w:val="auto"/>
        </w:rPr>
      </w:pPr>
      <w:r>
        <w:rPr>
          <w:rFonts w:ascii="Arial" w:cs="Arial" w:eastAsia="Arial" w:hAnsi="Arial"/>
          <w:sz w:val="29"/>
          <w:szCs w:val="29"/>
          <w:b w:val="1"/>
          <w:bCs w:val="1"/>
          <w:color w:val="auto"/>
        </w:rPr>
        <w:t>UNITED STATES</w:t>
      </w:r>
    </w:p>
    <w:p>
      <w:pPr>
        <w:spacing w:after="0" w:line="2"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SECURITIES AND EXCHANGE COMMISSION</w:t>
      </w:r>
    </w:p>
    <w:p>
      <w:pPr>
        <w:ind w:left="4140"/>
        <w:spacing w:after="0"/>
        <w:rPr>
          <w:sz w:val="20"/>
          <w:szCs w:val="20"/>
          <w:color w:val="auto"/>
        </w:rPr>
      </w:pPr>
      <w:r>
        <w:rPr>
          <w:rFonts w:ascii="Arial" w:cs="Arial" w:eastAsia="Arial" w:hAnsi="Arial"/>
          <w:sz w:val="22"/>
          <w:szCs w:val="22"/>
          <w:b w:val="1"/>
          <w:bCs w:val="1"/>
          <w:color w:val="auto"/>
        </w:rPr>
        <w:t>Washington, D.C. 20549</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214630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SCHEDULE 14A</w:t>
      </w:r>
    </w:p>
    <w:p>
      <w:pPr>
        <w:spacing w:after="0" w:line="54"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9"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Securities Exchange Act of 1934</w:t>
      </w:r>
    </w:p>
    <w:p>
      <w:pPr>
        <w:spacing w:after="0" w:line="19"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207645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54"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3"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pacing w:after="0" w:line="15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53" w:lineRule="exact"/>
        <w:rPr>
          <w:rFonts w:ascii="MS PGothic" w:cs="MS PGothic" w:eastAsia="MS PGothic" w:hAnsi="MS PGothic"/>
          <w:sz w:val="16"/>
          <w:szCs w:val="16"/>
          <w:color w:val="auto"/>
        </w:rPr>
      </w:pPr>
    </w:p>
    <w:p>
      <w:pPr>
        <w:ind w:left="1620" w:hanging="360"/>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53" w:lineRule="exact"/>
        <w:rPr>
          <w:rFonts w:ascii="MS PGothic" w:cs="MS PGothic" w:eastAsia="MS PGothic" w:hAnsi="MS PGothic"/>
          <w:sz w:val="16"/>
          <w:szCs w:val="16"/>
          <w:color w:val="auto"/>
        </w:rPr>
      </w:pPr>
    </w:p>
    <w:p>
      <w:pPr>
        <w:ind w:left="1620" w:hanging="360"/>
        <w:spacing w:after="0"/>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34" w:lineRule="exact"/>
        <w:rPr>
          <w:sz w:val="24"/>
          <w:szCs w:val="24"/>
          <w:color w:val="auto"/>
        </w:rPr>
      </w:pPr>
    </w:p>
    <w:p>
      <w:pPr>
        <w:jc w:val="center"/>
        <w:ind w:right="-900"/>
        <w:spacing w:after="0"/>
        <w:rPr>
          <w:sz w:val="20"/>
          <w:szCs w:val="20"/>
          <w:color w:val="auto"/>
        </w:rPr>
      </w:pPr>
      <w:r>
        <w:rPr>
          <w:rFonts w:ascii="Arial" w:cs="Arial" w:eastAsia="Arial" w:hAnsi="Arial"/>
          <w:sz w:val="29"/>
          <w:szCs w:val="29"/>
          <w:b w:val="1"/>
          <w:bCs w:val="1"/>
          <w:color w:val="auto"/>
        </w:rPr>
        <w:t>CenterPoint Energy, Inc.</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84455</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9" w:lineRule="exact"/>
        <w:rPr>
          <w:sz w:val="24"/>
          <w:szCs w:val="24"/>
          <w:color w:val="auto"/>
        </w:rPr>
      </w:pPr>
    </w:p>
    <w:p>
      <w:pPr>
        <w:jc w:val="center"/>
        <w:ind w:right="-90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16"/>
          <w:szCs w:val="16"/>
          <w:color w:val="auto"/>
        </w:rPr>
        <w:t>​</w:t>
      </w:r>
    </w:p>
    <w:p>
      <w:pPr>
        <w:spacing w:after="0" w:line="15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0"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6"/>
          <w:szCs w:val="16"/>
          <w:color w:val="auto"/>
        </w:rPr>
        <w:t>​</w:t>
      </w:r>
    </w:p>
    <w:p>
      <w:pPr>
        <w:spacing w:after="0" w:line="153"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Payment of Filing Fee (Check the appropriate box):</w:t>
      </w:r>
    </w:p>
    <w:p>
      <w:pPr>
        <w:spacing w:after="0" w:line="15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5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ind w:left="1620" w:hanging="360"/>
        <w:spacing w:after="0"/>
        <w:tabs>
          <w:tab w:leader="none" w:pos="16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2792730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10376535</wp:posOffset>
            </wp:positionV>
            <wp:extent cx="6806565" cy="57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571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806565" cy="268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26828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40"/>
        <w:spacing w:after="0"/>
        <w:rPr>
          <w:sz w:val="20"/>
          <w:szCs w:val="20"/>
          <w:color w:val="auto"/>
        </w:rPr>
      </w:pPr>
      <w:r>
        <w:rPr>
          <w:rFonts w:ascii="Arial" w:cs="Arial" w:eastAsia="Arial" w:hAnsi="Arial"/>
          <w:sz w:val="25"/>
          <w:szCs w:val="25"/>
          <w:b w:val="1"/>
          <w:bCs w:val="1"/>
          <w:color w:val="6EC4E8"/>
        </w:rPr>
        <w:t>Energy for</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25"/>
          <w:szCs w:val="25"/>
          <w:b w:val="1"/>
          <w:bCs w:val="1"/>
          <w:color w:val="6EC4E8"/>
        </w:rPr>
        <w:t>what matters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40" w:right="3920"/>
        <w:spacing w:after="0" w:line="285" w:lineRule="auto"/>
        <w:rPr>
          <w:sz w:val="20"/>
          <w:szCs w:val="20"/>
          <w:color w:val="auto"/>
        </w:rPr>
      </w:pPr>
      <w:r>
        <w:rPr>
          <w:rFonts w:ascii="Arial" w:cs="Arial" w:eastAsia="Arial" w:hAnsi="Arial"/>
          <w:sz w:val="33"/>
          <w:szCs w:val="33"/>
          <w:color w:val="6EC4E8"/>
        </w:rPr>
        <w:t>Welcome to the CenterPoint Energy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194310</wp:posOffset>
            </wp:positionV>
            <wp:extent cx="680656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March 5, 2025</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Dear Fellow Shareholders:</w:t>
      </w:r>
    </w:p>
    <w:p>
      <w:pPr>
        <w:spacing w:after="0" w:line="126" w:lineRule="exact"/>
        <w:rPr>
          <w:sz w:val="20"/>
          <w:szCs w:val="20"/>
          <w:color w:val="auto"/>
        </w:rPr>
      </w:pPr>
    </w:p>
    <w:p>
      <w:pPr>
        <w:ind w:left="740" w:right="280"/>
        <w:spacing w:after="0" w:line="259" w:lineRule="auto"/>
        <w:rPr>
          <w:sz w:val="20"/>
          <w:szCs w:val="20"/>
          <w:color w:val="auto"/>
        </w:rPr>
      </w:pPr>
      <w:r>
        <w:rPr>
          <w:rFonts w:ascii="Arial" w:cs="Arial" w:eastAsia="Arial" w:hAnsi="Arial"/>
          <w:sz w:val="16"/>
          <w:szCs w:val="16"/>
          <w:color w:val="auto"/>
        </w:rPr>
        <w:t>On behalf of the Board of Directors (Board), we are pleased to invite you to attend our annual shareholder meeting (Annual Meeting) to be held on April 16, 2025, at 8:30 a.m. central time in our auditorium located at 1111 Louisiana Street in Houston, Texas. Details regarding how to attend the meeting and the business to be conducted are in the accompanying Notice of Annual Meeting and Proxy Statement.</w:t>
      </w:r>
    </w:p>
    <w:p>
      <w:pPr>
        <w:spacing w:after="0" w:line="97" w:lineRule="exact"/>
        <w:rPr>
          <w:sz w:val="20"/>
          <w:szCs w:val="20"/>
          <w:color w:val="auto"/>
        </w:rPr>
      </w:pPr>
    </w:p>
    <w:p>
      <w:pPr>
        <w:ind w:left="740" w:right="80"/>
        <w:spacing w:after="0" w:line="269" w:lineRule="auto"/>
        <w:rPr>
          <w:sz w:val="20"/>
          <w:szCs w:val="20"/>
          <w:color w:val="auto"/>
        </w:rPr>
      </w:pPr>
      <w:r>
        <w:rPr>
          <w:rFonts w:ascii="Arial" w:cs="Arial" w:eastAsia="Arial" w:hAnsi="Arial"/>
          <w:sz w:val="15"/>
          <w:szCs w:val="15"/>
          <w:color w:val="auto"/>
        </w:rPr>
        <w:t>At CenterPoint Energy, Inc. (CenterPoint Energy or the Company), we understand there is no greater privilege than serving the millions of people who receive electric and natural gas service from us in the thousands of cities, towns, and communities across our service territories in Texas, Indiana, Louisiana, Minnesota, Mississippi, and Ohio. Over the last several years, we’ve worked diligently to build a more resilient electric transmission backbone and modernize our natural gas networks across our service territories. This has been mainly accomplished by executing on our 10-year capital plan through 2030 that is focused on investments made in safety, resiliency, reliability, and growth enablement. Going forward, we will accelerate these investments and their associated plans as we continue to work to address the evolving needs of our customers and communities that we serve. It is an exciting time to be a part of CenterPoint Energy as we set our sights on the future and the opportunities that await our company, our states, and our customers. We have a compelling resiliency and growth story, driven by a committed and accountable workforce, who share an unrelenting dedication to the pursuit and achievement of positive outcomes for all our stakeholders.</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Reflections on 2024:</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Strategic Plan Execution</w:t>
      </w:r>
    </w:p>
    <w:p>
      <w:pPr>
        <w:spacing w:after="0" w:line="122" w:lineRule="exact"/>
        <w:rPr>
          <w:sz w:val="20"/>
          <w:szCs w:val="20"/>
          <w:color w:val="auto"/>
        </w:rPr>
      </w:pPr>
    </w:p>
    <w:p>
      <w:pPr>
        <w:ind w:left="740" w:right="40"/>
        <w:spacing w:after="0" w:line="269" w:lineRule="auto"/>
        <w:rPr>
          <w:sz w:val="20"/>
          <w:szCs w:val="20"/>
          <w:color w:val="auto"/>
        </w:rPr>
      </w:pPr>
      <w:r>
        <w:rPr>
          <w:rFonts w:ascii="Arial" w:cs="Arial" w:eastAsia="Arial" w:hAnsi="Arial"/>
          <w:sz w:val="15"/>
          <w:szCs w:val="15"/>
          <w:color w:val="auto"/>
        </w:rPr>
        <w:t>In 2024 (the fourth year under CenterPoint Energy’s ten-year capital plan), CenterPoint Energy continued to focus on resiliency investments across our service territory for the benefit of customers and other stakeholders and accelerated such investments in the second half of the year as part of the Company’s Greater Houston Resiliency Initiative (GHRI). The GHRI, announced in August of 2024, includes targeted actions designed to enhance the resiliency and reliability of the Company’s grid in the Greater Houston area, as well as improve our communications with the objective of surpassing the expectations of our customers and improving their experiences. As further described in the Compensation Discussion &amp; Analysis of the Proxy Statement, even with these investments, the Company met its non-GAAP Adjusted EPS growth rate target for 2024. Additionally, in 2024, we made beneficial regulatory progress on five rate cases in four of the states we serve. Of those five rate cases, we have final orders for two, and we are awaiting final approval in two others. Those four rate cases together represent 80% of our enterprise rate base. As we move forward, both our management team and Board remain focused on successfully executing the Company’s long-term strategic plan.</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Board Changes</w:t>
      </w:r>
    </w:p>
    <w:p>
      <w:pPr>
        <w:spacing w:after="0" w:line="122" w:lineRule="exact"/>
        <w:rPr>
          <w:sz w:val="20"/>
          <w:szCs w:val="20"/>
          <w:color w:val="auto"/>
        </w:rPr>
      </w:pPr>
    </w:p>
    <w:p>
      <w:pPr>
        <w:ind w:left="740" w:right="240"/>
        <w:spacing w:after="0" w:line="259" w:lineRule="auto"/>
        <w:rPr>
          <w:sz w:val="20"/>
          <w:szCs w:val="20"/>
          <w:color w:val="auto"/>
        </w:rPr>
      </w:pPr>
      <w:r>
        <w:rPr>
          <w:rFonts w:ascii="Arial" w:cs="Arial" w:eastAsia="Arial" w:hAnsi="Arial"/>
          <w:sz w:val="16"/>
          <w:szCs w:val="16"/>
          <w:color w:val="auto"/>
        </w:rPr>
        <w:t>A Board composed of directors who have a comprehensive and complementary mix of skills, experiences, and qualifications is critical to our Board’s ability to oversee the Company’s strategy and is vital to the Board’s oversight of the Company’s risk management. As part of the Board’s ongoing refreshment process, the Board is excited to nominate our newest director, Dean L. Seavers, as well as new director candidates Ms. Laurie L. Fitch and Mr. Manuel B. Miranda, to the Board.</w:t>
      </w:r>
    </w:p>
    <w:p>
      <w:pPr>
        <w:spacing w:after="0" w:line="214" w:lineRule="exact"/>
        <w:rPr>
          <w:sz w:val="20"/>
          <w:szCs w:val="20"/>
          <w:color w:val="auto"/>
        </w:rPr>
      </w:pPr>
    </w:p>
    <w:p>
      <w:pPr>
        <w:ind w:left="740"/>
        <w:spacing w:after="0"/>
        <w:tabs>
          <w:tab w:leader="none" w:pos="7180" w:val="left"/>
        </w:tabs>
        <w:rPr>
          <w:sz w:val="20"/>
          <w:szCs w:val="20"/>
          <w:color w:val="auto"/>
        </w:rPr>
      </w:pPr>
      <w:r>
        <w:rPr>
          <w:rFonts w:ascii="Arial" w:cs="Arial" w:eastAsia="Arial" w:hAnsi="Arial"/>
          <w:sz w:val="12"/>
          <w:szCs w:val="12"/>
          <w:b w:val="1"/>
          <w:bCs w:val="1"/>
          <w:color w:val="6EC4E8"/>
        </w:rPr>
        <w:t>​</w:t>
      </w:r>
      <w:r>
        <w:rPr>
          <w:sz w:val="20"/>
          <w:szCs w:val="20"/>
          <w:color w:val="auto"/>
        </w:rPr>
        <w:tab/>
      </w:r>
      <w:r>
        <w:rPr>
          <w:rFonts w:ascii="Arial" w:cs="Arial" w:eastAsia="Arial" w:hAnsi="Arial"/>
          <w:sz w:val="12"/>
          <w:szCs w:val="12"/>
          <w:b w:val="1"/>
          <w:bCs w:val="1"/>
          <w:color w:val="6EC4E8"/>
        </w:rPr>
        <w:t xml:space="preserve">CenterPoint Energy, Inc.  </w:t>
      </w:r>
      <w:r>
        <w:rPr>
          <w:rFonts w:ascii="Arial" w:cs="Arial" w:eastAsia="Arial" w:hAnsi="Arial"/>
          <w:sz w:val="12"/>
          <w:szCs w:val="12"/>
          <w:color w:val="000000"/>
        </w:rPr>
        <w:t>2025 Proxy Statement</w:t>
      </w:r>
      <w:r>
        <w:rPr>
          <w:rFonts w:ascii="Arial" w:cs="Arial" w:eastAsia="Arial" w:hAnsi="Arial"/>
          <w:sz w:val="12"/>
          <w:szCs w:val="12"/>
          <w:b w:val="1"/>
          <w:bCs w:val="1"/>
          <w:color w:val="6EC4E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740" w:right="920"/>
        <w:spacing w:after="0" w:line="276" w:lineRule="auto"/>
        <w:rPr>
          <w:sz w:val="20"/>
          <w:szCs w:val="20"/>
          <w:color w:val="auto"/>
        </w:rPr>
      </w:pPr>
      <w:r>
        <w:rPr>
          <w:rFonts w:ascii="Arial" w:cs="Arial" w:eastAsia="Arial" w:hAnsi="Arial"/>
          <w:sz w:val="15"/>
          <w:szCs w:val="15"/>
          <w:color w:val="auto"/>
        </w:rPr>
        <w:t>Mr. Seavers has extensive leadership experience in the utility, safety, and security industries and a proven track record of driving growth and operational improvements. The Board benefits from Mr. Seavers’s contributions as the Company remains focused on delivering value for our customers, shareholders, and other stakeholders while executing on our long-term growth strategy.</w:t>
      </w:r>
    </w:p>
    <w:p>
      <w:pPr>
        <w:spacing w:after="0" w:line="1" w:lineRule="exact"/>
        <w:rPr>
          <w:sz w:val="20"/>
          <w:szCs w:val="20"/>
          <w:color w:val="auto"/>
        </w:rPr>
      </w:pPr>
    </w:p>
    <w:p>
      <w:pPr>
        <w:ind w:left="740" w:right="740"/>
        <w:spacing w:after="0" w:line="281" w:lineRule="auto"/>
        <w:rPr>
          <w:sz w:val="20"/>
          <w:szCs w:val="20"/>
          <w:color w:val="auto"/>
        </w:rPr>
      </w:pPr>
      <w:r>
        <w:rPr>
          <w:rFonts w:ascii="Arial" w:cs="Arial" w:eastAsia="Arial" w:hAnsi="Arial"/>
          <w:sz w:val="15"/>
          <w:szCs w:val="15"/>
          <w:color w:val="auto"/>
        </w:rPr>
        <w:t>Ms. Fitch has significant financial expertise as an institutional equity investor and investment banker focused on, among others, the utility sector. If she is elected, CenterPoint Energy will benefit from Ms. Fitch’s experience as we continue to make and finance significant capital investments focused on additional system resiliency, reliability, and grid modernization pursuant to our robust ten-year capital plan. Mr. Miranda has over 40 years of experience in the utility industry overseeing efforts to significantly strengthen system resiliency, reliability, and safety, including playing an important role in changing the industry’s approach to hurricane resiliency, introducing the concept of grid hardening, and leading restoration efforts for nearly 50 tropical storms and hurricanes. If elected, Mr. Miranda will provide valuable perspectives to CenterPoint Energy as we continue our GHRI and execute our recently filed, multi-year Systemwide Resiliency Plan (SRP), which proposes a historic resiliency investment for the benefit of our customers and other stakeholders and a major step on our commitment to building the most resilient coastal grid in the country.</w:t>
      </w:r>
    </w:p>
    <w:p>
      <w:pPr>
        <w:spacing w:after="0" w:line="97" w:lineRule="exact"/>
        <w:rPr>
          <w:sz w:val="20"/>
          <w:szCs w:val="20"/>
          <w:color w:val="auto"/>
        </w:rPr>
      </w:pPr>
    </w:p>
    <w:p>
      <w:pPr>
        <w:ind w:left="740" w:right="800"/>
        <w:spacing w:after="0" w:line="269" w:lineRule="auto"/>
        <w:rPr>
          <w:sz w:val="20"/>
          <w:szCs w:val="20"/>
          <w:color w:val="auto"/>
        </w:rPr>
      </w:pPr>
      <w:r>
        <w:rPr>
          <w:rFonts w:ascii="Arial" w:cs="Arial" w:eastAsia="Arial" w:hAnsi="Arial"/>
          <w:sz w:val="16"/>
          <w:szCs w:val="16"/>
          <w:color w:val="auto"/>
        </w:rPr>
        <w:t>Furthermore, in April 2024, the Safety and Operations Committee, a new standing committee of the Board, was formed. This committee provides oversight of the Company’s safety performance, risks, and processes, as well as the Company’s utility operations, including related risks, strategies, performance, and emergency preparedness and response practices. The Safety and Operations Committee plays an important oversight role as the Company continues to focus on safety and reliability while executing our ten-year capital plan.</w:t>
      </w:r>
    </w:p>
    <w:p>
      <w:pPr>
        <w:spacing w:after="0" w:line="103" w:lineRule="exact"/>
        <w:rPr>
          <w:sz w:val="20"/>
          <w:szCs w:val="20"/>
          <w:color w:val="auto"/>
        </w:rPr>
      </w:pPr>
    </w:p>
    <w:p>
      <w:pPr>
        <w:ind w:left="740" w:right="840"/>
        <w:spacing w:after="0" w:line="275" w:lineRule="auto"/>
        <w:rPr>
          <w:sz w:val="20"/>
          <w:szCs w:val="20"/>
          <w:color w:val="auto"/>
        </w:rPr>
      </w:pPr>
      <w:r>
        <w:rPr>
          <w:rFonts w:ascii="Arial" w:cs="Arial" w:eastAsia="Arial" w:hAnsi="Arial"/>
          <w:sz w:val="16"/>
          <w:szCs w:val="16"/>
          <w:color w:val="auto"/>
        </w:rPr>
        <w:t>Finally, we also would like to take this opportunity to thank Earl Cummings and Ricky Raven for their commitment to serving CenterPoint Energy and for their valuable contributions to the Board. For further information on our nominees to the Board, please see Item 1. Election of Directors in the Proxy Statement.</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Executive Succession Planning</w:t>
      </w:r>
    </w:p>
    <w:p>
      <w:pPr>
        <w:spacing w:after="0" w:line="122" w:lineRule="exact"/>
        <w:rPr>
          <w:sz w:val="20"/>
          <w:szCs w:val="20"/>
          <w:color w:val="auto"/>
        </w:rPr>
      </w:pPr>
    </w:p>
    <w:p>
      <w:pPr>
        <w:jc w:val="both"/>
        <w:ind w:left="740" w:right="840"/>
        <w:spacing w:after="0" w:line="275" w:lineRule="auto"/>
        <w:rPr>
          <w:sz w:val="20"/>
          <w:szCs w:val="20"/>
          <w:color w:val="auto"/>
        </w:rPr>
      </w:pPr>
      <w:r>
        <w:rPr>
          <w:rFonts w:ascii="Arial" w:cs="Arial" w:eastAsia="Arial" w:hAnsi="Arial"/>
          <w:sz w:val="16"/>
          <w:szCs w:val="16"/>
          <w:color w:val="auto"/>
        </w:rPr>
        <w:t>One of the key responsibilities of the Board is overseeing executive succession planning so that we have a qualified management team to execute the Company’s strategy and to support a smooth work transition when organizational changes occur. In 2024, the Board continued to oversee and advise on executive succession planning and strategy.</w:t>
      </w:r>
    </w:p>
    <w:p>
      <w:pPr>
        <w:spacing w:after="0" w:line="110" w:lineRule="exact"/>
        <w:rPr>
          <w:sz w:val="20"/>
          <w:szCs w:val="20"/>
          <w:color w:val="auto"/>
        </w:rPr>
      </w:pPr>
    </w:p>
    <w:p>
      <w:pPr>
        <w:ind w:left="740" w:right="740"/>
        <w:spacing w:after="0" w:line="260" w:lineRule="auto"/>
        <w:rPr>
          <w:sz w:val="20"/>
          <w:szCs w:val="20"/>
          <w:color w:val="auto"/>
        </w:rPr>
      </w:pPr>
      <w:r>
        <w:rPr>
          <w:rFonts w:ascii="Arial" w:cs="Arial" w:eastAsia="Arial" w:hAnsi="Arial"/>
          <w:sz w:val="16"/>
          <w:szCs w:val="16"/>
          <w:color w:val="auto"/>
        </w:rPr>
        <w:t>Effective upon the retirement of Dave Lesar on January 5, 2024, the Board appointed Jason Wells as President and Chief Executive Officer. Under Jason’s leadership, and with the full support of the Board, CenterPoint Energy remains focused on continuing to execute its long-term strategic plan. Additionally, in 2024, the Company announced newly created Senior Vice President roles and appointments, including Chief Communications Officer, Chief Information Security Officer, and Senior Vice President of Emergency Preparedness and Response. The creation of these roles and appointment of highly experienced leaders to fill them will help the Company continue to enhance communications and emergency preparedness and response strategies and practices, while also enabling the Company to continue to advance its long-term strategic objectives, including the provision of resilient, reliable, and affordable energy for the benefit of our customers and other stakeholders. Further, in December 2024, the Company announced the retirement of Lynne Harkel-Rumford, who served as our Executive Vice President Chief Human Resources Officer from 2022 to 2024 and continued to serve as a senior advisor to Mr. Wells until her retirement from the Company on February 3, 2025, and the appointment of a new Senior Vice President and Chief Human Resources Officer, effective January 1, 2025. We would like to take this opportunity to thank Ms. Harkel-Rumford for her over 25 years of service and valuable contributions to CenterPoint Energy.</w:t>
      </w:r>
    </w:p>
    <w:p>
      <w:pPr>
        <w:spacing w:after="0" w:line="122" w:lineRule="exact"/>
        <w:rPr>
          <w:sz w:val="20"/>
          <w:szCs w:val="20"/>
          <w:color w:val="auto"/>
        </w:rPr>
      </w:pPr>
    </w:p>
    <w:p>
      <w:pPr>
        <w:jc w:val="both"/>
        <w:ind w:left="740" w:right="760"/>
        <w:spacing w:after="0" w:line="275" w:lineRule="auto"/>
        <w:rPr>
          <w:sz w:val="20"/>
          <w:szCs w:val="20"/>
          <w:color w:val="auto"/>
        </w:rPr>
      </w:pPr>
      <w:r>
        <w:rPr>
          <w:rFonts w:ascii="Arial" w:cs="Arial" w:eastAsia="Arial" w:hAnsi="Arial"/>
          <w:sz w:val="16"/>
          <w:szCs w:val="16"/>
          <w:color w:val="auto"/>
        </w:rPr>
        <w:t>As a result of the Board’s continued execution of its executive succession planning, the Company implemented a more streamlined organizational structure that promoted smooth transitions of various company leadership positions while allowing the Company and its leadership team to continue to execute on the Company’s long-term strategic plan.</w:t>
      </w:r>
    </w:p>
    <w:p>
      <w:pPr>
        <w:spacing w:after="0" w:line="97" w:lineRule="exact"/>
        <w:rPr>
          <w:sz w:val="20"/>
          <w:szCs w:val="20"/>
          <w:color w:val="auto"/>
        </w:rPr>
      </w:pPr>
    </w:p>
    <w:p>
      <w:pPr>
        <w:jc w:val="both"/>
        <w:ind w:left="740" w:right="1300"/>
        <w:spacing w:after="0" w:line="284" w:lineRule="auto"/>
        <w:rPr>
          <w:sz w:val="20"/>
          <w:szCs w:val="20"/>
          <w:color w:val="auto"/>
        </w:rPr>
      </w:pPr>
      <w:r>
        <w:rPr>
          <w:rFonts w:ascii="Arial" w:cs="Arial" w:eastAsia="Arial" w:hAnsi="Arial"/>
          <w:sz w:val="16"/>
          <w:szCs w:val="16"/>
          <w:color w:val="auto"/>
        </w:rPr>
        <w:t>Finally, your vote is important to us. Whether or not you plan to participate in the Annual Meeting, we encourage you to vote promptly. You may vote on the internet; by telephone; or by completing, signing, dating, and returning a proxy card or voting instruction form.</w:t>
      </w:r>
    </w:p>
    <w:p>
      <w:pPr>
        <w:spacing w:after="0" w:line="8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Thank you for your investment and continued support of CenterPoint Energy.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Pr>
          <w:p>
            <w:pPr>
              <w:ind w:left="740"/>
              <w:spacing w:after="0"/>
              <w:rPr>
                <w:sz w:val="20"/>
                <w:szCs w:val="20"/>
                <w:color w:val="auto"/>
              </w:rPr>
            </w:pPr>
            <w:r>
              <w:rPr>
                <w:rFonts w:ascii="Arial" w:cs="Arial" w:eastAsia="Arial" w:hAnsi="Arial"/>
                <w:sz w:val="16"/>
                <w:szCs w:val="16"/>
                <w:color w:val="auto"/>
                <w:w w:val="99"/>
              </w:rPr>
              <w:t>Sincerely,</w:t>
            </w: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5"/>
        </w:trPr>
        <w:tc>
          <w:tcPr>
            <w:tcW w:w="1460" w:type="dxa"/>
            <w:vAlign w:val="bottom"/>
          </w:tcPr>
          <w:p>
            <w:pPr>
              <w:ind w:left="7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2360" w:type="dxa"/>
            <w:vAlign w:val="bottom"/>
          </w:tcPr>
          <w:p>
            <w:pPr>
              <w:ind w:left="2180"/>
              <w:spacing w:after="0"/>
              <w:rPr>
                <w:sz w:val="20"/>
                <w:szCs w:val="20"/>
                <w:color w:val="auto"/>
              </w:rPr>
            </w:pPr>
            <w:r>
              <w:rPr>
                <w:rFonts w:ascii="Arial" w:cs="Arial" w:eastAsia="Arial" w:hAnsi="Arial"/>
                <w:sz w:val="16"/>
                <w:szCs w:val="16"/>
                <w:color w:val="auto"/>
              </w:rPr>
              <w:t>​ ​</w:t>
            </w:r>
          </w:p>
        </w:tc>
        <w:tc>
          <w:tcPr>
            <w:tcW w:w="4380" w:type="dxa"/>
            <w:vAlign w:val="bottom"/>
          </w:tcPr>
          <w:p>
            <w:pPr>
              <w:spacing w:after="0"/>
              <w:rPr>
                <w:sz w:val="24"/>
                <w:szCs w:val="24"/>
                <w:color w:val="auto"/>
              </w:rPr>
            </w:pPr>
          </w:p>
        </w:tc>
        <w:tc>
          <w:tcPr>
            <w:tcW w:w="1760" w:type="dxa"/>
            <w:vAlign w:val="bottom"/>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4"/>
        </w:trPr>
        <w:tc>
          <w:tcPr>
            <w:tcW w:w="146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24"/>
                <w:szCs w:val="24"/>
                <w:color w:val="auto"/>
              </w:rPr>
            </w:pPr>
          </w:p>
        </w:tc>
        <w:tc>
          <w:tcPr>
            <w:tcW w:w="2360" w:type="dxa"/>
            <w:vAlign w:val="bottom"/>
          </w:tcPr>
          <w:p>
            <w:pPr>
              <w:ind w:left="2180"/>
              <w:spacing w:after="0"/>
              <w:rPr>
                <w:sz w:val="20"/>
                <w:szCs w:val="20"/>
                <w:color w:val="auto"/>
              </w:rPr>
            </w:pPr>
            <w:r>
              <w:rPr>
                <w:rFonts w:ascii="Arial" w:cs="Arial" w:eastAsia="Arial" w:hAnsi="Arial"/>
                <w:sz w:val="16"/>
                <w:szCs w:val="16"/>
                <w:b w:val="1"/>
                <w:bCs w:val="1"/>
                <w:color w:val="auto"/>
              </w:rPr>
              <w:t>​ ​</w:t>
            </w:r>
          </w:p>
        </w:tc>
        <w:tc>
          <w:tcPr>
            <w:tcW w:w="4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Jason P. Wells</w:t>
            </w:r>
          </w:p>
        </w:tc>
        <w:tc>
          <w:tcPr>
            <w:tcW w:w="1760" w:type="dxa"/>
            <w:vAlign w:val="bottom"/>
          </w:tcPr>
          <w:p>
            <w:pPr>
              <w:ind w:left="10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0"/>
        </w:trPr>
        <w:tc>
          <w:tcPr>
            <w:tcW w:w="2220" w:type="dxa"/>
            <w:vAlign w:val="bottom"/>
            <w:gridSpan w:val="2"/>
          </w:tcPr>
          <w:p>
            <w:pPr>
              <w:ind w:left="740"/>
              <w:spacing w:after="0" w:line="81" w:lineRule="exact"/>
              <w:rPr>
                <w:sz w:val="20"/>
                <w:szCs w:val="20"/>
                <w:color w:val="auto"/>
              </w:rPr>
            </w:pPr>
            <w:r>
              <w:rPr>
                <w:rFonts w:ascii="Arial" w:cs="Arial" w:eastAsia="Arial" w:hAnsi="Arial"/>
                <w:sz w:val="9"/>
                <w:szCs w:val="9"/>
                <w:b w:val="1"/>
                <w:bCs w:val="1"/>
                <w:color w:val="auto"/>
              </w:rPr>
              <w:t>Phillip R. Smith</w:t>
            </w:r>
          </w:p>
        </w:tc>
        <w:tc>
          <w:tcPr>
            <w:tcW w:w="2360" w:type="dxa"/>
            <w:vAlign w:val="bottom"/>
          </w:tcPr>
          <w:p>
            <w:pPr>
              <w:spacing w:after="0"/>
              <w:rPr>
                <w:sz w:val="6"/>
                <w:szCs w:val="6"/>
                <w:color w:val="auto"/>
              </w:rPr>
            </w:pPr>
          </w:p>
        </w:tc>
        <w:tc>
          <w:tcPr>
            <w:tcW w:w="438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gridSpan w:val="3"/>
          </w:tcPr>
          <w:p>
            <w:pPr>
              <w:ind w:left="740"/>
              <w:spacing w:after="0"/>
              <w:rPr>
                <w:sz w:val="20"/>
                <w:szCs w:val="20"/>
                <w:color w:val="auto"/>
              </w:rPr>
            </w:pPr>
            <w:r>
              <w:rPr>
                <w:rFonts w:ascii="Arial" w:cs="Arial" w:eastAsia="Arial" w:hAnsi="Arial"/>
                <w:sz w:val="16"/>
                <w:szCs w:val="16"/>
                <w:color w:val="auto"/>
              </w:rPr>
              <w:t>Independent Chair of the Board</w:t>
            </w:r>
          </w:p>
        </w:tc>
        <w:tc>
          <w:tcPr>
            <w:tcW w:w="4380" w:type="dxa"/>
            <w:vAlign w:val="bottom"/>
          </w:tcPr>
          <w:p>
            <w:pPr>
              <w:ind w:left="40"/>
              <w:spacing w:after="0"/>
              <w:rPr>
                <w:sz w:val="20"/>
                <w:szCs w:val="20"/>
                <w:color w:val="auto"/>
              </w:rPr>
            </w:pPr>
            <w:r>
              <w:rPr>
                <w:rFonts w:ascii="Arial" w:cs="Arial" w:eastAsia="Arial" w:hAnsi="Arial"/>
                <w:sz w:val="16"/>
                <w:szCs w:val="16"/>
                <w:color w:val="auto"/>
              </w:rPr>
              <w:t>President, Chief Executive Officer and Director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4"/>
        </w:trPr>
        <w:tc>
          <w:tcPr>
            <w:tcW w:w="1460" w:type="dxa"/>
            <w:vAlign w:val="bottom"/>
          </w:tcPr>
          <w:p>
            <w:pPr>
              <w:ind w:left="740"/>
              <w:spacing w:after="0"/>
              <w:rPr>
                <w:sz w:val="20"/>
                <w:szCs w:val="20"/>
                <w:color w:val="auto"/>
              </w:rPr>
            </w:pPr>
            <w:r>
              <w:rPr>
                <w:rFonts w:ascii="Arial" w:cs="Arial" w:eastAsia="Arial" w:hAnsi="Arial"/>
                <w:sz w:val="13"/>
                <w:szCs w:val="13"/>
                <w:b w:val="1"/>
                <w:bCs w:val="1"/>
                <w:color w:val="6EC4E8"/>
                <w:w w:val="94"/>
              </w:rPr>
              <w:t>CenterPoint​</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6EC4E8"/>
                <w:w w:val="97"/>
              </w:rPr>
              <w:t>Energy, Inc.</w:t>
            </w:r>
          </w:p>
        </w:tc>
        <w:tc>
          <w:tcPr>
            <w:tcW w:w="2360" w:type="dxa"/>
            <w:vAlign w:val="bottom"/>
          </w:tcPr>
          <w:p>
            <w:pPr>
              <w:ind w:left="60"/>
              <w:spacing w:after="0"/>
              <w:rPr>
                <w:sz w:val="20"/>
                <w:szCs w:val="20"/>
                <w:color w:val="auto"/>
              </w:rPr>
            </w:pPr>
            <w:r>
              <w:rPr>
                <w:rFonts w:ascii="Arial" w:cs="Arial" w:eastAsia="Arial" w:hAnsi="Arial"/>
                <w:sz w:val="13"/>
                <w:szCs w:val="13"/>
                <w:color w:val="auto"/>
              </w:rPr>
              <w:t>2025 Proxy Statement</w:t>
            </w:r>
          </w:p>
        </w:tc>
        <w:tc>
          <w:tcPr>
            <w:tcW w:w="4380" w:type="dxa"/>
            <w:vAlign w:val="bottom"/>
          </w:tcPr>
          <w:p>
            <w:pPr>
              <w:spacing w:after="0"/>
              <w:rPr>
                <w:sz w:val="24"/>
                <w:szCs w:val="24"/>
                <w:color w:val="auto"/>
              </w:rPr>
            </w:pPr>
          </w:p>
        </w:tc>
        <w:tc>
          <w:tcPr>
            <w:tcW w:w="1760" w:type="dxa"/>
            <w:vAlign w:val="bottom"/>
          </w:tcPr>
          <w:p>
            <w:pPr>
              <w:ind w:left="1040"/>
              <w:spacing w:after="0"/>
              <w:rPr>
                <w:sz w:val="20"/>
                <w:szCs w:val="20"/>
                <w:color w:val="auto"/>
              </w:rPr>
            </w:pPr>
            <w:r>
              <w:rPr>
                <w:rFonts w:ascii="Arial" w:cs="Arial" w:eastAsia="Arial" w:hAnsi="Arial"/>
                <w:sz w:val="13"/>
                <w:szCs w:val="13"/>
                <w:b w:val="1"/>
                <w:bCs w:val="1"/>
                <w:color w:val="6EC4E8"/>
              </w:rPr>
              <w:t>​</w:t>
            </w:r>
          </w:p>
        </w:tc>
        <w:tc>
          <w:tcPr>
            <w:tcW w:w="0" w:type="dxa"/>
            <w:vAlign w:val="bottom"/>
          </w:tcPr>
          <w:p>
            <w:pPr>
              <w:spacing w:after="0"/>
              <w:rPr>
                <w:sz w:val="1"/>
                <w:szCs w:val="1"/>
                <w:color w:val="auto"/>
              </w:rPr>
            </w:pPr>
          </w:p>
        </w:tc>
      </w:tr>
      <w:tr>
        <w:trPr>
          <w:trHeight w:val="163"/>
        </w:trPr>
        <w:tc>
          <w:tcPr>
            <w:tcW w:w="14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2040255</wp:posOffset>
            </wp:positionV>
            <wp:extent cx="6806565" cy="57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5715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-1156970</wp:posOffset>
            </wp:positionV>
            <wp:extent cx="1019810"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9810" cy="33401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-1216660</wp:posOffset>
            </wp:positionV>
            <wp:extent cx="968375"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43751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6806565" cy="143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6680"/>
        <w:spacing w:after="0"/>
        <w:rPr>
          <w:sz w:val="20"/>
          <w:szCs w:val="20"/>
          <w:color w:val="auto"/>
        </w:rPr>
      </w:pPr>
      <w:r>
        <w:rPr>
          <w:rFonts w:ascii="Arial" w:cs="Arial" w:eastAsia="Arial" w:hAnsi="Arial"/>
          <w:sz w:val="34"/>
          <w:szCs w:val="34"/>
          <w:color w:val="6EC4E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501650</wp:posOffset>
            </wp:positionV>
            <wp:extent cx="68065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500" w:type="dxa"/>
            <w:vAlign w:val="bottom"/>
            <w:gridSpan w:val="3"/>
          </w:tcPr>
          <w:p>
            <w:pPr>
              <w:spacing w:after="0"/>
              <w:rPr>
                <w:sz w:val="20"/>
                <w:szCs w:val="20"/>
                <w:color w:val="auto"/>
              </w:rPr>
            </w:pPr>
            <w:r>
              <w:rPr>
                <w:rFonts w:ascii="Arial" w:cs="Arial" w:eastAsia="Arial" w:hAnsi="Arial"/>
                <w:sz w:val="18"/>
                <w:szCs w:val="18"/>
                <w:b w:val="1"/>
                <w:bCs w:val="1"/>
                <w:color w:val="6EC4E8"/>
                <w:w w:val="95"/>
              </w:rPr>
              <w:t>Proxy</w:t>
            </w:r>
            <w:r>
              <w:rPr>
                <w:rFonts w:ascii="Arial" w:cs="Arial" w:eastAsia="Arial" w:hAnsi="Arial"/>
                <w:sz w:val="18"/>
                <w:szCs w:val="18"/>
                <w:b w:val="1"/>
                <w:bCs w:val="1"/>
                <w:color w:val="000000"/>
                <w:w w:val="95"/>
              </w:rPr>
              <w:t>​</w:t>
            </w:r>
          </w:p>
        </w:tc>
        <w:tc>
          <w:tcPr>
            <w:tcW w:w="1780" w:type="dxa"/>
            <w:vAlign w:val="bottom"/>
            <w:gridSpan w:val="16"/>
          </w:tcPr>
          <w:p>
            <w:pPr>
              <w:jc w:val="center"/>
              <w:spacing w:after="0"/>
              <w:rPr>
                <w:sz w:val="20"/>
                <w:szCs w:val="20"/>
                <w:color w:val="auto"/>
              </w:rPr>
            </w:pPr>
            <w:r>
              <w:rPr>
                <w:rFonts w:ascii="Arial" w:cs="Arial" w:eastAsia="Arial" w:hAnsi="Arial"/>
                <w:sz w:val="18"/>
                <w:szCs w:val="18"/>
                <w:b w:val="1"/>
                <w:bCs w:val="1"/>
                <w:color w:val="6EC4E8"/>
                <w:w w:val="99"/>
              </w:rPr>
              <w:t>Statement Summary</w:t>
            </w:r>
          </w:p>
        </w:tc>
        <w:tc>
          <w:tcPr>
            <w:tcW w:w="1640" w:type="dxa"/>
            <w:vAlign w:val="bottom"/>
            <w:gridSpan w:val="19"/>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b w:val="1"/>
                <w:bCs w:val="1"/>
                <w:color w:val="6EC4E8"/>
              </w:rPr>
              <w:t>​</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6EC4E8"/>
                <w:w w:val="99"/>
              </w:rPr>
              <w:t>1</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6EC4E8"/>
          </w:tcPr>
          <w:p>
            <w:pPr>
              <w:spacing w:after="0" w:line="20" w:lineRule="exact"/>
              <w:rPr>
                <w:sz w:val="1"/>
                <w:szCs w:val="1"/>
                <w:color w:val="auto"/>
              </w:rPr>
            </w:pPr>
          </w:p>
        </w:tc>
        <w:tc>
          <w:tcPr>
            <w:tcW w:w="360" w:type="dxa"/>
            <w:vAlign w:val="bottom"/>
            <w:gridSpan w:val="2"/>
            <w:shd w:val="clear" w:color="auto" w:fill="6EC4E8"/>
          </w:tcPr>
          <w:p>
            <w:pPr>
              <w:spacing w:after="0" w:line="20" w:lineRule="exact"/>
              <w:rPr>
                <w:sz w:val="1"/>
                <w:szCs w:val="1"/>
                <w:color w:val="auto"/>
              </w:rPr>
            </w:pPr>
          </w:p>
        </w:tc>
        <w:tc>
          <w:tcPr>
            <w:tcW w:w="32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32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80" w:type="dxa"/>
            <w:vAlign w:val="bottom"/>
            <w:tcBorders>
              <w:left w:val="single" w:sz="8" w:color="6EC4E8"/>
            </w:tcBorders>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6EC4E8"/>
            </w:tcBorders>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Arial" w:cs="Arial" w:eastAsia="Arial" w:hAnsi="Arial"/>
                <w:sz w:val="18"/>
                <w:szCs w:val="18"/>
                <w:b w:val="1"/>
                <w:bCs w:val="1"/>
                <w:color w:val="6EC4E8"/>
                <w:w w:val="97"/>
              </w:rPr>
              <w:t>Item</w:t>
            </w:r>
            <w:r>
              <w:rPr>
                <w:rFonts w:ascii="Arial" w:cs="Arial" w:eastAsia="Arial" w:hAnsi="Arial"/>
                <w:sz w:val="18"/>
                <w:szCs w:val="18"/>
                <w:b w:val="1"/>
                <w:bCs w:val="1"/>
                <w:color w:val="000000"/>
                <w:w w:val="97"/>
              </w:rPr>
              <w:t>​</w:t>
            </w:r>
          </w:p>
        </w:tc>
        <w:tc>
          <w:tcPr>
            <w:tcW w:w="1980" w:type="dxa"/>
            <w:vAlign w:val="bottom"/>
            <w:gridSpan w:val="18"/>
          </w:tcPr>
          <w:p>
            <w:pPr>
              <w:jc w:val="center"/>
              <w:spacing w:after="0"/>
              <w:rPr>
                <w:sz w:val="20"/>
                <w:szCs w:val="20"/>
                <w:color w:val="auto"/>
              </w:rPr>
            </w:pPr>
            <w:r>
              <w:rPr>
                <w:rFonts w:ascii="Arial" w:cs="Arial" w:eastAsia="Arial" w:hAnsi="Arial"/>
                <w:sz w:val="18"/>
                <w:szCs w:val="18"/>
                <w:b w:val="1"/>
                <w:bCs w:val="1"/>
                <w:color w:val="6EC4E8"/>
                <w:w w:val="99"/>
              </w:rPr>
              <w:t>1: Election of Directors</w:t>
            </w:r>
          </w:p>
        </w:tc>
        <w:tc>
          <w:tcPr>
            <w:tcW w:w="1560" w:type="dxa"/>
            <w:vAlign w:val="bottom"/>
            <w:gridSpan w:val="18"/>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b w:val="1"/>
                <w:bCs w:val="1"/>
                <w:color w:val="6EC4E8"/>
              </w:rPr>
              <w:t>​</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6EC4E8"/>
                <w:w w:val="99"/>
              </w:rPr>
              <w:t>6</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20"/>
        </w:trPr>
        <w:tc>
          <w:tcPr>
            <w:tcW w:w="160" w:type="dxa"/>
            <w:vAlign w:val="bottom"/>
            <w:shd w:val="clear" w:color="auto" w:fill="6EC4E8"/>
          </w:tcPr>
          <w:p>
            <w:pPr>
              <w:spacing w:after="0" w:line="20" w:lineRule="exact"/>
              <w:rPr>
                <w:sz w:val="1"/>
                <w:szCs w:val="1"/>
                <w:color w:val="auto"/>
              </w:rPr>
            </w:pPr>
          </w:p>
        </w:tc>
        <w:tc>
          <w:tcPr>
            <w:tcW w:w="580" w:type="dxa"/>
            <w:vAlign w:val="bottom"/>
            <w:gridSpan w:val="3"/>
            <w:shd w:val="clear" w:color="auto" w:fill="6EC4E8"/>
          </w:tcPr>
          <w:p>
            <w:pPr>
              <w:spacing w:after="0" w:line="20" w:lineRule="exact"/>
              <w:rPr>
                <w:sz w:val="1"/>
                <w:szCs w:val="1"/>
                <w:color w:val="auto"/>
              </w:rPr>
            </w:pPr>
          </w:p>
        </w:tc>
        <w:tc>
          <w:tcPr>
            <w:tcW w:w="32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32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80" w:type="dxa"/>
            <w:vAlign w:val="bottom"/>
            <w:tcBorders>
              <w:left w:val="single" w:sz="8" w:color="6EC4E8"/>
            </w:tcBorders>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160" w:type="dxa"/>
            <w:vAlign w:val="bottom"/>
            <w:gridSpan w:val="2"/>
            <w:shd w:val="clear" w:color="auto" w:fill="6EC4E8"/>
          </w:tcPr>
          <w:p>
            <w:pPr>
              <w:spacing w:after="0" w:line="20" w:lineRule="exact"/>
              <w:rPr>
                <w:sz w:val="1"/>
                <w:szCs w:val="1"/>
                <w:color w:val="auto"/>
              </w:rPr>
            </w:pPr>
          </w:p>
        </w:tc>
        <w:tc>
          <w:tcPr>
            <w:tcW w:w="40" w:type="dxa"/>
            <w:vAlign w:val="bottom"/>
            <w:tcBorders>
              <w:left w:val="single" w:sz="8" w:color="6EC4E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6EC4E8"/>
            </w:tcBorders>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200" w:type="dxa"/>
            <w:vAlign w:val="bottom"/>
            <w:gridSpan w:val="19"/>
          </w:tcPr>
          <w:p>
            <w:pPr>
              <w:spacing w:after="0"/>
              <w:rPr>
                <w:sz w:val="20"/>
                <w:szCs w:val="20"/>
                <w:color w:val="auto"/>
              </w:rPr>
            </w:pPr>
            <w:r>
              <w:rPr>
                <w:rFonts w:ascii="Arial" w:cs="Arial" w:eastAsia="Arial" w:hAnsi="Arial"/>
                <w:sz w:val="16"/>
                <w:szCs w:val="16"/>
                <w:color w:val="0000EE"/>
              </w:rPr>
              <w:t>Nominees for Directors</w:t>
            </w:r>
          </w:p>
        </w:tc>
        <w:tc>
          <w:tcPr>
            <w:tcW w:w="1560" w:type="dxa"/>
            <w:vAlign w:val="bottom"/>
            <w:gridSpan w:val="18"/>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6</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3760" w:type="dxa"/>
            <w:vAlign w:val="bottom"/>
            <w:gridSpan w:val="37"/>
          </w:tcPr>
          <w:p>
            <w:pPr>
              <w:spacing w:after="0" w:line="183" w:lineRule="exact"/>
              <w:rPr>
                <w:sz w:val="20"/>
                <w:szCs w:val="20"/>
                <w:color w:val="auto"/>
              </w:rPr>
            </w:pPr>
            <w:r>
              <w:rPr>
                <w:rFonts w:ascii="Arial" w:cs="Arial" w:eastAsia="Arial" w:hAnsi="Arial"/>
                <w:sz w:val="16"/>
                <w:szCs w:val="16"/>
                <w:color w:val="0000EE"/>
              </w:rPr>
              <w:t>Director Nomination Process</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Annual Board Assessment and Director Evaluation</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3540" w:type="dxa"/>
            <w:vAlign w:val="bottom"/>
            <w:gridSpan w:val="36"/>
          </w:tcPr>
          <w:p>
            <w:pPr>
              <w:spacing w:after="0" w:line="183" w:lineRule="exact"/>
              <w:rPr>
                <w:sz w:val="20"/>
                <w:szCs w:val="20"/>
                <w:color w:val="auto"/>
              </w:rPr>
            </w:pPr>
            <w:r>
              <w:rPr>
                <w:rFonts w:ascii="Arial" w:cs="Arial" w:eastAsia="Arial" w:hAnsi="Arial"/>
                <w:sz w:val="16"/>
                <w:szCs w:val="16"/>
                <w:color w:val="0000EE"/>
              </w:rPr>
              <w:t>Director Independence</w:t>
            </w:r>
          </w:p>
        </w:tc>
        <w:tc>
          <w:tcPr>
            <w:tcW w:w="220" w:type="dxa"/>
            <w:vAlign w:val="bottom"/>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520" w:type="dxa"/>
            <w:vAlign w:val="bottom"/>
            <w:gridSpan w:val="10"/>
          </w:tcPr>
          <w:p>
            <w:pPr>
              <w:spacing w:after="0" w:line="183" w:lineRule="exact"/>
              <w:rPr>
                <w:sz w:val="20"/>
                <w:szCs w:val="20"/>
                <w:color w:val="auto"/>
              </w:rPr>
            </w:pPr>
            <w:r>
              <w:rPr>
                <w:rFonts w:ascii="Arial" w:cs="Arial" w:eastAsia="Arial" w:hAnsi="Arial"/>
                <w:sz w:val="16"/>
                <w:szCs w:val="16"/>
                <w:color w:val="0000EE"/>
                <w:w w:val="97"/>
              </w:rPr>
              <w:t>Insider Trading Policy</w:t>
            </w:r>
          </w:p>
        </w:tc>
        <w:tc>
          <w:tcPr>
            <w:tcW w:w="20" w:type="dxa"/>
            <w:vAlign w:val="bottom"/>
          </w:tcPr>
          <w:p>
            <w:pPr>
              <w:spacing w:after="0"/>
              <w:rPr>
                <w:sz w:val="15"/>
                <w:szCs w:val="15"/>
                <w:color w:val="auto"/>
              </w:rPr>
            </w:pPr>
          </w:p>
        </w:tc>
        <w:tc>
          <w:tcPr>
            <w:tcW w:w="2220" w:type="dxa"/>
            <w:vAlign w:val="bottom"/>
            <w:gridSpan w:val="26"/>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Code of Ethics and Ethics and Compliance Code</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440" w:type="dxa"/>
            <w:vAlign w:val="bottom"/>
            <w:gridSpan w:val="35"/>
          </w:tcPr>
          <w:p>
            <w:pPr>
              <w:spacing w:after="0" w:line="183" w:lineRule="exact"/>
              <w:rPr>
                <w:sz w:val="20"/>
                <w:szCs w:val="20"/>
                <w:color w:val="auto"/>
              </w:rPr>
            </w:pPr>
            <w:r>
              <w:rPr>
                <w:rFonts w:ascii="Arial" w:cs="Arial" w:eastAsia="Arial" w:hAnsi="Arial"/>
                <w:sz w:val="16"/>
                <w:szCs w:val="16"/>
                <w:color w:val="0000EE"/>
              </w:rPr>
              <w:t>Conflicts of Interest and Related-Party</w:t>
            </w:r>
          </w:p>
        </w:tc>
        <w:tc>
          <w:tcPr>
            <w:tcW w:w="320" w:type="dxa"/>
            <w:vAlign w:val="bottom"/>
            <w:gridSpan w:val="2"/>
          </w:tcPr>
          <w:p>
            <w:pPr>
              <w:spacing w:after="0"/>
              <w:rPr>
                <w:sz w:val="15"/>
                <w:szCs w:val="15"/>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272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rPr>
              <w:t>Transactions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gridSpan w:val="38"/>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Majority Voting in Director Elections</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6"/>
          </w:tcPr>
          <w:p>
            <w:pPr>
              <w:spacing w:after="0" w:line="183" w:lineRule="exact"/>
              <w:rPr>
                <w:sz w:val="20"/>
                <w:szCs w:val="20"/>
                <w:color w:val="auto"/>
              </w:rPr>
            </w:pPr>
            <w:r>
              <w:rPr>
                <w:rFonts w:ascii="Arial" w:cs="Arial" w:eastAsia="Arial" w:hAnsi="Arial"/>
                <w:sz w:val="16"/>
                <w:szCs w:val="16"/>
                <w:color w:val="0000EE"/>
                <w:w w:val="98"/>
              </w:rPr>
              <w:t>Board Leadership</w:t>
            </w:r>
          </w:p>
        </w:tc>
        <w:tc>
          <w:tcPr>
            <w:tcW w:w="1220" w:type="dxa"/>
            <w:vAlign w:val="bottom"/>
            <w:gridSpan w:val="17"/>
          </w:tcPr>
          <w:p>
            <w:pPr>
              <w:spacing w:after="0"/>
              <w:rPr>
                <w:sz w:val="15"/>
                <w:szCs w:val="15"/>
                <w:color w:val="auto"/>
              </w:rPr>
            </w:pPr>
          </w:p>
        </w:tc>
        <w:tc>
          <w:tcPr>
            <w:tcW w:w="1280" w:type="dxa"/>
            <w:vAlign w:val="bottom"/>
            <w:gridSpan w:val="14"/>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The Board’s Role in Risk Oversight</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line="183" w:lineRule="exact"/>
              <w:rPr>
                <w:sz w:val="20"/>
                <w:szCs w:val="20"/>
                <w:color w:val="auto"/>
              </w:rPr>
            </w:pPr>
            <w:r>
              <w:rPr>
                <w:rFonts w:ascii="Arial" w:cs="Arial" w:eastAsia="Arial" w:hAnsi="Arial"/>
                <w:sz w:val="16"/>
                <w:szCs w:val="16"/>
                <w:color w:val="0000EE"/>
              </w:rPr>
              <w:t>Executive Succession Planning and Leadership</w:t>
            </w: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94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w w:val="97"/>
              </w:rPr>
              <w:t>Development</w:t>
            </w:r>
          </w:p>
        </w:tc>
        <w:tc>
          <w:tcPr>
            <w:tcW w:w="2420" w:type="dxa"/>
            <w:vAlign w:val="bottom"/>
            <w:tcBorders>
              <w:top w:val="single" w:sz="8" w:color="0000EE"/>
            </w:tcBorders>
            <w:gridSpan w:val="29"/>
          </w:tcPr>
          <w:p>
            <w:pPr>
              <w:spacing w:after="0"/>
              <w:rPr>
                <w:sz w:val="14"/>
                <w:szCs w:val="14"/>
                <w:color w:val="auto"/>
              </w:rPr>
            </w:pPr>
          </w:p>
        </w:tc>
        <w:tc>
          <w:tcPr>
            <w:tcW w:w="1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rPr>
                <w:sz w:val="20"/>
                <w:szCs w:val="20"/>
                <w:color w:val="auto"/>
              </w:rPr>
            </w:pPr>
            <w:r>
              <w:rPr>
                <w:rFonts w:ascii="Arial" w:cs="Arial" w:eastAsia="Arial" w:hAnsi="Arial"/>
                <w:sz w:val="16"/>
                <w:szCs w:val="16"/>
                <w:color w:val="0000EE"/>
              </w:rPr>
              <w:t>Director Attendance</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Board Organization and Committees</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27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820" w:type="dxa"/>
            <w:vAlign w:val="bottom"/>
            <w:gridSpan w:val="14"/>
          </w:tcPr>
          <w:p>
            <w:pPr>
              <w:spacing w:after="0" w:line="183" w:lineRule="exact"/>
              <w:rPr>
                <w:sz w:val="20"/>
                <w:szCs w:val="20"/>
                <w:color w:val="auto"/>
              </w:rPr>
            </w:pPr>
            <w:r>
              <w:rPr>
                <w:rFonts w:ascii="Arial" w:cs="Arial" w:eastAsia="Arial" w:hAnsi="Arial"/>
                <w:sz w:val="16"/>
                <w:szCs w:val="16"/>
                <w:color w:val="0000EE"/>
                <w:w w:val="98"/>
              </w:rPr>
              <w:t>Shareholder Engagement</w:t>
            </w:r>
          </w:p>
        </w:tc>
        <w:tc>
          <w:tcPr>
            <w:tcW w:w="740" w:type="dxa"/>
            <w:vAlign w:val="bottom"/>
            <w:gridSpan w:val="10"/>
          </w:tcPr>
          <w:p>
            <w:pPr>
              <w:spacing w:after="0"/>
              <w:rPr>
                <w:sz w:val="15"/>
                <w:szCs w:val="15"/>
                <w:color w:val="auto"/>
              </w:rPr>
            </w:pPr>
          </w:p>
        </w:tc>
        <w:tc>
          <w:tcPr>
            <w:tcW w:w="1200" w:type="dxa"/>
            <w:vAlign w:val="bottom"/>
            <w:gridSpan w:val="13"/>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0" w:type="dxa"/>
            <w:vAlign w:val="bottom"/>
            <w:gridSpan w:val="19"/>
          </w:tcPr>
          <w:p>
            <w:pPr>
              <w:spacing w:after="0" w:line="183" w:lineRule="exact"/>
              <w:rPr>
                <w:sz w:val="20"/>
                <w:szCs w:val="20"/>
                <w:color w:val="auto"/>
              </w:rPr>
            </w:pPr>
            <w:r>
              <w:rPr>
                <w:rFonts w:ascii="Arial" w:cs="Arial" w:eastAsia="Arial" w:hAnsi="Arial"/>
                <w:sz w:val="16"/>
                <w:szCs w:val="16"/>
                <w:color w:val="0000EE"/>
                <w:w w:val="97"/>
              </w:rPr>
              <w:t>Communications with Directors</w:t>
            </w:r>
          </w:p>
        </w:tc>
        <w:tc>
          <w:tcPr>
            <w:tcW w:w="1560" w:type="dxa"/>
            <w:vAlign w:val="bottom"/>
            <w:gridSpan w:val="18"/>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Website Availability of Documents</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380" w:type="dxa"/>
            <w:vAlign w:val="bottom"/>
            <w:gridSpan w:val="21"/>
          </w:tcPr>
          <w:p>
            <w:pPr>
              <w:spacing w:after="0" w:line="183" w:lineRule="exact"/>
              <w:rPr>
                <w:sz w:val="20"/>
                <w:szCs w:val="20"/>
                <w:color w:val="auto"/>
              </w:rPr>
            </w:pPr>
            <w:r>
              <w:rPr>
                <w:rFonts w:ascii="Arial" w:cs="Arial" w:eastAsia="Arial" w:hAnsi="Arial"/>
                <w:sz w:val="16"/>
                <w:szCs w:val="16"/>
                <w:color w:val="0000EE"/>
              </w:rPr>
              <w:t>Compensation of Directors</w:t>
            </w:r>
          </w:p>
        </w:tc>
        <w:tc>
          <w:tcPr>
            <w:tcW w:w="1380" w:type="dxa"/>
            <w:vAlign w:val="bottom"/>
            <w:gridSpan w:val="16"/>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3760" w:type="dxa"/>
            <w:vAlign w:val="bottom"/>
            <w:gridSpan w:val="37"/>
          </w:tcPr>
          <w:p>
            <w:pPr>
              <w:spacing w:after="0" w:line="183" w:lineRule="exact"/>
              <w:rPr>
                <w:sz w:val="20"/>
                <w:szCs w:val="20"/>
                <w:color w:val="auto"/>
              </w:rPr>
            </w:pPr>
            <w:r>
              <w:rPr>
                <w:rFonts w:ascii="Arial" w:cs="Arial" w:eastAsia="Arial" w:hAnsi="Arial"/>
                <w:sz w:val="16"/>
                <w:szCs w:val="16"/>
                <w:color w:val="0000EE"/>
              </w:rPr>
              <w:t>Director Compensation Table</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gridSpan w:val="8"/>
          </w:tcPr>
          <w:p>
            <w:pPr>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b w:val="1"/>
                <w:bCs w:val="1"/>
                <w:color w:val="6EC4E8"/>
                <w:w w:val="97"/>
              </w:rPr>
              <w:t>Stock Ownership</w:t>
            </w:r>
          </w:p>
        </w:tc>
        <w:tc>
          <w:tcPr>
            <w:tcW w:w="2460" w:type="dxa"/>
            <w:vAlign w:val="bottom"/>
            <w:gridSpan w:val="30"/>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b w:val="1"/>
                <w:bCs w:val="1"/>
                <w:color w:val="6EC4E8"/>
              </w:rPr>
              <w:t>​ 35</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gridSpan w:val="4"/>
            <w:shd w:val="clear" w:color="auto" w:fill="6EC4E8"/>
          </w:tcPr>
          <w:p>
            <w:pPr>
              <w:spacing w:after="0" w:line="20" w:lineRule="exact"/>
              <w:rPr>
                <w:sz w:val="1"/>
                <w:szCs w:val="1"/>
                <w:color w:val="auto"/>
              </w:rPr>
            </w:pPr>
          </w:p>
        </w:tc>
        <w:tc>
          <w:tcPr>
            <w:tcW w:w="720" w:type="dxa"/>
            <w:vAlign w:val="bottom"/>
            <w:gridSpan w:val="4"/>
            <w:shd w:val="clear" w:color="auto" w:fill="6EC4E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6EC4E8"/>
            </w:tcBorders>
          </w:tcPr>
          <w:p>
            <w:pPr>
              <w:spacing w:after="0" w:line="20" w:lineRule="exact"/>
              <w:rPr>
                <w:sz w:val="1"/>
                <w:szCs w:val="1"/>
                <w:color w:val="auto"/>
              </w:rPr>
            </w:pPr>
          </w:p>
        </w:tc>
        <w:tc>
          <w:tcPr>
            <w:tcW w:w="180" w:type="dxa"/>
            <w:vAlign w:val="bottom"/>
            <w:gridSpan w:val="2"/>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gridSpan w:val="31"/>
          </w:tcPr>
          <w:p>
            <w:pPr>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b w:val="1"/>
                <w:bCs w:val="1"/>
                <w:color w:val="6EC4E8"/>
                <w:w w:val="97"/>
              </w:rPr>
              <w:t>Compensation Discussion and Analysis</w:t>
            </w:r>
          </w:p>
        </w:tc>
        <w:tc>
          <w:tcPr>
            <w:tcW w:w="540" w:type="dxa"/>
            <w:vAlign w:val="bottom"/>
            <w:gridSpan w:val="7"/>
          </w:tcPr>
          <w:p>
            <w:pPr>
              <w:spacing w:after="0"/>
              <w:rPr>
                <w:sz w:val="21"/>
                <w:szCs w:val="21"/>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b w:val="1"/>
                <w:bCs w:val="1"/>
                <w:color w:val="6EC4E8"/>
              </w:rPr>
              <w:t>​ 37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6EC4E8"/>
          </w:tcPr>
          <w:p>
            <w:pPr>
              <w:spacing w:after="0" w:line="20" w:lineRule="exact"/>
              <w:rPr>
                <w:sz w:val="1"/>
                <w:szCs w:val="1"/>
                <w:color w:val="auto"/>
              </w:rPr>
            </w:pPr>
          </w:p>
        </w:tc>
        <w:tc>
          <w:tcPr>
            <w:tcW w:w="580" w:type="dxa"/>
            <w:vAlign w:val="bottom"/>
            <w:gridSpan w:val="3"/>
            <w:shd w:val="clear" w:color="auto" w:fill="6EC4E8"/>
          </w:tcPr>
          <w:p>
            <w:pPr>
              <w:spacing w:after="0" w:line="20" w:lineRule="exact"/>
              <w:rPr>
                <w:sz w:val="1"/>
                <w:szCs w:val="1"/>
                <w:color w:val="auto"/>
              </w:rPr>
            </w:pPr>
          </w:p>
        </w:tc>
        <w:tc>
          <w:tcPr>
            <w:tcW w:w="840" w:type="dxa"/>
            <w:vAlign w:val="bottom"/>
            <w:gridSpan w:val="6"/>
            <w:shd w:val="clear" w:color="auto" w:fill="6EC4E8"/>
          </w:tcPr>
          <w:p>
            <w:pPr>
              <w:spacing w:after="0" w:line="20" w:lineRule="exact"/>
              <w:rPr>
                <w:sz w:val="1"/>
                <w:szCs w:val="1"/>
                <w:color w:val="auto"/>
              </w:rPr>
            </w:pPr>
          </w:p>
        </w:tc>
        <w:tc>
          <w:tcPr>
            <w:tcW w:w="120" w:type="dxa"/>
            <w:vAlign w:val="bottom"/>
            <w:gridSpan w:val="2"/>
            <w:shd w:val="clear" w:color="auto" w:fill="6EC4E8"/>
          </w:tcPr>
          <w:p>
            <w:pPr>
              <w:spacing w:after="0" w:line="20" w:lineRule="exact"/>
              <w:rPr>
                <w:sz w:val="1"/>
                <w:szCs w:val="1"/>
                <w:color w:val="auto"/>
              </w:rPr>
            </w:pPr>
          </w:p>
        </w:tc>
        <w:tc>
          <w:tcPr>
            <w:tcW w:w="140" w:type="dxa"/>
            <w:vAlign w:val="bottom"/>
            <w:tcBorders>
              <w:left w:val="single" w:sz="8" w:color="6EC4E8"/>
            </w:tcBorders>
            <w:gridSpan w:val="2"/>
            <w:shd w:val="clear" w:color="auto" w:fill="6EC4E8"/>
          </w:tcPr>
          <w:p>
            <w:pPr>
              <w:spacing w:after="0" w:line="20" w:lineRule="exact"/>
              <w:rPr>
                <w:sz w:val="1"/>
                <w:szCs w:val="1"/>
                <w:color w:val="auto"/>
              </w:rPr>
            </w:pPr>
          </w:p>
        </w:tc>
        <w:tc>
          <w:tcPr>
            <w:tcW w:w="560" w:type="dxa"/>
            <w:vAlign w:val="bottom"/>
            <w:gridSpan w:val="7"/>
            <w:shd w:val="clear" w:color="auto" w:fill="6EC4E8"/>
          </w:tcPr>
          <w:p>
            <w:pPr>
              <w:spacing w:after="0" w:line="20" w:lineRule="exact"/>
              <w:rPr>
                <w:sz w:val="1"/>
                <w:szCs w:val="1"/>
                <w:color w:val="auto"/>
              </w:rPr>
            </w:pPr>
          </w:p>
        </w:tc>
        <w:tc>
          <w:tcPr>
            <w:tcW w:w="160" w:type="dxa"/>
            <w:vAlign w:val="bottom"/>
            <w:gridSpan w:val="2"/>
            <w:shd w:val="clear" w:color="auto" w:fill="6EC4E8"/>
          </w:tcPr>
          <w:p>
            <w:pPr>
              <w:spacing w:after="0" w:line="20" w:lineRule="exact"/>
              <w:rPr>
                <w:sz w:val="1"/>
                <w:szCs w:val="1"/>
                <w:color w:val="auto"/>
              </w:rPr>
            </w:pPr>
          </w:p>
        </w:tc>
        <w:tc>
          <w:tcPr>
            <w:tcW w:w="160" w:type="dxa"/>
            <w:vAlign w:val="bottom"/>
            <w:gridSpan w:val="2"/>
            <w:shd w:val="clear" w:color="auto" w:fill="6EC4E8"/>
          </w:tcPr>
          <w:p>
            <w:pPr>
              <w:spacing w:after="0" w:line="20" w:lineRule="exact"/>
              <w:rPr>
                <w:sz w:val="1"/>
                <w:szCs w:val="1"/>
                <w:color w:val="auto"/>
              </w:rPr>
            </w:pPr>
          </w:p>
        </w:tc>
        <w:tc>
          <w:tcPr>
            <w:tcW w:w="260" w:type="dxa"/>
            <w:vAlign w:val="bottom"/>
            <w:tcBorders>
              <w:left w:val="single" w:sz="8" w:color="6EC4E8"/>
            </w:tcBorders>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20" w:type="dxa"/>
            <w:vAlign w:val="bottom"/>
            <w:shd w:val="clear" w:color="auto" w:fill="6EC4E8"/>
          </w:tcPr>
          <w:p>
            <w:pPr>
              <w:spacing w:after="0" w:line="20" w:lineRule="exact"/>
              <w:rPr>
                <w:sz w:val="1"/>
                <w:szCs w:val="1"/>
                <w:color w:val="auto"/>
              </w:rPr>
            </w:pPr>
          </w:p>
        </w:tc>
        <w:tc>
          <w:tcPr>
            <w:tcW w:w="20" w:type="dxa"/>
            <w:vAlign w:val="bottom"/>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60" w:type="dxa"/>
            <w:vAlign w:val="bottom"/>
            <w:tcBorders>
              <w:left w:val="single" w:sz="8" w:color="6EC4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6EC4E8"/>
            </w:tcBorders>
          </w:tcPr>
          <w:p>
            <w:pPr>
              <w:spacing w:after="0" w:line="20" w:lineRule="exact"/>
              <w:rPr>
                <w:sz w:val="1"/>
                <w:szCs w:val="1"/>
                <w:color w:val="auto"/>
              </w:rPr>
            </w:pPr>
          </w:p>
        </w:tc>
        <w:tc>
          <w:tcPr>
            <w:tcW w:w="180" w:type="dxa"/>
            <w:vAlign w:val="bottom"/>
            <w:gridSpan w:val="2"/>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gridSpan w:val="9"/>
          </w:tcPr>
          <w:p>
            <w:pPr>
              <w:spacing w:after="0"/>
              <w:rPr>
                <w:sz w:val="20"/>
                <w:szCs w:val="20"/>
                <w:color w:val="auto"/>
              </w:rPr>
            </w:pPr>
            <w:r>
              <w:rPr>
                <w:rFonts w:ascii="Arial" w:cs="Arial" w:eastAsia="Arial" w:hAnsi="Arial"/>
                <w:sz w:val="16"/>
                <w:szCs w:val="16"/>
                <w:color w:val="0000EE"/>
                <w:w w:val="98"/>
              </w:rPr>
              <w:t>Executive Summary</w:t>
            </w:r>
          </w:p>
        </w:tc>
        <w:tc>
          <w:tcPr>
            <w:tcW w:w="1800" w:type="dxa"/>
            <w:vAlign w:val="bottom"/>
            <w:gridSpan w:val="21"/>
          </w:tcPr>
          <w:p>
            <w:pPr>
              <w:spacing w:after="0"/>
              <w:rPr>
                <w:sz w:val="20"/>
                <w:szCs w:val="20"/>
                <w:color w:val="auto"/>
              </w:rPr>
            </w:pPr>
          </w:p>
        </w:tc>
        <w:tc>
          <w:tcPr>
            <w:tcW w:w="540" w:type="dxa"/>
            <w:vAlign w:val="bottom"/>
            <w:gridSpan w:val="7"/>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Executive Compensation Program Overview</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Design of Executive Compensation Program</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39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38"/>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2024 Executive Compensation Program</w:t>
            </w: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42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line="183" w:lineRule="exact"/>
              <w:rPr>
                <w:sz w:val="20"/>
                <w:szCs w:val="20"/>
                <w:color w:val="auto"/>
              </w:rPr>
            </w:pPr>
            <w:r>
              <w:rPr>
                <w:rFonts w:ascii="Arial" w:cs="Arial" w:eastAsia="Arial" w:hAnsi="Arial"/>
                <w:sz w:val="16"/>
                <w:szCs w:val="16"/>
                <w:color w:val="0000EE"/>
              </w:rPr>
              <w:t>Actions Taken Regarding 2025 Executive</w:t>
            </w: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48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168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98"/>
              </w:rPr>
              <w:t>Compensation Program</w:t>
            </w:r>
          </w:p>
        </w:tc>
        <w:tc>
          <w:tcPr>
            <w:tcW w:w="1220" w:type="dxa"/>
            <w:vAlign w:val="bottom"/>
            <w:tcBorders>
              <w:top w:val="single" w:sz="8" w:color="0000EE"/>
            </w:tcBorders>
            <w:gridSpan w:val="14"/>
          </w:tcPr>
          <w:p>
            <w:pPr>
              <w:spacing w:after="0"/>
              <w:rPr>
                <w:sz w:val="14"/>
                <w:szCs w:val="14"/>
                <w:color w:val="auto"/>
              </w:rPr>
            </w:pPr>
          </w:p>
        </w:tc>
        <w:tc>
          <w:tcPr>
            <w:tcW w:w="3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rPr>
                <w:sz w:val="20"/>
                <w:szCs w:val="20"/>
                <w:color w:val="auto"/>
              </w:rPr>
            </w:pPr>
            <w:r>
              <w:rPr>
                <w:rFonts w:ascii="Arial" w:cs="Arial" w:eastAsia="Arial" w:hAnsi="Arial"/>
                <w:sz w:val="16"/>
                <w:szCs w:val="16"/>
                <w:color w:val="0000EE"/>
              </w:rPr>
              <w:t>Our Executive Compensation Decision-Making</w:t>
            </w: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51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5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6"/>
              </w:rPr>
              <w:t>Process</w:t>
            </w:r>
          </w:p>
        </w:tc>
        <w:tc>
          <w:tcPr>
            <w:tcW w:w="2760" w:type="dxa"/>
            <w:vAlign w:val="bottom"/>
            <w:tcBorders>
              <w:top w:val="single" w:sz="8" w:color="0000EE"/>
            </w:tcBorders>
            <w:gridSpan w:val="30"/>
          </w:tcPr>
          <w:p>
            <w:pPr>
              <w:spacing w:after="0"/>
              <w:rPr>
                <w:sz w:val="14"/>
                <w:szCs w:val="14"/>
                <w:color w:val="auto"/>
              </w:rPr>
            </w:pPr>
          </w:p>
        </w:tc>
        <w:tc>
          <w:tcPr>
            <w:tcW w:w="20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gridSpan w:val="38"/>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Other Compensation Programs and Practices</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53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700" w:type="dxa"/>
            <w:vAlign w:val="bottom"/>
            <w:tcBorders>
              <w:left w:val="single" w:sz="8" w:color="0000EE"/>
            </w:tcBorders>
            <w:gridSpan w:val="9"/>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gridSpan w:val="38"/>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Executive Compensation Tables</w:t>
            </w: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b w:val="1"/>
                <w:bCs w:val="1"/>
                <w:color w:val="6EC4E8"/>
              </w:rPr>
              <w:t>​ 57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6EC4E8"/>
          </w:tcPr>
          <w:p>
            <w:pPr>
              <w:spacing w:after="0" w:line="20" w:lineRule="exact"/>
              <w:rPr>
                <w:sz w:val="1"/>
                <w:szCs w:val="1"/>
                <w:color w:val="auto"/>
              </w:rPr>
            </w:pPr>
          </w:p>
        </w:tc>
        <w:tc>
          <w:tcPr>
            <w:tcW w:w="1540" w:type="dxa"/>
            <w:vAlign w:val="bottom"/>
            <w:gridSpan w:val="11"/>
            <w:shd w:val="clear" w:color="auto" w:fill="6EC4E8"/>
          </w:tcPr>
          <w:p>
            <w:pPr>
              <w:spacing w:after="0" w:line="20" w:lineRule="exact"/>
              <w:rPr>
                <w:sz w:val="1"/>
                <w:szCs w:val="1"/>
                <w:color w:val="auto"/>
              </w:rPr>
            </w:pPr>
          </w:p>
        </w:tc>
        <w:tc>
          <w:tcPr>
            <w:tcW w:w="700" w:type="dxa"/>
            <w:vAlign w:val="bottom"/>
            <w:tcBorders>
              <w:left w:val="single" w:sz="8" w:color="6EC4E8"/>
            </w:tcBorders>
            <w:gridSpan w:val="9"/>
            <w:shd w:val="clear" w:color="auto" w:fill="6EC4E8"/>
          </w:tcPr>
          <w:p>
            <w:pPr>
              <w:spacing w:after="0" w:line="20" w:lineRule="exact"/>
              <w:rPr>
                <w:sz w:val="1"/>
                <w:szCs w:val="1"/>
                <w:color w:val="auto"/>
              </w:rPr>
            </w:pPr>
          </w:p>
        </w:tc>
        <w:tc>
          <w:tcPr>
            <w:tcW w:w="160" w:type="dxa"/>
            <w:vAlign w:val="bottom"/>
            <w:gridSpan w:val="2"/>
            <w:shd w:val="clear" w:color="auto" w:fill="6EC4E8"/>
          </w:tcPr>
          <w:p>
            <w:pPr>
              <w:spacing w:after="0" w:line="20" w:lineRule="exact"/>
              <w:rPr>
                <w:sz w:val="1"/>
                <w:szCs w:val="1"/>
                <w:color w:val="auto"/>
              </w:rPr>
            </w:pPr>
          </w:p>
        </w:tc>
        <w:tc>
          <w:tcPr>
            <w:tcW w:w="160" w:type="dxa"/>
            <w:vAlign w:val="bottom"/>
            <w:gridSpan w:val="2"/>
            <w:shd w:val="clear" w:color="auto" w:fill="6EC4E8"/>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6EC4E8"/>
            </w:tcBorders>
          </w:tcPr>
          <w:p>
            <w:pPr>
              <w:spacing w:after="0" w:line="20" w:lineRule="exact"/>
              <w:rPr>
                <w:sz w:val="1"/>
                <w:szCs w:val="1"/>
                <w:color w:val="auto"/>
              </w:rPr>
            </w:pPr>
          </w:p>
        </w:tc>
        <w:tc>
          <w:tcPr>
            <w:tcW w:w="100" w:type="dxa"/>
            <w:vAlign w:val="bottom"/>
            <w:tcBorders>
              <w:right w:val="single" w:sz="8" w:color="6EC4E8"/>
            </w:tcBorders>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rPr>
                <w:sz w:val="20"/>
                <w:szCs w:val="20"/>
                <w:color w:val="auto"/>
              </w:rPr>
            </w:pPr>
            <w:r>
              <w:rPr>
                <w:rFonts w:ascii="Arial" w:cs="Arial" w:eastAsia="Arial" w:hAnsi="Arial"/>
                <w:sz w:val="16"/>
                <w:szCs w:val="16"/>
                <w:color w:val="0000EE"/>
              </w:rPr>
              <w:t>Summary Compensation Table for Fiscal Year</w:t>
            </w: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57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34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89"/>
              </w:rPr>
              <w:t>2024</w:t>
            </w: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gridSpan w:val="38"/>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Grants of Plan-Based Awards for Fiscal Year 2024</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60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700" w:type="dxa"/>
            <w:vAlign w:val="bottom"/>
            <w:tcBorders>
              <w:left w:val="single" w:sz="8" w:color="0000EE"/>
            </w:tcBorders>
            <w:gridSpan w:val="9"/>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400" w:type="dxa"/>
            <w:vAlign w:val="bottom"/>
            <w:gridSpan w:val="22"/>
          </w:tcPr>
          <w:p>
            <w:pPr>
              <w:spacing w:after="0" w:line="183" w:lineRule="exact"/>
              <w:rPr>
                <w:sz w:val="20"/>
                <w:szCs w:val="20"/>
                <w:color w:val="auto"/>
              </w:rPr>
            </w:pPr>
            <w:r>
              <w:rPr>
                <w:rFonts w:ascii="Arial" w:cs="Arial" w:eastAsia="Arial" w:hAnsi="Arial"/>
                <w:sz w:val="16"/>
                <w:szCs w:val="16"/>
                <w:color w:val="0000EE"/>
                <w:w w:val="98"/>
              </w:rPr>
              <w:t>Non-Equity Incentive Plan Awards</w:t>
            </w:r>
          </w:p>
        </w:tc>
        <w:tc>
          <w:tcPr>
            <w:tcW w:w="1140" w:type="dxa"/>
            <w:vAlign w:val="bottom"/>
            <w:gridSpan w:val="14"/>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61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700" w:type="dxa"/>
            <w:vAlign w:val="bottom"/>
            <w:tcBorders>
              <w:left w:val="single" w:sz="8" w:color="0000EE"/>
            </w:tcBorders>
            <w:gridSpan w:val="9"/>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400" w:type="dxa"/>
            <w:vAlign w:val="bottom"/>
            <w:gridSpan w:val="22"/>
          </w:tcPr>
          <w:p>
            <w:pPr>
              <w:spacing w:after="0" w:line="183" w:lineRule="exact"/>
              <w:rPr>
                <w:sz w:val="20"/>
                <w:szCs w:val="20"/>
                <w:color w:val="auto"/>
              </w:rPr>
            </w:pPr>
            <w:r>
              <w:rPr>
                <w:rFonts w:ascii="Arial" w:cs="Arial" w:eastAsia="Arial" w:hAnsi="Arial"/>
                <w:sz w:val="16"/>
                <w:szCs w:val="16"/>
                <w:color w:val="0000EE"/>
              </w:rPr>
              <w:t xml:space="preserve">Equity Incentive Plan Awards –  </w:t>
            </w:r>
          </w:p>
        </w:tc>
        <w:tc>
          <w:tcPr>
            <w:tcW w:w="1360" w:type="dxa"/>
            <w:vAlign w:val="bottom"/>
            <w:gridSpan w:val="15"/>
          </w:tcPr>
          <w:p>
            <w:pPr>
              <w:spacing w:after="0"/>
              <w:rPr>
                <w:sz w:val="15"/>
                <w:szCs w:val="15"/>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61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154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w w:val="96"/>
              </w:rPr>
              <w:t>Additional Information</w:t>
            </w:r>
          </w:p>
        </w:tc>
        <w:tc>
          <w:tcPr>
            <w:tcW w:w="700" w:type="dxa"/>
            <w:vAlign w:val="bottom"/>
            <w:tcBorders>
              <w:top w:val="single" w:sz="8" w:color="0000EE"/>
            </w:tcBorders>
            <w:gridSpan w:val="9"/>
          </w:tcPr>
          <w:p>
            <w:pPr>
              <w:spacing w:after="0"/>
              <w:rPr>
                <w:sz w:val="14"/>
                <w:szCs w:val="14"/>
                <w:color w:val="auto"/>
              </w:rPr>
            </w:pPr>
          </w:p>
        </w:tc>
        <w:tc>
          <w:tcPr>
            <w:tcW w:w="1060" w:type="dxa"/>
            <w:vAlign w:val="bottom"/>
            <w:gridSpan w:val="12"/>
          </w:tcPr>
          <w:p>
            <w:pPr>
              <w:spacing w:after="0"/>
              <w:rPr>
                <w:sz w:val="14"/>
                <w:szCs w:val="14"/>
                <w:color w:val="auto"/>
              </w:rPr>
            </w:pPr>
          </w:p>
        </w:tc>
        <w:tc>
          <w:tcPr>
            <w:tcW w:w="460" w:type="dxa"/>
            <w:vAlign w:val="bottom"/>
            <w:gridSpan w:val="5"/>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40" w:type="dxa"/>
            <w:vAlign w:val="bottom"/>
            <w:gridSpan w:val="11"/>
            <w:shd w:val="clear" w:color="auto" w:fill="0000EE"/>
          </w:tcPr>
          <w:p>
            <w:pPr>
              <w:spacing w:after="0" w:line="20" w:lineRule="exact"/>
              <w:rPr>
                <w:sz w:val="1"/>
                <w:szCs w:val="1"/>
                <w:color w:val="auto"/>
              </w:rPr>
            </w:pPr>
          </w:p>
        </w:tc>
        <w:tc>
          <w:tcPr>
            <w:tcW w:w="1760" w:type="dxa"/>
            <w:vAlign w:val="bottom"/>
            <w:gridSpan w:val="21"/>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760" w:type="dxa"/>
            <w:vAlign w:val="bottom"/>
            <w:gridSpan w:val="37"/>
          </w:tcPr>
          <w:p>
            <w:pPr>
              <w:spacing w:after="0"/>
              <w:rPr>
                <w:sz w:val="20"/>
                <w:szCs w:val="20"/>
                <w:color w:val="auto"/>
              </w:rPr>
            </w:pPr>
            <w:r>
              <w:rPr>
                <w:rFonts w:ascii="Arial" w:cs="Arial" w:eastAsia="Arial" w:hAnsi="Arial"/>
                <w:sz w:val="16"/>
                <w:szCs w:val="16"/>
                <w:color w:val="0000EE"/>
              </w:rPr>
              <w:t>Outstanding Equity Awards at Fiscal Year-End</w:t>
            </w:r>
          </w:p>
        </w:tc>
        <w:tc>
          <w:tcPr>
            <w:tcW w:w="640" w:type="dxa"/>
            <w:vAlign w:val="bottom"/>
            <w:gridSpan w:val="4"/>
            <w:vMerge w:val="restart"/>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63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34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89"/>
              </w:rPr>
              <w:t>2024</w:t>
            </w:r>
          </w:p>
        </w:tc>
        <w:tc>
          <w:tcPr>
            <w:tcW w:w="2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940" w:type="dxa"/>
            <w:vAlign w:val="bottom"/>
            <w:gridSpan w:val="32"/>
          </w:tcPr>
          <w:p>
            <w:pPr>
              <w:spacing w:after="0"/>
              <w:rPr>
                <w:sz w:val="20"/>
                <w:szCs w:val="20"/>
                <w:color w:val="auto"/>
              </w:rPr>
            </w:pPr>
            <w:r>
              <w:rPr>
                <w:rFonts w:ascii="Arial" w:cs="Arial" w:eastAsia="Arial" w:hAnsi="Arial"/>
                <w:sz w:val="16"/>
                <w:szCs w:val="16"/>
                <w:color w:val="0000EE"/>
              </w:rPr>
              <w:t>Option Exercises and Stock Vested for Fiscal</w:t>
            </w:r>
          </w:p>
        </w:tc>
        <w:tc>
          <w:tcPr>
            <w:tcW w:w="24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0000EE"/>
              </w:rPr>
              <w:t>64</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72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color w:val="0000EE"/>
                <w:w w:val="94"/>
              </w:rPr>
              <w:t>Year 2024</w:t>
            </w:r>
          </w:p>
        </w:tc>
        <w:tc>
          <w:tcPr>
            <w:tcW w:w="2500" w:type="dxa"/>
            <w:vAlign w:val="bottom"/>
            <w:tcBorders>
              <w:top w:val="single" w:sz="8" w:color="0000EE"/>
            </w:tcBorders>
            <w:gridSpan w:val="19"/>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10"/>
          </w:tcPr>
          <w:p>
            <w:pPr>
              <w:spacing w:after="0"/>
              <w:rPr>
                <w:sz w:val="20"/>
                <w:szCs w:val="20"/>
                <w:color w:val="auto"/>
              </w:rPr>
            </w:pPr>
            <w:r>
              <w:rPr>
                <w:rFonts w:ascii="Arial" w:cs="Arial" w:eastAsia="Arial" w:hAnsi="Arial"/>
                <w:sz w:val="16"/>
                <w:szCs w:val="16"/>
                <w:color w:val="0000EE"/>
                <w:w w:val="98"/>
              </w:rPr>
              <w:t>Pension Benefits</w:t>
            </w:r>
          </w:p>
        </w:tc>
        <w:tc>
          <w:tcPr>
            <w:tcW w:w="2740" w:type="dxa"/>
            <w:vAlign w:val="bottom"/>
            <w:gridSpan w:val="22"/>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0000EE"/>
              </w:rPr>
              <w:t>64</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33"/>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Savings Plan and Savings Restoration Plans</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66</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140" w:type="dxa"/>
            <w:vAlign w:val="bottom"/>
            <w:gridSpan w:val="13"/>
          </w:tcPr>
          <w:p>
            <w:pPr>
              <w:spacing w:after="0" w:line="183" w:lineRule="exact"/>
              <w:rPr>
                <w:sz w:val="20"/>
                <w:szCs w:val="20"/>
                <w:color w:val="auto"/>
              </w:rPr>
            </w:pPr>
            <w:r>
              <w:rPr>
                <w:rFonts w:ascii="Arial" w:cs="Arial" w:eastAsia="Arial" w:hAnsi="Arial"/>
                <w:sz w:val="16"/>
                <w:szCs w:val="16"/>
                <w:color w:val="0000EE"/>
                <w:w w:val="98"/>
              </w:rPr>
              <w:t>Deferred Compensation Plans</w:t>
            </w:r>
          </w:p>
        </w:tc>
        <w:tc>
          <w:tcPr>
            <w:tcW w:w="1000" w:type="dxa"/>
            <w:vAlign w:val="bottom"/>
            <w:gridSpan w:val="10"/>
          </w:tcPr>
          <w:p>
            <w:pPr>
              <w:spacing w:after="0"/>
              <w:rPr>
                <w:sz w:val="15"/>
                <w:szCs w:val="15"/>
                <w:color w:val="auto"/>
              </w:rPr>
            </w:pPr>
          </w:p>
        </w:tc>
        <w:tc>
          <w:tcPr>
            <w:tcW w:w="800" w:type="dxa"/>
            <w:vAlign w:val="bottom"/>
            <w:gridSpan w:val="9"/>
          </w:tcPr>
          <w:p>
            <w:pPr>
              <w:spacing w:after="0"/>
              <w:rPr>
                <w:sz w:val="15"/>
                <w:szCs w:val="15"/>
                <w:color w:val="auto"/>
              </w:rPr>
            </w:pP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66</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33"/>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Nonqualified Deferred Compensation Table</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67</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940" w:type="dxa"/>
            <w:vAlign w:val="bottom"/>
            <w:gridSpan w:val="32"/>
          </w:tcPr>
          <w:p>
            <w:pPr>
              <w:spacing w:after="0" w:line="183" w:lineRule="exact"/>
              <w:rPr>
                <w:sz w:val="20"/>
                <w:szCs w:val="20"/>
                <w:color w:val="auto"/>
              </w:rPr>
            </w:pPr>
            <w:r>
              <w:rPr>
                <w:rFonts w:ascii="Arial" w:cs="Arial" w:eastAsia="Arial" w:hAnsi="Arial"/>
                <w:sz w:val="16"/>
                <w:szCs w:val="16"/>
                <w:color w:val="0000EE"/>
              </w:rPr>
              <w:t>Potential Payments upon Change in Control or</w:t>
            </w:r>
          </w:p>
        </w:tc>
        <w:tc>
          <w:tcPr>
            <w:tcW w:w="24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0000EE"/>
              </w:rPr>
              <w:t>68</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8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w w:val="92"/>
              </w:rPr>
              <w:t>Termination</w:t>
            </w:r>
          </w:p>
        </w:tc>
        <w:tc>
          <w:tcPr>
            <w:tcW w:w="2460" w:type="dxa"/>
            <w:vAlign w:val="bottom"/>
            <w:tcBorders>
              <w:top w:val="single" w:sz="8" w:color="0000EE"/>
            </w:tcBorders>
            <w:gridSpan w:val="19"/>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3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Retirements and Severance Arrangements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0000EE"/>
              </w:rPr>
              <w:t>72</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760" w:type="dxa"/>
            <w:vAlign w:val="bottom"/>
            <w:gridSpan w:val="12"/>
          </w:tcPr>
          <w:p>
            <w:pPr>
              <w:spacing w:after="0" w:line="183" w:lineRule="exact"/>
              <w:rPr>
                <w:sz w:val="20"/>
                <w:szCs w:val="20"/>
                <w:color w:val="auto"/>
              </w:rPr>
            </w:pPr>
            <w:r>
              <w:rPr>
                <w:rFonts w:ascii="Arial" w:cs="Arial" w:eastAsia="Arial" w:hAnsi="Arial"/>
                <w:sz w:val="16"/>
                <w:szCs w:val="16"/>
                <w:color w:val="0000EE"/>
                <w:w w:val="97"/>
              </w:rPr>
              <w:t>Pay Versus Performance</w:t>
            </w:r>
          </w:p>
        </w:tc>
        <w:tc>
          <w:tcPr>
            <w:tcW w:w="1220" w:type="dxa"/>
            <w:vAlign w:val="bottom"/>
            <w:gridSpan w:val="9"/>
          </w:tcPr>
          <w:p>
            <w:pPr>
              <w:spacing w:after="0"/>
              <w:rPr>
                <w:sz w:val="15"/>
                <w:szCs w:val="15"/>
                <w:color w:val="auto"/>
              </w:rPr>
            </w:pPr>
          </w:p>
        </w:tc>
        <w:tc>
          <w:tcPr>
            <w:tcW w:w="960" w:type="dxa"/>
            <w:vAlign w:val="bottom"/>
            <w:gridSpan w:val="11"/>
          </w:tcPr>
          <w:p>
            <w:pPr>
              <w:spacing w:after="0"/>
              <w:rPr>
                <w:sz w:val="15"/>
                <w:szCs w:val="15"/>
                <w:color w:val="auto"/>
              </w:rPr>
            </w:pP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73</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33"/>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Chief Executive Officer Pay Ratio</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77</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spacing w:after="0"/>
              <w:rPr>
                <w:sz w:val="20"/>
                <w:szCs w:val="20"/>
                <w:color w:val="auto"/>
              </w:rPr>
            </w:pPr>
            <w:r>
              <w:rPr>
                <w:rFonts w:ascii="Arial" w:cs="Arial" w:eastAsia="Arial" w:hAnsi="Arial"/>
                <w:sz w:val="17"/>
                <w:szCs w:val="17"/>
                <w:b w:val="1"/>
                <w:bCs w:val="1"/>
                <w:color w:val="6EC4E8"/>
                <w:w w:val="73"/>
              </w:rPr>
              <w:t>Equity</w:t>
            </w:r>
          </w:p>
        </w:tc>
        <w:tc>
          <w:tcPr>
            <w:tcW w:w="2740" w:type="dxa"/>
            <w:vAlign w:val="bottom"/>
            <w:gridSpan w:val="21"/>
          </w:tcPr>
          <w:p>
            <w:pPr>
              <w:ind w:left="20"/>
              <w:spacing w:after="0"/>
              <w:rPr>
                <w:sz w:val="20"/>
                <w:szCs w:val="20"/>
                <w:color w:val="auto"/>
              </w:rPr>
            </w:pPr>
            <w:r>
              <w:rPr>
                <w:rFonts w:ascii="Arial" w:cs="Arial" w:eastAsia="Arial" w:hAnsi="Arial"/>
                <w:sz w:val="18"/>
                <w:szCs w:val="18"/>
                <w:b w:val="1"/>
                <w:bCs w:val="1"/>
                <w:color w:val="6EC4E8"/>
                <w:w w:val="98"/>
              </w:rPr>
              <w:t>Compensation Plan Information</w:t>
            </w:r>
          </w:p>
        </w:tc>
        <w:tc>
          <w:tcPr>
            <w:tcW w:w="800" w:type="dxa"/>
            <w:vAlign w:val="bottom"/>
            <w:gridSpan w:val="9"/>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 79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6EC4E8"/>
          </w:tcPr>
          <w:p>
            <w:pPr>
              <w:spacing w:after="0" w:line="20" w:lineRule="exact"/>
              <w:rPr>
                <w:sz w:val="1"/>
                <w:szCs w:val="1"/>
                <w:color w:val="auto"/>
              </w:rPr>
            </w:pPr>
          </w:p>
        </w:tc>
        <w:tc>
          <w:tcPr>
            <w:tcW w:w="220" w:type="dxa"/>
            <w:vAlign w:val="bottom"/>
            <w:gridSpan w:val="2"/>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260" w:type="dxa"/>
            <w:vAlign w:val="bottom"/>
            <w:tcBorders>
              <w:right w:val="single" w:sz="8" w:color="6EC4E8"/>
            </w:tcBorders>
            <w:gridSpan w:val="3"/>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460" w:type="dxa"/>
            <w:vAlign w:val="bottom"/>
            <w:gridSpan w:val="2"/>
            <w:shd w:val="clear" w:color="auto" w:fill="6EC4E8"/>
          </w:tcPr>
          <w:p>
            <w:pPr>
              <w:spacing w:after="0" w:line="20" w:lineRule="exact"/>
              <w:rPr>
                <w:sz w:val="1"/>
                <w:szCs w:val="1"/>
                <w:color w:val="auto"/>
              </w:rPr>
            </w:pPr>
          </w:p>
        </w:tc>
        <w:tc>
          <w:tcPr>
            <w:tcW w:w="640" w:type="dxa"/>
            <w:vAlign w:val="bottom"/>
            <w:gridSpan w:val="3"/>
            <w:shd w:val="clear" w:color="auto" w:fill="6EC4E8"/>
          </w:tcPr>
          <w:p>
            <w:pPr>
              <w:spacing w:after="0" w:line="20" w:lineRule="exact"/>
              <w:rPr>
                <w:sz w:val="1"/>
                <w:szCs w:val="1"/>
                <w:color w:val="auto"/>
              </w:rPr>
            </w:pPr>
          </w:p>
        </w:tc>
        <w:tc>
          <w:tcPr>
            <w:tcW w:w="240" w:type="dxa"/>
            <w:vAlign w:val="bottom"/>
            <w:gridSpan w:val="2"/>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240" w:type="dxa"/>
            <w:vAlign w:val="bottom"/>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120" w:type="dxa"/>
            <w:vAlign w:val="bottom"/>
            <w:tcBorders>
              <w:left w:val="single" w:sz="8" w:color="6EC4E8"/>
            </w:tcBorders>
            <w:shd w:val="clear" w:color="auto" w:fill="6EC4E8"/>
          </w:tcPr>
          <w:p>
            <w:pPr>
              <w:spacing w:after="0" w:line="20" w:lineRule="exact"/>
              <w:rPr>
                <w:sz w:val="1"/>
                <w:szCs w:val="1"/>
                <w:color w:val="auto"/>
              </w:rPr>
            </w:pPr>
          </w:p>
        </w:tc>
        <w:tc>
          <w:tcPr>
            <w:tcW w:w="40" w:type="dxa"/>
            <w:vAlign w:val="bottom"/>
            <w:tcBorders>
              <w:right w:val="single" w:sz="8" w:color="6EC4E8"/>
            </w:tcBorders>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gridSpan w:val="33"/>
          </w:tcPr>
          <w:p>
            <w:pPr>
              <w:spacing w:after="0"/>
              <w:rPr>
                <w:sz w:val="20"/>
                <w:szCs w:val="20"/>
                <w:color w:val="auto"/>
              </w:rPr>
            </w:pPr>
            <w:r>
              <w:rPr>
                <w:rFonts w:ascii="Arial" w:cs="Arial" w:eastAsia="Arial" w:hAnsi="Arial"/>
                <w:sz w:val="18"/>
                <w:szCs w:val="18"/>
                <w:b w:val="1"/>
                <w:bCs w:val="1"/>
                <w:color w:val="6EC4E8"/>
                <w:w w:val="99"/>
              </w:rPr>
              <w:t>Report of the Human Capital and Compensation</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6EC4E8"/>
                <w:w w:val="99"/>
              </w:rPr>
              <w:t>80</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163"/>
        </w:trPr>
        <w:tc>
          <w:tcPr>
            <w:tcW w:w="980" w:type="dxa"/>
            <w:vAlign w:val="bottom"/>
            <w:tcBorders>
              <w:top w:val="single" w:sz="8" w:color="6EC4E8"/>
              <w:bottom w:val="single" w:sz="8" w:color="6EC4E8"/>
            </w:tcBorders>
            <w:gridSpan w:val="8"/>
          </w:tcPr>
          <w:p>
            <w:pPr>
              <w:spacing w:after="0" w:line="142" w:lineRule="exact"/>
              <w:rPr>
                <w:sz w:val="20"/>
                <w:szCs w:val="20"/>
                <w:color w:val="auto"/>
              </w:rPr>
            </w:pPr>
            <w:r>
              <w:rPr>
                <w:rFonts w:ascii="Arial" w:cs="Arial" w:eastAsia="Arial" w:hAnsi="Arial"/>
                <w:sz w:val="16"/>
                <w:szCs w:val="16"/>
                <w:b w:val="1"/>
                <w:bCs w:val="1"/>
                <w:color w:val="6EC4E8"/>
              </w:rPr>
              <w:t>Committee</w:t>
            </w:r>
            <w:r>
              <w:rPr>
                <w:rFonts w:ascii="Arial" w:cs="Arial" w:eastAsia="Arial" w:hAnsi="Arial"/>
                <w:sz w:val="16"/>
                <w:szCs w:val="16"/>
                <w:b w:val="1"/>
                <w:bCs w:val="1"/>
                <w:color w:val="000000"/>
              </w:rPr>
              <w:t>​</w:t>
            </w:r>
          </w:p>
        </w:tc>
        <w:tc>
          <w:tcPr>
            <w:tcW w:w="3100" w:type="dxa"/>
            <w:vAlign w:val="bottom"/>
            <w:tcBorders>
              <w:top w:val="single" w:sz="8" w:color="6EC4E8"/>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100" w:type="dxa"/>
            <w:vAlign w:val="bottom"/>
            <w:gridSpan w:val="3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Report of the Audit Committee</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 81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6EC4E8"/>
          </w:tcPr>
          <w:p>
            <w:pPr>
              <w:spacing w:after="0" w:line="20" w:lineRule="exact"/>
              <w:rPr>
                <w:sz w:val="1"/>
                <w:szCs w:val="1"/>
                <w:color w:val="auto"/>
              </w:rPr>
            </w:pPr>
          </w:p>
        </w:tc>
        <w:tc>
          <w:tcPr>
            <w:tcW w:w="220" w:type="dxa"/>
            <w:vAlign w:val="bottom"/>
            <w:gridSpan w:val="2"/>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200" w:type="dxa"/>
            <w:vAlign w:val="bottom"/>
            <w:tcBorders>
              <w:right w:val="single" w:sz="8" w:color="6EC4E8"/>
            </w:tcBorders>
            <w:gridSpan w:val="2"/>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460" w:type="dxa"/>
            <w:vAlign w:val="bottom"/>
            <w:gridSpan w:val="2"/>
            <w:shd w:val="clear" w:color="auto" w:fill="6EC4E8"/>
          </w:tcPr>
          <w:p>
            <w:pPr>
              <w:spacing w:after="0" w:line="20" w:lineRule="exact"/>
              <w:rPr>
                <w:sz w:val="1"/>
                <w:szCs w:val="1"/>
                <w:color w:val="auto"/>
              </w:rPr>
            </w:pPr>
          </w:p>
        </w:tc>
        <w:tc>
          <w:tcPr>
            <w:tcW w:w="640" w:type="dxa"/>
            <w:vAlign w:val="bottom"/>
            <w:gridSpan w:val="3"/>
            <w:shd w:val="clear" w:color="auto" w:fill="6EC4E8"/>
          </w:tcPr>
          <w:p>
            <w:pPr>
              <w:spacing w:after="0" w:line="20" w:lineRule="exact"/>
              <w:rPr>
                <w:sz w:val="1"/>
                <w:szCs w:val="1"/>
                <w:color w:val="auto"/>
              </w:rPr>
            </w:pPr>
          </w:p>
        </w:tc>
        <w:tc>
          <w:tcPr>
            <w:tcW w:w="240" w:type="dxa"/>
            <w:vAlign w:val="bottom"/>
            <w:gridSpan w:val="2"/>
            <w:shd w:val="clear" w:color="auto" w:fill="6EC4E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6"/>
          </w:tcPr>
          <w:p>
            <w:pPr>
              <w:spacing w:after="0"/>
              <w:rPr>
                <w:sz w:val="20"/>
                <w:szCs w:val="20"/>
                <w:color w:val="auto"/>
              </w:rPr>
            </w:pPr>
            <w:r>
              <w:rPr>
                <w:rFonts w:ascii="Arial" w:cs="Arial" w:eastAsia="Arial" w:hAnsi="Arial"/>
                <w:sz w:val="18"/>
                <w:szCs w:val="18"/>
                <w:b w:val="1"/>
                <w:bCs w:val="1"/>
                <w:color w:val="6EC4E8"/>
                <w:w w:val="99"/>
              </w:rPr>
              <w:t>Principal</w:t>
            </w:r>
            <w:r>
              <w:rPr>
                <w:rFonts w:ascii="Arial" w:cs="Arial" w:eastAsia="Arial" w:hAnsi="Arial"/>
                <w:sz w:val="18"/>
                <w:szCs w:val="18"/>
                <w:b w:val="1"/>
                <w:bCs w:val="1"/>
                <w:color w:val="000000"/>
                <w:w w:val="99"/>
              </w:rPr>
              <w:t>​</w:t>
            </w:r>
          </w:p>
        </w:tc>
        <w:tc>
          <w:tcPr>
            <w:tcW w:w="1900" w:type="dxa"/>
            <w:vAlign w:val="bottom"/>
            <w:gridSpan w:val="12"/>
          </w:tcPr>
          <w:p>
            <w:pPr>
              <w:ind w:left="20"/>
              <w:spacing w:after="0"/>
              <w:rPr>
                <w:sz w:val="20"/>
                <w:szCs w:val="20"/>
                <w:color w:val="auto"/>
              </w:rPr>
            </w:pPr>
            <w:r>
              <w:rPr>
                <w:rFonts w:ascii="Arial" w:cs="Arial" w:eastAsia="Arial" w:hAnsi="Arial"/>
                <w:sz w:val="18"/>
                <w:szCs w:val="18"/>
                <w:b w:val="1"/>
                <w:bCs w:val="1"/>
                <w:color w:val="6EC4E8"/>
                <w:w w:val="98"/>
              </w:rPr>
              <w:t>Accounting Firm Fees</w:t>
            </w:r>
          </w:p>
        </w:tc>
        <w:tc>
          <w:tcPr>
            <w:tcW w:w="1420" w:type="dxa"/>
            <w:vAlign w:val="bottom"/>
            <w:gridSpan w:val="15"/>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 82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6EC4E8"/>
          </w:tcPr>
          <w:p>
            <w:pPr>
              <w:spacing w:after="0" w:line="20" w:lineRule="exact"/>
              <w:rPr>
                <w:sz w:val="1"/>
                <w:szCs w:val="1"/>
                <w:color w:val="auto"/>
              </w:rPr>
            </w:pPr>
          </w:p>
        </w:tc>
        <w:tc>
          <w:tcPr>
            <w:tcW w:w="220" w:type="dxa"/>
            <w:vAlign w:val="bottom"/>
            <w:shd w:val="clear" w:color="auto" w:fill="6EC4E8"/>
          </w:tcPr>
          <w:p>
            <w:pPr>
              <w:spacing w:after="0" w:line="20" w:lineRule="exact"/>
              <w:rPr>
                <w:sz w:val="1"/>
                <w:szCs w:val="1"/>
                <w:color w:val="auto"/>
              </w:rPr>
            </w:pPr>
          </w:p>
        </w:tc>
        <w:tc>
          <w:tcPr>
            <w:tcW w:w="220" w:type="dxa"/>
            <w:vAlign w:val="bottom"/>
            <w:gridSpan w:val="2"/>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260" w:type="dxa"/>
            <w:vAlign w:val="bottom"/>
            <w:tcBorders>
              <w:right w:val="single" w:sz="8" w:color="6EC4E8"/>
            </w:tcBorders>
            <w:gridSpan w:val="3"/>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460" w:type="dxa"/>
            <w:vAlign w:val="bottom"/>
            <w:gridSpan w:val="2"/>
            <w:shd w:val="clear" w:color="auto" w:fill="6EC4E8"/>
          </w:tcPr>
          <w:p>
            <w:pPr>
              <w:spacing w:after="0" w:line="20" w:lineRule="exact"/>
              <w:rPr>
                <w:sz w:val="1"/>
                <w:szCs w:val="1"/>
                <w:color w:val="auto"/>
              </w:rPr>
            </w:pPr>
          </w:p>
        </w:tc>
        <w:tc>
          <w:tcPr>
            <w:tcW w:w="640" w:type="dxa"/>
            <w:vAlign w:val="bottom"/>
            <w:gridSpan w:val="3"/>
            <w:shd w:val="clear" w:color="auto" w:fill="6EC4E8"/>
          </w:tcPr>
          <w:p>
            <w:pPr>
              <w:spacing w:after="0" w:line="20" w:lineRule="exact"/>
              <w:rPr>
                <w:sz w:val="1"/>
                <w:szCs w:val="1"/>
                <w:color w:val="auto"/>
              </w:rPr>
            </w:pPr>
          </w:p>
        </w:tc>
        <w:tc>
          <w:tcPr>
            <w:tcW w:w="340" w:type="dxa"/>
            <w:vAlign w:val="bottom"/>
            <w:gridSpan w:val="3"/>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3940" w:type="dxa"/>
            <w:vAlign w:val="bottom"/>
            <w:gridSpan w:val="32"/>
          </w:tcPr>
          <w:p>
            <w:pPr>
              <w:spacing w:after="0"/>
              <w:rPr>
                <w:sz w:val="20"/>
                <w:szCs w:val="20"/>
                <w:color w:val="auto"/>
              </w:rPr>
            </w:pPr>
            <w:r>
              <w:rPr>
                <w:rFonts w:ascii="Arial" w:cs="Arial" w:eastAsia="Arial" w:hAnsi="Arial"/>
                <w:sz w:val="16"/>
                <w:szCs w:val="16"/>
                <w:color w:val="0000EE"/>
              </w:rPr>
              <w:t>Audit Committee Policies and Procedures for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314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w w:val="97"/>
              </w:rPr>
              <w:t>Preapproval of Audit and Non-Audit Services</w:t>
            </w: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69" w:lineRule="exact"/>
              <w:rPr>
                <w:sz w:val="20"/>
                <w:szCs w:val="20"/>
                <w:color w:val="auto"/>
              </w:rPr>
            </w:pPr>
            <w:r>
              <w:rPr>
                <w:rFonts w:ascii="Arial" w:cs="Arial" w:eastAsia="Arial" w:hAnsi="Arial"/>
                <w:sz w:val="16"/>
                <w:szCs w:val="16"/>
                <w:color w:val="0000EE"/>
              </w:rPr>
              <w:t>82</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gridSpan w:val="33"/>
          </w:tcPr>
          <w:p>
            <w:pPr>
              <w:spacing w:after="0"/>
              <w:rPr>
                <w:sz w:val="20"/>
                <w:szCs w:val="20"/>
                <w:color w:val="auto"/>
              </w:rPr>
            </w:pPr>
            <w:r>
              <w:rPr>
                <w:rFonts w:ascii="Arial" w:cs="Arial" w:eastAsia="Arial" w:hAnsi="Arial"/>
                <w:sz w:val="18"/>
                <w:szCs w:val="18"/>
                <w:b w:val="1"/>
                <w:bCs w:val="1"/>
                <w:color w:val="6EC4E8"/>
              </w:rPr>
              <w:t>Item 2: Ratification of Appointment of The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6EC4E8"/>
              <w:bottom w:val="single" w:sz="8" w:color="6EC4E8"/>
            </w:tcBorders>
            <w:gridSpan w:val="28"/>
          </w:tcPr>
          <w:p>
            <w:pPr>
              <w:spacing w:after="0" w:line="169" w:lineRule="exact"/>
              <w:rPr>
                <w:sz w:val="20"/>
                <w:szCs w:val="20"/>
                <w:color w:val="auto"/>
              </w:rPr>
            </w:pPr>
            <w:r>
              <w:rPr>
                <w:rFonts w:ascii="Arial" w:cs="Arial" w:eastAsia="Arial" w:hAnsi="Arial"/>
                <w:sz w:val="18"/>
                <w:szCs w:val="18"/>
                <w:b w:val="1"/>
                <w:bCs w:val="1"/>
                <w:color w:val="6EC4E8"/>
                <w:w w:val="96"/>
              </w:rPr>
              <w:t>Independent Registered Public Accounting</w:t>
            </w:r>
          </w:p>
        </w:tc>
        <w:tc>
          <w:tcPr>
            <w:tcW w:w="120" w:type="dxa"/>
            <w:vAlign w:val="bottom"/>
            <w:tcBorders>
              <w:bottom w:val="single" w:sz="8" w:color="6EC4E8"/>
            </w:tcBorders>
          </w:tcPr>
          <w:p>
            <w:pPr>
              <w:spacing w:after="0"/>
              <w:rPr>
                <w:sz w:val="14"/>
                <w:szCs w:val="14"/>
                <w:color w:val="auto"/>
              </w:rPr>
            </w:pPr>
          </w:p>
        </w:tc>
        <w:tc>
          <w:tcPr>
            <w:tcW w:w="20" w:type="dxa"/>
            <w:vAlign w:val="bottom"/>
            <w:tcBorders>
              <w:bottom w:val="single" w:sz="8" w:color="6EC4E8"/>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6EC4E8"/>
                <w:w w:val="99"/>
              </w:rPr>
              <w:t>83</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142"/>
        </w:trPr>
        <w:tc>
          <w:tcPr>
            <w:tcW w:w="380" w:type="dxa"/>
            <w:vAlign w:val="bottom"/>
            <w:gridSpan w:val="2"/>
          </w:tcPr>
          <w:p>
            <w:pPr>
              <w:spacing w:after="0" w:line="129" w:lineRule="exact"/>
              <w:rPr>
                <w:sz w:val="20"/>
                <w:szCs w:val="20"/>
                <w:color w:val="auto"/>
              </w:rPr>
            </w:pPr>
            <w:r>
              <w:rPr>
                <w:rFonts w:ascii="Arial" w:cs="Arial" w:eastAsia="Arial" w:hAnsi="Arial"/>
                <w:sz w:val="13"/>
                <w:szCs w:val="13"/>
                <w:b w:val="1"/>
                <w:bCs w:val="1"/>
                <w:color w:val="6EC4E8"/>
              </w:rPr>
              <w:t>Firm</w:t>
            </w:r>
            <w:r>
              <w:rPr>
                <w:rFonts w:ascii="Arial" w:cs="Arial" w:eastAsia="Arial" w:hAnsi="Arial"/>
                <w:sz w:val="13"/>
                <w:szCs w:val="13"/>
                <w:b w:val="1"/>
                <w:bCs w:val="1"/>
                <w:color w:val="000000"/>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0" w:type="dxa"/>
            <w:vAlign w:val="bottom"/>
            <w:gridSpan w:val="2"/>
            <w:shd w:val="clear" w:color="auto" w:fill="6EC4E8"/>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gridSpan w:val="3"/>
          </w:tcPr>
          <w:p>
            <w:pPr>
              <w:spacing w:after="0"/>
              <w:rPr>
                <w:sz w:val="2"/>
                <w:szCs w:val="2"/>
                <w:color w:val="auto"/>
              </w:rPr>
            </w:pPr>
          </w:p>
        </w:tc>
        <w:tc>
          <w:tcPr>
            <w:tcW w:w="38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6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Borders>
              <w:right w:val="single" w:sz="8" w:color="6EC4E8"/>
            </w:tcBorders>
          </w:tcPr>
          <w:p>
            <w:pPr>
              <w:spacing w:after="0"/>
              <w:rPr>
                <w:sz w:val="2"/>
                <w:szCs w:val="2"/>
                <w:color w:val="auto"/>
              </w:rPr>
            </w:pPr>
          </w:p>
        </w:tc>
        <w:tc>
          <w:tcPr>
            <w:tcW w:w="180" w:type="dxa"/>
            <w:vAlign w:val="bottom"/>
            <w:shd w:val="clear" w:color="auto" w:fill="6EC4E8"/>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33"/>
          </w:tcPr>
          <w:p>
            <w:pPr>
              <w:spacing w:after="0"/>
              <w:rPr>
                <w:sz w:val="20"/>
                <w:szCs w:val="20"/>
                <w:color w:val="auto"/>
              </w:rPr>
            </w:pPr>
            <w:r>
              <w:rPr>
                <w:rFonts w:ascii="Arial" w:cs="Arial" w:eastAsia="Arial" w:hAnsi="Arial"/>
                <w:sz w:val="18"/>
                <w:szCs w:val="18"/>
                <w:b w:val="1"/>
                <w:bCs w:val="1"/>
                <w:color w:val="6EC4E8"/>
              </w:rPr>
              <w:t>Item 3: Advisory Vote on Executive</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6EC4E8"/>
                <w:w w:val="99"/>
              </w:rPr>
              <w:t>84</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155"/>
        </w:trPr>
        <w:tc>
          <w:tcPr>
            <w:tcW w:w="1240" w:type="dxa"/>
            <w:vAlign w:val="bottom"/>
            <w:tcBorders>
              <w:top w:val="single" w:sz="8" w:color="6EC4E8"/>
            </w:tcBorders>
            <w:gridSpan w:val="10"/>
          </w:tcPr>
          <w:p>
            <w:pPr>
              <w:spacing w:after="0" w:line="142" w:lineRule="exact"/>
              <w:rPr>
                <w:sz w:val="20"/>
                <w:szCs w:val="20"/>
                <w:color w:val="auto"/>
              </w:rPr>
            </w:pPr>
            <w:r>
              <w:rPr>
                <w:rFonts w:ascii="Arial" w:cs="Arial" w:eastAsia="Arial" w:hAnsi="Arial"/>
                <w:sz w:val="16"/>
                <w:szCs w:val="16"/>
                <w:b w:val="1"/>
                <w:bCs w:val="1"/>
                <w:color w:val="6EC4E8"/>
              </w:rPr>
              <w:t>Compensation</w:t>
            </w:r>
            <w:r>
              <w:rPr>
                <w:rFonts w:ascii="Arial" w:cs="Arial" w:eastAsia="Arial" w:hAnsi="Arial"/>
                <w:sz w:val="16"/>
                <w:szCs w:val="16"/>
                <w:b w:val="1"/>
                <w:bCs w:val="1"/>
                <w:color w:val="000000"/>
              </w:rPr>
              <w:t>​</w:t>
            </w:r>
          </w:p>
        </w:tc>
        <w:tc>
          <w:tcPr>
            <w:tcW w:w="1720" w:type="dxa"/>
            <w:vAlign w:val="bottom"/>
            <w:tcBorders>
              <w:top w:val="single" w:sz="8" w:color="6EC4E8"/>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2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4"/>
            <w:shd w:val="clear" w:color="auto" w:fill="6EC4E8"/>
          </w:tcPr>
          <w:p>
            <w:pPr>
              <w:spacing w:after="0"/>
              <w:rPr>
                <w:sz w:val="2"/>
                <w:szCs w:val="2"/>
                <w:color w:val="auto"/>
              </w:rPr>
            </w:pPr>
          </w:p>
        </w:tc>
        <w:tc>
          <w:tcPr>
            <w:tcW w:w="120" w:type="dxa"/>
            <w:vAlign w:val="bottom"/>
            <w:shd w:val="clear" w:color="auto" w:fill="6EC4E8"/>
          </w:tcPr>
          <w:p>
            <w:pPr>
              <w:spacing w:after="0"/>
              <w:rPr>
                <w:sz w:val="2"/>
                <w:szCs w:val="2"/>
                <w:color w:val="auto"/>
              </w:rPr>
            </w:pPr>
          </w:p>
        </w:tc>
        <w:tc>
          <w:tcPr>
            <w:tcW w:w="260" w:type="dxa"/>
            <w:vAlign w:val="bottom"/>
            <w:tcBorders>
              <w:right w:val="single" w:sz="8" w:color="6EC4E8"/>
            </w:tcBorders>
            <w:gridSpan w:val="3"/>
            <w:shd w:val="clear" w:color="auto" w:fill="6EC4E8"/>
          </w:tcPr>
          <w:p>
            <w:pPr>
              <w:spacing w:after="0"/>
              <w:rPr>
                <w:sz w:val="2"/>
                <w:szCs w:val="2"/>
                <w:color w:val="auto"/>
              </w:rPr>
            </w:pPr>
          </w:p>
        </w:tc>
        <w:tc>
          <w:tcPr>
            <w:tcW w:w="140" w:type="dxa"/>
            <w:vAlign w:val="bottom"/>
            <w:shd w:val="clear" w:color="auto" w:fill="6EC4E8"/>
          </w:tcPr>
          <w:p>
            <w:pPr>
              <w:spacing w:after="0"/>
              <w:rPr>
                <w:sz w:val="2"/>
                <w:szCs w:val="2"/>
                <w:color w:val="auto"/>
              </w:rPr>
            </w:pPr>
          </w:p>
        </w:tc>
        <w:tc>
          <w:tcPr>
            <w:tcW w:w="120" w:type="dxa"/>
            <w:vAlign w:val="bottom"/>
            <w:shd w:val="clear" w:color="auto" w:fill="6EC4E8"/>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gridSpan w:val="3"/>
          </w:tcPr>
          <w:p>
            <w:pPr>
              <w:spacing w:after="0"/>
              <w:rPr>
                <w:sz w:val="2"/>
                <w:szCs w:val="2"/>
                <w:color w:val="auto"/>
              </w:rPr>
            </w:pPr>
          </w:p>
        </w:tc>
        <w:tc>
          <w:tcPr>
            <w:tcW w:w="380" w:type="dxa"/>
            <w:vAlign w:val="bottom"/>
            <w:gridSpan w:val="4"/>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6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Borders>
              <w:right w:val="single" w:sz="8" w:color="6EC4E8"/>
            </w:tcBorders>
          </w:tcPr>
          <w:p>
            <w:pPr>
              <w:spacing w:after="0"/>
              <w:rPr>
                <w:sz w:val="2"/>
                <w:szCs w:val="2"/>
                <w:color w:val="auto"/>
              </w:rPr>
            </w:pPr>
          </w:p>
        </w:tc>
        <w:tc>
          <w:tcPr>
            <w:tcW w:w="180" w:type="dxa"/>
            <w:vAlign w:val="bottom"/>
            <w:shd w:val="clear" w:color="auto" w:fill="6EC4E8"/>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33"/>
          </w:tcPr>
          <w:p>
            <w:pPr>
              <w:spacing w:after="0"/>
              <w:rPr>
                <w:sz w:val="20"/>
                <w:szCs w:val="20"/>
                <w:color w:val="auto"/>
              </w:rPr>
            </w:pPr>
            <w:r>
              <w:rPr>
                <w:rFonts w:ascii="Arial" w:cs="Arial" w:eastAsia="Arial" w:hAnsi="Arial"/>
                <w:sz w:val="18"/>
                <w:szCs w:val="18"/>
                <w:b w:val="1"/>
                <w:bCs w:val="1"/>
                <w:color w:val="6EC4E8"/>
              </w:rPr>
              <w:t>Item 4: Approval of Amendment to the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6EC4E8"/>
              <w:bottom w:val="single" w:sz="8" w:color="6EC4E8"/>
            </w:tcBorders>
            <w:gridSpan w:val="24"/>
          </w:tcPr>
          <w:p>
            <w:pPr>
              <w:spacing w:after="0" w:line="169" w:lineRule="exact"/>
              <w:rPr>
                <w:sz w:val="20"/>
                <w:szCs w:val="20"/>
                <w:color w:val="auto"/>
              </w:rPr>
            </w:pPr>
            <w:r>
              <w:rPr>
                <w:rFonts w:ascii="Arial" w:cs="Arial" w:eastAsia="Arial" w:hAnsi="Arial"/>
                <w:sz w:val="18"/>
                <w:szCs w:val="18"/>
                <w:b w:val="1"/>
                <w:bCs w:val="1"/>
                <w:color w:val="6EC4E8"/>
                <w:w w:val="97"/>
              </w:rPr>
              <w:t>CenterPoint Energy, Inc. Stock Plan for</w:t>
            </w:r>
          </w:p>
        </w:tc>
        <w:tc>
          <w:tcPr>
            <w:tcW w:w="40" w:type="dxa"/>
            <w:vAlign w:val="bottom"/>
            <w:tcBorders>
              <w:bottom w:val="single" w:sz="8" w:color="6EC4E8"/>
            </w:tcBorders>
          </w:tcPr>
          <w:p>
            <w:pPr>
              <w:spacing w:after="0"/>
              <w:rPr>
                <w:sz w:val="14"/>
                <w:szCs w:val="14"/>
                <w:color w:val="auto"/>
              </w:rPr>
            </w:pPr>
          </w:p>
        </w:tc>
        <w:tc>
          <w:tcPr>
            <w:tcW w:w="760" w:type="dxa"/>
            <w:vAlign w:val="bottom"/>
            <w:tcBorders>
              <w:bottom w:val="single" w:sz="8" w:color="6EC4E8"/>
            </w:tcBorders>
            <w:gridSpan w:val="8"/>
          </w:tcPr>
          <w:p>
            <w:pPr>
              <w:ind w:left="20"/>
              <w:spacing w:after="0" w:line="169" w:lineRule="exact"/>
              <w:rPr>
                <w:sz w:val="20"/>
                <w:szCs w:val="20"/>
                <w:color w:val="auto"/>
              </w:rPr>
            </w:pPr>
            <w:r>
              <w:rPr>
                <w:rFonts w:ascii="Arial" w:cs="Arial" w:eastAsia="Arial" w:hAnsi="Arial"/>
                <w:sz w:val="18"/>
                <w:szCs w:val="18"/>
                <w:b w:val="1"/>
                <w:bCs w:val="1"/>
                <w:color w:val="6EC4E8"/>
              </w:rPr>
              <w:t>Outside</w:t>
            </w: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6EC4E8"/>
                <w:w w:val="99"/>
              </w:rPr>
              <w:t>87</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149"/>
        </w:trPr>
        <w:tc>
          <w:tcPr>
            <w:tcW w:w="780" w:type="dxa"/>
            <w:vAlign w:val="bottom"/>
            <w:tcBorders>
              <w:bottom w:val="single" w:sz="8" w:color="6EC4E8"/>
            </w:tcBorders>
            <w:gridSpan w:val="6"/>
          </w:tcPr>
          <w:p>
            <w:pPr>
              <w:spacing w:after="0" w:line="129" w:lineRule="exact"/>
              <w:rPr>
                <w:sz w:val="20"/>
                <w:szCs w:val="20"/>
                <w:color w:val="auto"/>
              </w:rPr>
            </w:pPr>
            <w:r>
              <w:rPr>
                <w:rFonts w:ascii="Arial" w:cs="Arial" w:eastAsia="Arial" w:hAnsi="Arial"/>
                <w:sz w:val="13"/>
                <w:szCs w:val="13"/>
                <w:b w:val="1"/>
                <w:bCs w:val="1"/>
                <w:color w:val="6EC4E8"/>
              </w:rPr>
              <w:t>Directors</w:t>
            </w:r>
            <w:r>
              <w:rPr>
                <w:rFonts w:ascii="Arial" w:cs="Arial" w:eastAsia="Arial" w:hAnsi="Arial"/>
                <w:sz w:val="13"/>
                <w:szCs w:val="13"/>
                <w:b w:val="1"/>
                <w:bCs w:val="1"/>
                <w:color w:val="00000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700" w:type="dxa"/>
            <w:vAlign w:val="bottom"/>
            <w:gridSpan w:val="12"/>
          </w:tcPr>
          <w:p>
            <w:pPr>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b w:val="1"/>
                <w:bCs w:val="1"/>
                <w:color w:val="6EC4E8"/>
                <w:w w:val="98"/>
              </w:rPr>
              <w:t>General Information</w:t>
            </w:r>
          </w:p>
        </w:tc>
        <w:tc>
          <w:tcPr>
            <w:tcW w:w="2400" w:type="dxa"/>
            <w:vAlign w:val="bottom"/>
            <w:gridSpan w:val="21"/>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 89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260" w:type="dxa"/>
            <w:vAlign w:val="bottom"/>
            <w:tcBorders>
              <w:right w:val="single" w:sz="8" w:color="6EC4E8"/>
            </w:tcBorders>
            <w:gridSpan w:val="3"/>
            <w:shd w:val="clear" w:color="auto" w:fill="6EC4E8"/>
          </w:tcPr>
          <w:p>
            <w:pPr>
              <w:spacing w:after="0" w:line="20" w:lineRule="exact"/>
              <w:rPr>
                <w:sz w:val="1"/>
                <w:szCs w:val="1"/>
                <w:color w:val="auto"/>
              </w:rPr>
            </w:pPr>
          </w:p>
        </w:tc>
        <w:tc>
          <w:tcPr>
            <w:tcW w:w="140" w:type="dxa"/>
            <w:vAlign w:val="bottom"/>
            <w:shd w:val="clear" w:color="auto" w:fill="6EC4E8"/>
          </w:tcPr>
          <w:p>
            <w:pPr>
              <w:spacing w:after="0" w:line="20" w:lineRule="exact"/>
              <w:rPr>
                <w:sz w:val="1"/>
                <w:szCs w:val="1"/>
                <w:color w:val="auto"/>
              </w:rPr>
            </w:pPr>
          </w:p>
        </w:tc>
        <w:tc>
          <w:tcPr>
            <w:tcW w:w="580" w:type="dxa"/>
            <w:vAlign w:val="bottom"/>
            <w:gridSpan w:val="3"/>
            <w:shd w:val="clear" w:color="auto" w:fill="6EC4E8"/>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00" w:type="dxa"/>
            <w:vAlign w:val="bottom"/>
            <w:gridSpan w:val="3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Frequently Asked Questions About Voting</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0000EE"/>
              </w:rPr>
              <w:t>89</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940" w:type="dxa"/>
            <w:vAlign w:val="bottom"/>
            <w:gridSpan w:val="20"/>
          </w:tcPr>
          <w:p>
            <w:pPr>
              <w:spacing w:after="0" w:line="183" w:lineRule="exact"/>
              <w:rPr>
                <w:sz w:val="20"/>
                <w:szCs w:val="20"/>
                <w:color w:val="auto"/>
              </w:rPr>
            </w:pPr>
            <w:r>
              <w:rPr>
                <w:rFonts w:ascii="Arial" w:cs="Arial" w:eastAsia="Arial" w:hAnsi="Arial"/>
                <w:sz w:val="16"/>
                <w:szCs w:val="16"/>
                <w:color w:val="0000EE"/>
              </w:rPr>
              <w:t>Other Matters</w:t>
            </w:r>
          </w:p>
        </w:tc>
        <w:tc>
          <w:tcPr>
            <w:tcW w:w="1000" w:type="dxa"/>
            <w:vAlign w:val="bottom"/>
            <w:gridSpan w:val="12"/>
          </w:tcPr>
          <w:p>
            <w:pPr>
              <w:spacing w:after="0"/>
              <w:rPr>
                <w:sz w:val="15"/>
                <w:szCs w:val="15"/>
                <w:color w:val="auto"/>
              </w:rPr>
            </w:pP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90</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940" w:type="dxa"/>
            <w:vAlign w:val="bottom"/>
            <w:gridSpan w:val="32"/>
          </w:tcPr>
          <w:p>
            <w:pPr>
              <w:spacing w:after="0" w:line="183" w:lineRule="exact"/>
              <w:rPr>
                <w:sz w:val="20"/>
                <w:szCs w:val="20"/>
                <w:color w:val="auto"/>
              </w:rPr>
            </w:pPr>
            <w:r>
              <w:rPr>
                <w:rFonts w:ascii="Arial" w:cs="Arial" w:eastAsia="Arial" w:hAnsi="Arial"/>
                <w:sz w:val="16"/>
                <w:szCs w:val="16"/>
                <w:color w:val="0000EE"/>
              </w:rPr>
              <w:t>Shareholder Proposals for the 2026 Annual</w:t>
            </w:r>
          </w:p>
        </w:tc>
        <w:tc>
          <w:tcPr>
            <w:tcW w:w="24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0000EE"/>
              </w:rPr>
              <w:t>91</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62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Meeting</w:t>
            </w: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3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Director Nominations for the 2026 Annual Meeting</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0000EE"/>
              </w:rPr>
              <w:t>91</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33"/>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Householding of Annual Meeting Materials</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91</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33"/>
          </w:tcPr>
          <w:p>
            <w:pPr>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Annual Report to Shareholders</w:t>
            </w: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0000EE"/>
              </w:rPr>
              <w:t>91</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3940" w:type="dxa"/>
            <w:vAlign w:val="bottom"/>
            <w:gridSpan w:val="32"/>
          </w:tcPr>
          <w:p>
            <w:pPr>
              <w:spacing w:after="0" w:line="183" w:lineRule="exact"/>
              <w:rPr>
                <w:sz w:val="20"/>
                <w:szCs w:val="20"/>
                <w:color w:val="auto"/>
              </w:rPr>
            </w:pPr>
            <w:r>
              <w:rPr>
                <w:rFonts w:ascii="Arial" w:cs="Arial" w:eastAsia="Arial" w:hAnsi="Arial"/>
                <w:sz w:val="16"/>
                <w:szCs w:val="16"/>
                <w:color w:val="0000EE"/>
              </w:rPr>
              <w:t>Cautionary Note Regarding Forward-Looking</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56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6"/>
                <w:szCs w:val="16"/>
                <w:color w:val="0000EE"/>
                <w:w w:val="98"/>
              </w:rPr>
              <w:t>Information and Net Zero Disclaimer</w:t>
            </w:r>
          </w:p>
        </w:tc>
        <w:tc>
          <w:tcPr>
            <w:tcW w:w="620" w:type="dxa"/>
            <w:vAlign w:val="bottom"/>
            <w:tcBorders>
              <w:top w:val="single" w:sz="8" w:color="0000EE"/>
            </w:tcBorders>
            <w:gridSpan w:val="6"/>
          </w:tcPr>
          <w:p>
            <w:pPr>
              <w:spacing w:after="0"/>
              <w:rPr>
                <w:sz w:val="14"/>
                <w:szCs w:val="14"/>
                <w:color w:val="auto"/>
              </w:rPr>
            </w:pPr>
          </w:p>
        </w:tc>
        <w:tc>
          <w:tcPr>
            <w:tcW w:w="400" w:type="dxa"/>
            <w:vAlign w:val="bottom"/>
            <w:gridSpan w:val="6"/>
          </w:tcPr>
          <w:p>
            <w:pPr>
              <w:spacing w:after="0"/>
              <w:rPr>
                <w:sz w:val="14"/>
                <w:szCs w:val="14"/>
                <w:color w:val="auto"/>
              </w:rPr>
            </w:pPr>
          </w:p>
        </w:tc>
        <w:tc>
          <w:tcPr>
            <w:tcW w:w="360" w:type="dxa"/>
            <w:vAlign w:val="bottom"/>
            <w:gridSpan w:val="2"/>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69" w:lineRule="exact"/>
              <w:rPr>
                <w:sz w:val="20"/>
                <w:szCs w:val="20"/>
                <w:color w:val="auto"/>
              </w:rPr>
            </w:pPr>
            <w:r>
              <w:rPr>
                <w:rFonts w:ascii="Arial" w:cs="Arial" w:eastAsia="Arial" w:hAnsi="Arial"/>
                <w:sz w:val="16"/>
                <w:szCs w:val="16"/>
                <w:color w:val="0000EE"/>
              </w:rPr>
              <w:t>91</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1740" w:type="dxa"/>
            <w:vAlign w:val="bottom"/>
            <w:gridSpan w:val="11"/>
            <w:shd w:val="clear" w:color="auto" w:fill="0000EE"/>
          </w:tcPr>
          <w:p>
            <w:pPr>
              <w:spacing w:after="0" w:line="20" w:lineRule="exact"/>
              <w:rPr>
                <w:sz w:val="1"/>
                <w:szCs w:val="1"/>
                <w:color w:val="auto"/>
              </w:rPr>
            </w:pPr>
          </w:p>
        </w:tc>
        <w:tc>
          <w:tcPr>
            <w:tcW w:w="1020" w:type="dxa"/>
            <w:vAlign w:val="bottom"/>
            <w:gridSpan w:val="1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100" w:type="dxa"/>
            <w:vAlign w:val="bottom"/>
            <w:gridSpan w:val="33"/>
          </w:tcPr>
          <w:p>
            <w:pPr>
              <w:spacing w:after="0"/>
              <w:rPr>
                <w:sz w:val="20"/>
                <w:szCs w:val="20"/>
                <w:color w:val="auto"/>
              </w:rPr>
            </w:pPr>
            <w:r>
              <w:rPr>
                <w:rFonts w:ascii="Arial" w:cs="Arial" w:eastAsia="Arial" w:hAnsi="Arial"/>
                <w:sz w:val="18"/>
                <w:szCs w:val="18"/>
                <w:b w:val="1"/>
                <w:bCs w:val="1"/>
                <w:color w:val="6EC4E8"/>
              </w:rPr>
              <w:t>​Appendix A</w:t>
            </w:r>
            <w:r>
              <w:rPr>
                <w:rFonts w:ascii="Arial" w:cs="Arial" w:eastAsia="Arial" w:hAnsi="Arial"/>
                <w:sz w:val="16"/>
                <w:szCs w:val="16"/>
                <w:color w:val="000000"/>
              </w:rPr>
              <w:t>​</w:t>
            </w:r>
          </w:p>
        </w:tc>
        <w:tc>
          <w:tcPr>
            <w:tcW w:w="240" w:type="dxa"/>
            <w:vAlign w:val="bottom"/>
          </w:tcPr>
          <w:p>
            <w:pPr>
              <w:spacing w:after="0"/>
              <w:rPr>
                <w:sz w:val="20"/>
                <w:szCs w:val="20"/>
                <w:color w:val="auto"/>
              </w:rPr>
            </w:pPr>
            <w:r>
              <w:rPr>
                <w:rFonts w:ascii="Arial" w:cs="Arial" w:eastAsia="Arial" w:hAnsi="Arial"/>
                <w:sz w:val="18"/>
                <w:szCs w:val="18"/>
                <w:b w:val="1"/>
                <w:bCs w:val="1"/>
                <w:color w:val="6EC4E8"/>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6EC4E8"/>
              </w:rPr>
              <w:t>​</w:t>
            </w:r>
          </w:p>
        </w:tc>
        <w:tc>
          <w:tcPr>
            <w:tcW w:w="0" w:type="dxa"/>
            <w:vAlign w:val="bottom"/>
          </w:tcPr>
          <w:p>
            <w:pPr>
              <w:spacing w:after="0"/>
              <w:rPr>
                <w:sz w:val="1"/>
                <w:szCs w:val="1"/>
                <w:color w:val="auto"/>
              </w:rPr>
            </w:pPr>
          </w:p>
        </w:tc>
      </w:tr>
      <w:tr>
        <w:trPr>
          <w:trHeight w:val="204"/>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3940" w:type="dxa"/>
            <w:vAlign w:val="bottom"/>
            <w:gridSpan w:val="32"/>
          </w:tcPr>
          <w:p>
            <w:pPr>
              <w:spacing w:after="0"/>
              <w:rPr>
                <w:sz w:val="20"/>
                <w:szCs w:val="20"/>
                <w:color w:val="auto"/>
              </w:rPr>
            </w:pPr>
            <w:r>
              <w:rPr>
                <w:rFonts w:ascii="Arial" w:cs="Arial" w:eastAsia="Arial" w:hAnsi="Arial"/>
                <w:sz w:val="16"/>
                <w:szCs w:val="16"/>
                <w:color w:val="0000EE"/>
              </w:rPr>
              <w:t>Reconciliation of non-GAAP Financial Measures to</w:t>
            </w:r>
          </w:p>
        </w:tc>
        <w:tc>
          <w:tcPr>
            <w:tcW w:w="46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A-1</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60" w:type="dxa"/>
            <w:vAlign w:val="bottom"/>
            <w:vMerge w:val="continue"/>
          </w:tcPr>
          <w:p>
            <w:pPr>
              <w:spacing w:after="0"/>
              <w:rPr>
                <w:sz w:val="14"/>
                <w:szCs w:val="14"/>
                <w:color w:val="auto"/>
              </w:rPr>
            </w:pPr>
          </w:p>
        </w:tc>
        <w:tc>
          <w:tcPr>
            <w:tcW w:w="44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4"/>
              </w:rPr>
              <w:t>GAAP</w:t>
            </w:r>
          </w:p>
        </w:tc>
        <w:tc>
          <w:tcPr>
            <w:tcW w:w="180" w:type="dxa"/>
            <w:vAlign w:val="bottom"/>
            <w:tcBorders>
              <w:top w:val="single" w:sz="8" w:color="0000EE"/>
            </w:tcBorders>
            <w:gridSpan w:val="2"/>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120" w:type="dxa"/>
            <w:vAlign w:val="bottom"/>
            <w:gridSpan w:val="2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00" w:type="dxa"/>
            <w:vAlign w:val="bottom"/>
            <w:gridSpan w:val="3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Appendix B</w:t>
            </w:r>
          </w:p>
        </w:tc>
        <w:tc>
          <w:tcPr>
            <w:tcW w:w="46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​B-1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Borders>
              <w:right w:val="single" w:sz="8" w:color="6EC4E8"/>
            </w:tcBorders>
            <w:gridSpan w:val="8"/>
            <w:shd w:val="clear" w:color="auto" w:fill="6EC4E8"/>
          </w:tcPr>
          <w:p>
            <w:pPr>
              <w:spacing w:after="0" w:line="20" w:lineRule="exact"/>
              <w:rPr>
                <w:sz w:val="1"/>
                <w:szCs w:val="1"/>
                <w:color w:val="auto"/>
              </w:rPr>
            </w:pPr>
          </w:p>
        </w:tc>
        <w:tc>
          <w:tcPr>
            <w:tcW w:w="3120" w:type="dxa"/>
            <w:vAlign w:val="bottom"/>
            <w:gridSpan w:val="25"/>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33"/>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Appendix C</w:t>
            </w: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6EC4E8"/>
              </w:rPr>
              <w:t>​C-1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980" w:type="dxa"/>
            <w:vAlign w:val="bottom"/>
            <w:tcBorders>
              <w:right w:val="single" w:sz="8" w:color="6EC4E8"/>
            </w:tcBorders>
            <w:gridSpan w:val="8"/>
            <w:shd w:val="clear" w:color="auto" w:fill="6EC4E8"/>
          </w:tcPr>
          <w:p>
            <w:pPr>
              <w:spacing w:after="0" w:line="20" w:lineRule="exact"/>
              <w:rPr>
                <w:sz w:val="1"/>
                <w:szCs w:val="1"/>
                <w:color w:val="auto"/>
              </w:rPr>
            </w:pPr>
          </w:p>
        </w:tc>
        <w:tc>
          <w:tcPr>
            <w:tcW w:w="3120" w:type="dxa"/>
            <w:vAlign w:val="bottom"/>
            <w:gridSpan w:val="25"/>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33"/>
          </w:tcPr>
          <w:p>
            <w:pPr>
              <w:spacing w:after="0" w:line="196" w:lineRule="exact"/>
              <w:rPr>
                <w:sz w:val="20"/>
                <w:szCs w:val="20"/>
                <w:color w:val="auto"/>
              </w:rPr>
            </w:pPr>
            <w:r>
              <w:rPr>
                <w:rFonts w:ascii="Arial" w:cs="Arial" w:eastAsia="Arial" w:hAnsi="Arial"/>
                <w:sz w:val="18"/>
                <w:szCs w:val="18"/>
                <w:b w:val="1"/>
                <w:bCs w:val="1"/>
                <w:color w:val="6EC4E8"/>
              </w:rPr>
              <w:t>​Appendix D</w:t>
            </w: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6EC4E8"/>
              </w:rPr>
              <w:t>​​​D-1​</w:t>
            </w:r>
          </w:p>
        </w:tc>
        <w:tc>
          <w:tcPr>
            <w:tcW w:w="0" w:type="dxa"/>
            <w:vAlign w:val="bottom"/>
          </w:tcPr>
          <w:p>
            <w:pPr>
              <w:spacing w:after="0"/>
              <w:rPr>
                <w:sz w:val="1"/>
                <w:szCs w:val="1"/>
                <w:color w:val="auto"/>
              </w:rPr>
            </w:pPr>
          </w:p>
        </w:tc>
      </w:tr>
      <w:tr>
        <w:trPr>
          <w:trHeight w:val="20"/>
        </w:trPr>
        <w:tc>
          <w:tcPr>
            <w:tcW w:w="160" w:type="dxa"/>
            <w:vAlign w:val="bottom"/>
            <w:shd w:val="clear" w:color="auto" w:fill="6EC4E8"/>
          </w:tcPr>
          <w:p>
            <w:pPr>
              <w:spacing w:after="0" w:line="20" w:lineRule="exact"/>
              <w:rPr>
                <w:sz w:val="1"/>
                <w:szCs w:val="1"/>
                <w:color w:val="auto"/>
              </w:rPr>
            </w:pPr>
          </w:p>
        </w:tc>
        <w:tc>
          <w:tcPr>
            <w:tcW w:w="220" w:type="dxa"/>
            <w:vAlign w:val="bottom"/>
            <w:shd w:val="clear" w:color="auto" w:fill="6EC4E8"/>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shd w:val="clear" w:color="auto" w:fill="6EC4E8"/>
          </w:tcPr>
          <w:p>
            <w:pPr>
              <w:spacing w:after="0" w:line="20" w:lineRule="exact"/>
              <w:rPr>
                <w:sz w:val="1"/>
                <w:szCs w:val="1"/>
                <w:color w:val="auto"/>
              </w:rPr>
            </w:pPr>
          </w:p>
        </w:tc>
        <w:tc>
          <w:tcPr>
            <w:tcW w:w="120" w:type="dxa"/>
            <w:vAlign w:val="bottom"/>
            <w:shd w:val="clear" w:color="auto" w:fill="6EC4E8"/>
          </w:tcPr>
          <w:p>
            <w:pPr>
              <w:spacing w:after="0" w:line="20" w:lineRule="exact"/>
              <w:rPr>
                <w:sz w:val="1"/>
                <w:szCs w:val="1"/>
                <w:color w:val="auto"/>
              </w:rPr>
            </w:pPr>
          </w:p>
        </w:tc>
        <w:tc>
          <w:tcPr>
            <w:tcW w:w="60" w:type="dxa"/>
            <w:vAlign w:val="bottom"/>
            <w:shd w:val="clear" w:color="auto" w:fill="6EC4E8"/>
          </w:tcPr>
          <w:p>
            <w:pPr>
              <w:spacing w:after="0" w:line="20" w:lineRule="exact"/>
              <w:rPr>
                <w:sz w:val="1"/>
                <w:szCs w:val="1"/>
                <w:color w:val="auto"/>
              </w:rPr>
            </w:pPr>
          </w:p>
        </w:tc>
        <w:tc>
          <w:tcPr>
            <w:tcW w:w="100" w:type="dxa"/>
            <w:vAlign w:val="bottom"/>
            <w:shd w:val="clear" w:color="auto" w:fill="6EC4E8"/>
          </w:tcPr>
          <w:p>
            <w:pPr>
              <w:spacing w:after="0" w:line="20" w:lineRule="exact"/>
              <w:rPr>
                <w:sz w:val="1"/>
                <w:szCs w:val="1"/>
                <w:color w:val="auto"/>
              </w:rPr>
            </w:pPr>
          </w:p>
        </w:tc>
        <w:tc>
          <w:tcPr>
            <w:tcW w:w="100" w:type="dxa"/>
            <w:vAlign w:val="bottom"/>
            <w:tcBorders>
              <w:right w:val="single" w:sz="8" w:color="6EC4E8"/>
            </w:tcBorders>
            <w:shd w:val="clear" w:color="auto" w:fill="6EC4E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6EC4E8"/>
            </w:tcBorders>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00" w:space="180"/>
            <w:col w:w="4560"/>
          </w:cols>
          <w:pgMar w:left="580" w:top="97" w:right="1279" w:bottom="1440" w:gutter="0" w:footer="0" w:header="0"/>
          <w:type w:val="continuous"/>
        </w:sectPr>
      </w:pPr>
    </w:p>
    <w:p>
      <w:pPr>
        <w:spacing w:after="0" w:line="309" w:lineRule="exact"/>
        <w:rPr>
          <w:sz w:val="20"/>
          <w:szCs w:val="20"/>
          <w:color w:val="auto"/>
        </w:rPr>
      </w:pPr>
    </w:p>
    <w:p>
      <w:pPr>
        <w:ind w:left="740"/>
        <w:spacing w:after="0"/>
        <w:tabs>
          <w:tab w:leader="none" w:pos="7180" w:val="left"/>
        </w:tabs>
        <w:rPr>
          <w:sz w:val="20"/>
          <w:szCs w:val="20"/>
          <w:color w:val="auto"/>
        </w:rPr>
      </w:pPr>
      <w:r>
        <w:rPr>
          <w:rFonts w:ascii="Arial" w:cs="Arial" w:eastAsia="Arial" w:hAnsi="Arial"/>
          <w:sz w:val="12"/>
          <w:szCs w:val="12"/>
          <w:b w:val="1"/>
          <w:bCs w:val="1"/>
          <w:color w:val="6EC4E8"/>
        </w:rPr>
        <w:t>​</w:t>
      </w:r>
      <w:r>
        <w:rPr>
          <w:sz w:val="20"/>
          <w:szCs w:val="20"/>
          <w:color w:val="auto"/>
        </w:rPr>
        <w:tab/>
      </w:r>
      <w:r>
        <w:rPr>
          <w:rFonts w:ascii="Arial" w:cs="Arial" w:eastAsia="Arial" w:hAnsi="Arial"/>
          <w:sz w:val="12"/>
          <w:szCs w:val="12"/>
          <w:b w:val="1"/>
          <w:bCs w:val="1"/>
          <w:color w:val="6EC4E8"/>
        </w:rPr>
        <w:t xml:space="preserve">CenterPoint Energy, Inc.  </w:t>
      </w:r>
      <w:r>
        <w:rPr>
          <w:rFonts w:ascii="Arial" w:cs="Arial" w:eastAsia="Arial" w:hAnsi="Arial"/>
          <w:sz w:val="12"/>
          <w:szCs w:val="12"/>
          <w:color w:val="000000"/>
        </w:rPr>
        <w:t>2025 Proxy Statement</w:t>
      </w:r>
      <w:r>
        <w:rPr>
          <w:rFonts w:ascii="Arial" w:cs="Arial" w:eastAsia="Arial" w:hAnsi="Arial"/>
          <w:sz w:val="12"/>
          <w:szCs w:val="12"/>
          <w:b w:val="1"/>
          <w:bCs w:val="1"/>
          <w:color w:val="6EC4E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68065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tabs>
          <w:tab w:leader="none" w:pos="5240" w:val="left"/>
          <w:tab w:leader="none" w:pos="9980" w:val="left"/>
        </w:tabs>
        <w:rPr>
          <w:sz w:val="20"/>
          <w:szCs w:val="20"/>
          <w:color w:val="auto"/>
        </w:rPr>
      </w:pPr>
      <w:r>
        <w:rPr>
          <w:rFonts w:ascii="Arial" w:cs="Arial" w:eastAsia="Arial" w:hAnsi="Arial"/>
          <w:sz w:val="34"/>
          <w:szCs w:val="34"/>
          <w:color w:val="6EC4E8"/>
        </w:rPr>
        <w:t>Notice​ of Annual Meeting</w:t>
      </w:r>
      <w:r>
        <w:rPr>
          <w:sz w:val="20"/>
          <w:szCs w:val="20"/>
          <w:color w:val="auto"/>
        </w:rPr>
        <w:tab/>
      </w:r>
      <w:r>
        <w:rPr>
          <w:rFonts w:ascii="Arial" w:cs="Arial" w:eastAsia="Arial" w:hAnsi="Arial"/>
          <w:sz w:val="34"/>
          <w:szCs w:val="34"/>
          <w:color w:val="6EC4E8"/>
        </w:rPr>
        <w:t>​​</w:t>
      </w:r>
      <w:r>
        <w:rPr>
          <w:sz w:val="20"/>
          <w:szCs w:val="20"/>
          <w:color w:val="auto"/>
        </w:rPr>
        <w:tab/>
      </w:r>
      <w:r>
        <w:rPr>
          <w:rFonts w:ascii="Arial" w:cs="Arial" w:eastAsia="Arial" w:hAnsi="Arial"/>
          <w:sz w:val="34"/>
          <w:szCs w:val="34"/>
          <w:color w:val="6EC4E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4760595</wp:posOffset>
            </wp:positionH>
            <wp:positionV relativeFrom="paragraph">
              <wp:posOffset>-226695</wp:posOffset>
            </wp:positionV>
            <wp:extent cx="157734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340" cy="540385"/>
                    </a:xfrm>
                    <a:prstGeom prst="rect">
                      <a:avLst/>
                    </a:prstGeom>
                    <a:noFill/>
                  </pic:spPr>
                </pic:pic>
              </a:graphicData>
            </a:graphic>
          </wp:anchor>
        </w:drawing>
      </w:r>
    </w:p>
    <w:p>
      <w:pPr>
        <w:spacing w:after="0" w:line="1"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of Shareholders</w:t>
      </w:r>
      <w:r>
        <w:rPr>
          <w:rFonts w:ascii="Arial" w:cs="Arial" w:eastAsia="Arial" w:hAnsi="Arial"/>
          <w:sz w:val="17"/>
          <w:szCs w:val="17"/>
          <w:color w:val="000000"/>
        </w:rPr>
        <w:t>​</w:t>
      </w:r>
    </w:p>
    <w:p>
      <w:pPr>
        <w:spacing w:after="0" w:line="200" w:lineRule="exact"/>
        <w:rPr>
          <w:sz w:val="20"/>
          <w:szCs w:val="20"/>
          <w:color w:val="auto"/>
        </w:rPr>
      </w:pPr>
    </w:p>
    <w:p>
      <w:pPr>
        <w:spacing w:after="0" w:line="28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Dear Shareholders:</w:t>
      </w:r>
    </w:p>
    <w:p>
      <w:pPr>
        <w:spacing w:after="0" w:line="126" w:lineRule="exact"/>
        <w:rPr>
          <w:sz w:val="20"/>
          <w:szCs w:val="20"/>
          <w:color w:val="auto"/>
        </w:rPr>
      </w:pPr>
    </w:p>
    <w:p>
      <w:pPr>
        <w:ind w:left="740" w:right="300"/>
        <w:spacing w:after="0" w:line="286" w:lineRule="auto"/>
        <w:rPr>
          <w:sz w:val="20"/>
          <w:szCs w:val="20"/>
          <w:color w:val="auto"/>
        </w:rPr>
      </w:pPr>
      <w:r>
        <w:rPr>
          <w:rFonts w:ascii="Arial" w:cs="Arial" w:eastAsia="Arial" w:hAnsi="Arial"/>
          <w:sz w:val="16"/>
          <w:szCs w:val="16"/>
          <w:color w:val="auto"/>
        </w:rPr>
        <w:t>You are cordially invited to attend the 2025 annual meeting of shareholders of CenterPoint Energy, Inc. This is your notice for the meeting.</w:t>
      </w:r>
    </w:p>
    <w:p>
      <w:pPr>
        <w:spacing w:after="0" w:line="125"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34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2660" w:type="dxa"/>
            <w:vAlign w:val="bottom"/>
            <w:shd w:val="clear" w:color="auto" w:fill="003763"/>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286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Arial" w:cs="Arial" w:eastAsia="Arial" w:hAnsi="Arial"/>
                <w:sz w:val="13"/>
                <w:szCs w:val="13"/>
                <w:b w:val="1"/>
                <w:bCs w:val="1"/>
                <w:color w:val="FFFFFF"/>
              </w:rPr>
              <w:t>​</w:t>
            </w:r>
          </w:p>
        </w:tc>
        <w:tc>
          <w:tcPr>
            <w:tcW w:w="5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2580" w:type="dxa"/>
            <w:vAlign w:val="bottom"/>
            <w:shd w:val="clear" w:color="auto" w:fill="003763"/>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530"/>
        </w:trPr>
        <w:tc>
          <w:tcPr>
            <w:tcW w:w="340" w:type="dxa"/>
            <w:vAlign w:val="bottom"/>
            <w:vMerge w:val="restart"/>
            <w:shd w:val="clear" w:color="auto" w:fill="003763"/>
          </w:tcPr>
          <w:p>
            <w:pPr>
              <w:spacing w:after="0"/>
              <w:rPr>
                <w:sz w:val="20"/>
                <w:szCs w:val="20"/>
                <w:color w:val="auto"/>
              </w:rPr>
            </w:pPr>
            <w:r>
              <w:rPr>
                <w:rFonts w:ascii="Arial" w:cs="Arial" w:eastAsia="Arial" w:hAnsi="Arial"/>
                <w:sz w:val="16"/>
                <w:szCs w:val="16"/>
                <w:color w:val="FFFFFF"/>
              </w:rPr>
              <w:t>​</w:t>
            </w:r>
          </w:p>
        </w:tc>
        <w:tc>
          <w:tcPr>
            <w:tcW w:w="2660" w:type="dxa"/>
            <w:vAlign w:val="bottom"/>
            <w:shd w:val="clear" w:color="auto" w:fill="003763"/>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FFFFFF"/>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FFFFFF"/>
              </w:rPr>
              <w:t>​</w:t>
            </w:r>
          </w:p>
        </w:tc>
        <w:tc>
          <w:tcPr>
            <w:tcW w:w="2860" w:type="dxa"/>
            <w:vAlign w:val="bottom"/>
          </w:tcPr>
          <w:p>
            <w:pPr>
              <w:spacing w:after="0"/>
              <w:rPr>
                <w:sz w:val="24"/>
                <w:szCs w:val="24"/>
                <w:color w:val="auto"/>
              </w:rPr>
            </w:pPr>
          </w:p>
        </w:tc>
        <w:tc>
          <w:tcPr>
            <w:tcW w:w="140" w:type="dxa"/>
            <w:vAlign w:val="bottom"/>
            <w:vMerge w:val="restart"/>
          </w:tcPr>
          <w:p>
            <w:pPr>
              <w:ind w:left="100"/>
              <w:spacing w:after="0"/>
              <w:rPr>
                <w:sz w:val="20"/>
                <w:szCs w:val="20"/>
                <w:color w:val="auto"/>
              </w:rPr>
            </w:pPr>
            <w:r>
              <w:rPr>
                <w:rFonts w:ascii="Arial" w:cs="Arial" w:eastAsia="Arial" w:hAnsi="Arial"/>
                <w:sz w:val="16"/>
                <w:szCs w:val="16"/>
                <w:color w:val="FFFFFF"/>
              </w:rPr>
              <w:t>​</w:t>
            </w:r>
          </w:p>
        </w:tc>
        <w:tc>
          <w:tcPr>
            <w:tcW w:w="500" w:type="dxa"/>
            <w:vAlign w:val="bottom"/>
            <w:shd w:val="clear" w:color="auto" w:fill="003763"/>
          </w:tcPr>
          <w:p>
            <w:pPr>
              <w:spacing w:after="0"/>
              <w:rPr>
                <w:sz w:val="24"/>
                <w:szCs w:val="24"/>
                <w:color w:val="auto"/>
              </w:rPr>
            </w:pPr>
          </w:p>
        </w:tc>
        <w:tc>
          <w:tcPr>
            <w:tcW w:w="2580" w:type="dxa"/>
            <w:vAlign w:val="bottom"/>
            <w:shd w:val="clear" w:color="auto" w:fill="003763"/>
          </w:tcPr>
          <w:p>
            <w:pPr>
              <w:spacing w:after="0"/>
              <w:rPr>
                <w:sz w:val="24"/>
                <w:szCs w:val="24"/>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215"/>
        </w:trPr>
        <w:tc>
          <w:tcPr>
            <w:tcW w:w="340" w:type="dxa"/>
            <w:vAlign w:val="bottom"/>
            <w:vMerge w:val="continue"/>
            <w:shd w:val="clear" w:color="auto" w:fill="003763"/>
          </w:tcPr>
          <w:p>
            <w:pPr>
              <w:spacing w:after="0"/>
              <w:rPr>
                <w:sz w:val="18"/>
                <w:szCs w:val="18"/>
                <w:color w:val="auto"/>
              </w:rPr>
            </w:pPr>
          </w:p>
        </w:tc>
        <w:tc>
          <w:tcPr>
            <w:tcW w:w="2660" w:type="dxa"/>
            <w:vAlign w:val="bottom"/>
            <w:shd w:val="clear" w:color="auto" w:fill="003763"/>
          </w:tcPr>
          <w:p>
            <w:pPr>
              <w:jc w:val="center"/>
              <w:ind w:right="285"/>
              <w:spacing w:after="0"/>
              <w:rPr>
                <w:sz w:val="20"/>
                <w:szCs w:val="20"/>
                <w:color w:val="auto"/>
              </w:rPr>
            </w:pPr>
            <w:r>
              <w:rPr>
                <w:rFonts w:ascii="Arial" w:cs="Arial" w:eastAsia="Arial" w:hAnsi="Arial"/>
                <w:sz w:val="13"/>
                <w:szCs w:val="13"/>
                <w:b w:val="1"/>
                <w:bCs w:val="1"/>
                <w:color w:val="FFFFFF"/>
                <w:w w:val="92"/>
              </w:rPr>
              <w:t>TIME AND DATE</w:t>
            </w:r>
          </w:p>
        </w:tc>
        <w:tc>
          <w:tcPr>
            <w:tcW w:w="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FFFFFF"/>
                <w:w w:val="95"/>
              </w:rPr>
              <w:t>PLACE</w:t>
            </w:r>
          </w:p>
        </w:tc>
        <w:tc>
          <w:tcPr>
            <w:tcW w:w="140" w:type="dxa"/>
            <w:vAlign w:val="bottom"/>
            <w:vMerge w:val="continue"/>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FFFFFF"/>
              </w:rPr>
              <w:t>​</w:t>
            </w:r>
          </w:p>
        </w:tc>
        <w:tc>
          <w:tcPr>
            <w:tcW w:w="2580" w:type="dxa"/>
            <w:vAlign w:val="bottom"/>
          </w:tcPr>
          <w:p>
            <w:pPr>
              <w:jc w:val="center"/>
              <w:ind w:right="388"/>
              <w:spacing w:after="0"/>
              <w:rPr>
                <w:sz w:val="20"/>
                <w:szCs w:val="20"/>
                <w:color w:val="auto"/>
              </w:rPr>
            </w:pPr>
            <w:r>
              <w:rPr>
                <w:rFonts w:ascii="Arial" w:cs="Arial" w:eastAsia="Arial" w:hAnsi="Arial"/>
                <w:sz w:val="13"/>
                <w:szCs w:val="13"/>
                <w:b w:val="1"/>
                <w:bCs w:val="1"/>
                <w:color w:val="FFFFFF"/>
                <w:w w:val="92"/>
              </w:rPr>
              <w:t>RECORD DATE</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0" w:type="dxa"/>
            <w:vAlign w:val="bottom"/>
            <w:shd w:val="clear" w:color="auto" w:fill="003763"/>
          </w:tcPr>
          <w:p>
            <w:pPr>
              <w:spacing w:after="0"/>
              <w:rPr>
                <w:sz w:val="23"/>
                <w:szCs w:val="23"/>
                <w:color w:val="auto"/>
              </w:rPr>
            </w:pPr>
          </w:p>
        </w:tc>
        <w:tc>
          <w:tcPr>
            <w:tcW w:w="2660" w:type="dxa"/>
            <w:vAlign w:val="bottom"/>
            <w:shd w:val="clear" w:color="auto" w:fill="003763"/>
          </w:tcPr>
          <w:p>
            <w:pPr>
              <w:jc w:val="center"/>
              <w:ind w:right="325"/>
              <w:spacing w:after="0"/>
              <w:rPr>
                <w:sz w:val="20"/>
                <w:szCs w:val="20"/>
                <w:color w:val="auto"/>
              </w:rPr>
            </w:pPr>
            <w:r>
              <w:rPr>
                <w:rFonts w:ascii="Arial" w:cs="Arial" w:eastAsia="Arial" w:hAnsi="Arial"/>
                <w:sz w:val="16"/>
                <w:szCs w:val="16"/>
                <w:color w:val="FFFFFF"/>
                <w:w w:val="99"/>
              </w:rPr>
              <w:t>8:30 a.m. Central Time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FFFFFF"/>
                <w:w w:val="99"/>
              </w:rPr>
              <w:t>The CenterPoint Energy auditorium at</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580" w:type="dxa"/>
            <w:vAlign w:val="bottom"/>
          </w:tcPr>
          <w:p>
            <w:pPr>
              <w:jc w:val="center"/>
              <w:ind w:right="388"/>
              <w:spacing w:after="0"/>
              <w:rPr>
                <w:sz w:val="20"/>
                <w:szCs w:val="20"/>
                <w:color w:val="auto"/>
              </w:rPr>
            </w:pPr>
            <w:r>
              <w:rPr>
                <w:rFonts w:ascii="Arial" w:cs="Arial" w:eastAsia="Arial" w:hAnsi="Arial"/>
                <w:sz w:val="16"/>
                <w:szCs w:val="16"/>
                <w:color w:val="FFFFFF"/>
              </w:rPr>
              <w:t>February 18, 2025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40" w:type="dxa"/>
            <w:vAlign w:val="bottom"/>
            <w:shd w:val="clear" w:color="auto" w:fill="003763"/>
          </w:tcPr>
          <w:p>
            <w:pPr>
              <w:spacing w:after="0"/>
              <w:rPr>
                <w:sz w:val="18"/>
                <w:szCs w:val="18"/>
                <w:color w:val="auto"/>
              </w:rPr>
            </w:pPr>
          </w:p>
        </w:tc>
        <w:tc>
          <w:tcPr>
            <w:tcW w:w="2660" w:type="dxa"/>
            <w:vAlign w:val="bottom"/>
            <w:shd w:val="clear" w:color="auto" w:fill="003763"/>
          </w:tcPr>
          <w:p>
            <w:pPr>
              <w:jc w:val="center"/>
              <w:ind w:right="285"/>
              <w:spacing w:after="0"/>
              <w:rPr>
                <w:sz w:val="20"/>
                <w:szCs w:val="20"/>
                <w:color w:val="auto"/>
              </w:rPr>
            </w:pPr>
            <w:r>
              <w:rPr>
                <w:rFonts w:ascii="Arial" w:cs="Arial" w:eastAsia="Arial" w:hAnsi="Arial"/>
                <w:sz w:val="16"/>
                <w:szCs w:val="16"/>
                <w:color w:val="FFFFFF"/>
              </w:rPr>
              <w:t>on April 16, 2025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FFFFFF"/>
                <w:w w:val="96"/>
              </w:rPr>
              <w:t>1111 Louisiana, Houston, Texas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340" w:type="dxa"/>
            <w:vAlign w:val="bottom"/>
            <w:shd w:val="clear" w:color="auto" w:fill="003763"/>
          </w:tcPr>
          <w:p>
            <w:pPr>
              <w:spacing w:after="0"/>
              <w:rPr>
                <w:sz w:val="24"/>
                <w:szCs w:val="24"/>
                <w:color w:val="auto"/>
              </w:rPr>
            </w:pPr>
          </w:p>
        </w:tc>
        <w:tc>
          <w:tcPr>
            <w:tcW w:w="2660" w:type="dxa"/>
            <w:vAlign w:val="bottom"/>
            <w:shd w:val="clear" w:color="auto" w:fill="003763"/>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-1207770</wp:posOffset>
            </wp:positionV>
            <wp:extent cx="5880735" cy="1208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1208405"/>
                    </a:xfrm>
                    <a:prstGeom prst="rect">
                      <a:avLst/>
                    </a:prstGeom>
                    <a:noFill/>
                  </pic:spPr>
                </pic:pic>
              </a:graphicData>
            </a:graphic>
          </wp:anchor>
        </w:drawing>
      </w:r>
    </w:p>
    <w:p>
      <w:pPr>
        <w:spacing w:after="0" w:line="260"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9040" w:type="dxa"/>
            <w:vAlign w:val="bottom"/>
            <w:gridSpan w:val="2"/>
            <w:shd w:val="clear" w:color="auto" w:fill="003763"/>
          </w:tcPr>
          <w:p>
            <w:pPr>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Items of Business</w:t>
            </w:r>
          </w:p>
        </w:tc>
        <w:tc>
          <w:tcPr>
            <w:tcW w:w="20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CCCC"/>
            </w:tcBorders>
          </w:tcPr>
          <w:p>
            <w:pPr>
              <w:spacing w:after="0"/>
              <w:rPr>
                <w:sz w:val="24"/>
                <w:szCs w:val="24"/>
                <w:color w:val="auto"/>
              </w:rPr>
            </w:pPr>
          </w:p>
        </w:tc>
        <w:tc>
          <w:tcPr>
            <w:tcW w:w="180" w:type="dxa"/>
            <w:vAlign w:val="bottom"/>
            <w:tcBorders>
              <w:bottom w:val="single" w:sz="8" w:color="CCCCCC"/>
            </w:tcBorders>
          </w:tcPr>
          <w:p>
            <w:pPr>
              <w:spacing w:after="0" w:line="297"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 •</w:t>
            </w:r>
          </w:p>
        </w:tc>
        <w:tc>
          <w:tcPr>
            <w:tcW w:w="8860" w:type="dxa"/>
            <w:vAlign w:val="bottom"/>
            <w:tcBorders>
              <w:bottom w:val="single" w:sz="8" w:color="CCCCCC"/>
            </w:tcBorders>
          </w:tcPr>
          <w:p>
            <w:pPr>
              <w:ind w:left="60"/>
              <w:spacing w:after="0"/>
              <w:rPr>
                <w:sz w:val="20"/>
                <w:szCs w:val="20"/>
                <w:color w:val="auto"/>
              </w:rPr>
            </w:pPr>
            <w:r>
              <w:rPr>
                <w:rFonts w:ascii="Arial" w:cs="Arial" w:eastAsia="Arial" w:hAnsi="Arial"/>
                <w:sz w:val="15"/>
                <w:szCs w:val="15"/>
                <w:color w:val="auto"/>
              </w:rPr>
              <w:t>Elect the eleven nominees named in the Proxy Statement as directors to hold office until the 2026 annual meeting;</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1"/>
        </w:trPr>
        <w:tc>
          <w:tcPr>
            <w:tcW w:w="200" w:type="dxa"/>
            <w:vAlign w:val="bottom"/>
            <w:tcBorders>
              <w:bottom w:val="single" w:sz="8" w:color="CCCCCC"/>
            </w:tcBorders>
            <w:gridSpan w:val="2"/>
          </w:tcPr>
          <w:p>
            <w:pPr>
              <w:spacing w:after="0" w:line="291" w:lineRule="exact"/>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color w:val="auto"/>
                <w:vertAlign w:val="subscript"/>
              </w:rPr>
              <w:t>•</w:t>
            </w:r>
          </w:p>
        </w:tc>
        <w:tc>
          <w:tcPr>
            <w:tcW w:w="8860" w:type="dxa"/>
            <w:vAlign w:val="bottom"/>
            <w:tcBorders>
              <w:bottom w:val="single" w:sz="8" w:color="CCCCCC"/>
            </w:tcBorders>
          </w:tcPr>
          <w:p>
            <w:pPr>
              <w:ind w:left="60"/>
              <w:spacing w:after="0"/>
              <w:rPr>
                <w:sz w:val="20"/>
                <w:szCs w:val="20"/>
                <w:color w:val="auto"/>
              </w:rPr>
            </w:pPr>
            <w:r>
              <w:rPr>
                <w:rFonts w:ascii="Arial" w:cs="Arial" w:eastAsia="Arial" w:hAnsi="Arial"/>
                <w:sz w:val="15"/>
                <w:szCs w:val="15"/>
                <w:color w:val="auto"/>
              </w:rPr>
              <w:t>Ratify the appointment of Deloitte &amp; Touche LLP as our independent registered public accounting firm for 2025;</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0"/>
        </w:trPr>
        <w:tc>
          <w:tcPr>
            <w:tcW w:w="200" w:type="dxa"/>
            <w:vAlign w:val="bottom"/>
            <w:tcBorders>
              <w:bottom w:val="single" w:sz="8" w:color="CCCCCC"/>
            </w:tcBorders>
            <w:gridSpan w:val="2"/>
          </w:tcPr>
          <w:p>
            <w:pPr>
              <w:spacing w:after="0" w:line="291" w:lineRule="exact"/>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color w:val="auto"/>
                <w:vertAlign w:val="subscript"/>
              </w:rPr>
              <w:t>•</w:t>
            </w:r>
          </w:p>
        </w:tc>
        <w:tc>
          <w:tcPr>
            <w:tcW w:w="8860" w:type="dxa"/>
            <w:vAlign w:val="bottom"/>
            <w:tcBorders>
              <w:bottom w:val="single" w:sz="8" w:color="CCCCCC"/>
            </w:tcBorders>
          </w:tcPr>
          <w:p>
            <w:pPr>
              <w:ind w:left="60"/>
              <w:spacing w:after="0"/>
              <w:rPr>
                <w:sz w:val="20"/>
                <w:szCs w:val="20"/>
                <w:color w:val="auto"/>
              </w:rPr>
            </w:pPr>
            <w:r>
              <w:rPr>
                <w:rFonts w:ascii="Arial" w:cs="Arial" w:eastAsia="Arial" w:hAnsi="Arial"/>
                <w:sz w:val="15"/>
                <w:szCs w:val="15"/>
                <w:color w:val="auto"/>
              </w:rPr>
              <w:t>Conduct an advisory vote on executive compensation;</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200" w:type="dxa"/>
            <w:vAlign w:val="bottom"/>
            <w:gridSpan w:val="2"/>
          </w:tcPr>
          <w:p>
            <w:pPr>
              <w:spacing w:after="0" w:line="24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p>
        </w:tc>
        <w:tc>
          <w:tcPr>
            <w:tcW w:w="8860" w:type="dxa"/>
            <w:vAlign w:val="bottom"/>
          </w:tcPr>
          <w:p>
            <w:pPr>
              <w:ind w:left="60"/>
              <w:spacing w:after="0"/>
              <w:rPr>
                <w:sz w:val="20"/>
                <w:szCs w:val="20"/>
                <w:color w:val="auto"/>
              </w:rPr>
            </w:pPr>
            <w:r>
              <w:rPr>
                <w:rFonts w:ascii="Arial" w:cs="Arial" w:eastAsia="Arial" w:hAnsi="Arial"/>
                <w:sz w:val="15"/>
                <w:szCs w:val="15"/>
                <w:color w:val="auto"/>
              </w:rPr>
              <w:t>Approve an amendment to the CenterPoint Energy, Inc. Stock Plan for Outside Directors, as amended and restated, to increase the</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60" w:type="dxa"/>
            <w:vAlign w:val="bottom"/>
          </w:tcPr>
          <w:p>
            <w:pPr>
              <w:ind w:left="60"/>
              <w:spacing w:after="0"/>
              <w:rPr>
                <w:sz w:val="20"/>
                <w:szCs w:val="20"/>
                <w:color w:val="auto"/>
              </w:rPr>
            </w:pPr>
            <w:r>
              <w:rPr>
                <w:rFonts w:ascii="Arial" w:cs="Arial" w:eastAsia="Arial" w:hAnsi="Arial"/>
                <w:sz w:val="15"/>
                <w:szCs w:val="15"/>
                <w:color w:val="auto"/>
              </w:rPr>
              <w:t>number of shares of our common stock reserved for issuance under the plan by 350,000 shares; and</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0" w:type="dxa"/>
            <w:vAlign w:val="bottom"/>
            <w:tcBorders>
              <w:bottom w:val="single" w:sz="8" w:color="CCCCCC"/>
            </w:tcBorders>
          </w:tcPr>
          <w:p>
            <w:pPr>
              <w:spacing w:after="0"/>
              <w:rPr>
                <w:sz w:val="4"/>
                <w:szCs w:val="4"/>
                <w:color w:val="auto"/>
              </w:rPr>
            </w:pPr>
          </w:p>
        </w:tc>
        <w:tc>
          <w:tcPr>
            <w:tcW w:w="8860" w:type="dxa"/>
            <w:vAlign w:val="bottom"/>
            <w:tcBorders>
              <w:bottom w:val="single" w:sz="8" w:color="CCCCCC"/>
            </w:tcBorders>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CCCC"/>
            </w:tcBorders>
            <w:vMerge w:val="continue"/>
          </w:tcPr>
          <w:p>
            <w:pPr>
              <w:spacing w:after="0"/>
              <w:rPr>
                <w:sz w:val="24"/>
                <w:szCs w:val="24"/>
                <w:color w:val="auto"/>
              </w:rPr>
            </w:pPr>
          </w:p>
        </w:tc>
        <w:tc>
          <w:tcPr>
            <w:tcW w:w="180" w:type="dxa"/>
            <w:vAlign w:val="bottom"/>
            <w:tcBorders>
              <w:bottom w:val="single" w:sz="8" w:color="CCCCCC"/>
            </w:tcBorders>
          </w:tcPr>
          <w:p>
            <w:pPr>
              <w:spacing w:after="0" w:line="291" w:lineRule="exact"/>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color w:val="auto"/>
                <w:vertAlign w:val="subscript"/>
              </w:rPr>
              <w:t>•</w:t>
            </w:r>
          </w:p>
        </w:tc>
        <w:tc>
          <w:tcPr>
            <w:tcW w:w="8860" w:type="dxa"/>
            <w:vAlign w:val="bottom"/>
            <w:tcBorders>
              <w:bottom w:val="single" w:sz="8" w:color="CCCCCC"/>
            </w:tcBorders>
          </w:tcPr>
          <w:p>
            <w:pPr>
              <w:ind w:left="60"/>
              <w:spacing w:after="0"/>
              <w:rPr>
                <w:sz w:val="20"/>
                <w:szCs w:val="20"/>
                <w:color w:val="auto"/>
              </w:rPr>
            </w:pPr>
            <w:r>
              <w:rPr>
                <w:rFonts w:ascii="Arial" w:cs="Arial" w:eastAsia="Arial" w:hAnsi="Arial"/>
                <w:sz w:val="15"/>
                <w:szCs w:val="15"/>
                <w:color w:val="auto"/>
              </w:rPr>
              <w:t>Conduct other business if properly raised.</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RECORD DATE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Holders of record of CenterPoint Energy common stock at the close of business on February 18, 2025 are entitled to vote.</w:t>
      </w:r>
    </w:p>
    <w:p>
      <w:pPr>
        <w:spacing w:after="0" w:line="23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PROXY VOTING</w:t>
      </w:r>
    </w:p>
    <w:p>
      <w:pPr>
        <w:spacing w:after="0" w:line="122" w:lineRule="exact"/>
        <w:rPr>
          <w:sz w:val="20"/>
          <w:szCs w:val="20"/>
          <w:color w:val="auto"/>
        </w:rPr>
      </w:pPr>
    </w:p>
    <w:p>
      <w:pPr>
        <w:ind w:left="740" w:right="160"/>
        <w:spacing w:after="0" w:line="282" w:lineRule="auto"/>
        <w:rPr>
          <w:sz w:val="20"/>
          <w:szCs w:val="20"/>
          <w:color w:val="auto"/>
        </w:rPr>
      </w:pPr>
      <w:r>
        <w:rPr>
          <w:rFonts w:ascii="Arial" w:cs="Arial" w:eastAsia="Arial" w:hAnsi="Arial"/>
          <w:sz w:val="15"/>
          <w:szCs w:val="15"/>
          <w:color w:val="auto"/>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w:t>
      </w:r>
      <w:r>
        <w:rPr>
          <w:rFonts w:ascii="Arial" w:cs="Arial" w:eastAsia="Arial" w:hAnsi="Arial"/>
          <w:sz w:val="15"/>
          <w:szCs w:val="15"/>
          <w:u w:val="single" w:color="auto"/>
          <w:color w:val="0000EE"/>
        </w:rPr>
        <w:t>89</w:t>
      </w:r>
      <w:r>
        <w:rPr>
          <w:rFonts w:ascii="Arial" w:cs="Arial" w:eastAsia="Arial" w:hAnsi="Arial"/>
          <w:sz w:val="15"/>
          <w:szCs w:val="15"/>
          <w:color w:val="auto"/>
        </w:rPr>
        <w:t xml:space="preserve"> of the Proxy Statement that follows. </w:t>
      </w:r>
      <w:r>
        <w:rPr>
          <w:rFonts w:ascii="Arial" w:cs="Arial" w:eastAsia="Arial" w:hAnsi="Arial"/>
          <w:sz w:val="15"/>
          <w:szCs w:val="15"/>
          <w:b w:val="1"/>
          <w:bCs w:val="1"/>
          <w:color w:val="auto"/>
        </w:rPr>
        <w:t>Even if you plan to attend the meeting, please sign,</w:t>
      </w:r>
    </w:p>
    <w:p>
      <w:pPr>
        <w:spacing w:after="0" w:line="2" w:lineRule="exact"/>
        <w:rPr>
          <w:sz w:val="20"/>
          <w:szCs w:val="20"/>
          <w:color w:val="auto"/>
        </w:rPr>
      </w:pPr>
    </w:p>
    <w:p>
      <w:pPr>
        <w:ind w:left="740" w:right="200"/>
        <w:spacing w:after="0" w:line="293" w:lineRule="auto"/>
        <w:rPr>
          <w:sz w:val="20"/>
          <w:szCs w:val="20"/>
          <w:color w:val="auto"/>
        </w:rPr>
      </w:pPr>
      <w:r>
        <w:rPr>
          <w:rFonts w:ascii="Arial" w:cs="Arial" w:eastAsia="Arial" w:hAnsi="Arial"/>
          <w:sz w:val="16"/>
          <w:szCs w:val="16"/>
          <w:b w:val="1"/>
          <w:bCs w:val="1"/>
          <w:color w:val="auto"/>
        </w:rPr>
        <w:t>date, and return the enclosed proxy card or submit your proxy using the Internet or telephone procedures described on the proxy card.</w:t>
      </w:r>
    </w:p>
    <w:p>
      <w:pPr>
        <w:sectPr>
          <w:pgSz w:w="11900" w:h="16838" w:orient="portrait"/>
          <w:cols w:equalWidth="0" w:num="1">
            <w:col w:w="10080"/>
          </w:cols>
          <w:pgMar w:left="580" w:top="97" w:right="1239" w:bottom="1440" w:gutter="0" w:footer="0" w:header="0"/>
        </w:sectPr>
      </w:pPr>
    </w:p>
    <w:p>
      <w:pPr>
        <w:spacing w:after="0" w:line="67"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700" w:type="dxa"/>
            <w:vAlign w:val="bottom"/>
            <w:gridSpan w:val="2"/>
          </w:tcPr>
          <w:p>
            <w:pPr>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6"/>
                <w:szCs w:val="16"/>
                <w:color w:val="auto"/>
              </w:rPr>
            </w:pPr>
          </w:p>
        </w:tc>
        <w:tc>
          <w:tcPr>
            <w:tcW w:w="4480" w:type="dxa"/>
            <w:vAlign w:val="bottom"/>
          </w:tcPr>
          <w:p>
            <w:pPr>
              <w:ind w:left="4300"/>
              <w:spacing w:after="0"/>
              <w:rPr>
                <w:sz w:val="20"/>
                <w:szCs w:val="20"/>
                <w:color w:val="auto"/>
              </w:rPr>
            </w:pPr>
            <w:r>
              <w:rPr>
                <w:rFonts w:ascii="Arial" w:cs="Arial" w:eastAsia="Arial" w:hAnsi="Arial"/>
                <w:sz w:val="16"/>
                <w:szCs w:val="16"/>
                <w:color w:val="auto"/>
              </w:rPr>
              <w:t>​ ​</w:t>
            </w:r>
          </w:p>
        </w:tc>
        <w:tc>
          <w:tcPr>
            <w:tcW w:w="262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00" w:type="dxa"/>
            <w:vAlign w:val="bottom"/>
            <w:gridSpan w:val="2"/>
          </w:tcPr>
          <w:p>
            <w:pPr>
              <w:spacing w:after="0" w:line="134" w:lineRule="exact"/>
              <w:rPr>
                <w:sz w:val="20"/>
                <w:szCs w:val="20"/>
                <w:color w:val="auto"/>
              </w:rPr>
            </w:pPr>
            <w:r>
              <w:rPr>
                <w:rFonts w:ascii="Arial" w:cs="Arial" w:eastAsia="Arial" w:hAnsi="Arial"/>
                <w:sz w:val="15"/>
                <w:szCs w:val="15"/>
                <w:color w:val="auto"/>
              </w:rPr>
              <w:t>Sincerely,</w:t>
            </w:r>
          </w:p>
        </w:tc>
        <w:tc>
          <w:tcPr>
            <w:tcW w:w="10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00" w:type="dxa"/>
            <w:vAlign w:val="bottom"/>
            <w:gridSpan w:val="2"/>
          </w:tcPr>
          <w:p>
            <w:pPr>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4"/>
                <w:szCs w:val="24"/>
                <w:color w:val="auto"/>
              </w:rPr>
            </w:pPr>
          </w:p>
        </w:tc>
        <w:tc>
          <w:tcPr>
            <w:tcW w:w="4480" w:type="dxa"/>
            <w:vAlign w:val="bottom"/>
          </w:tcPr>
          <w:p>
            <w:pPr>
              <w:ind w:left="4300"/>
              <w:spacing w:after="0"/>
              <w:rPr>
                <w:sz w:val="20"/>
                <w:szCs w:val="20"/>
                <w:color w:val="auto"/>
              </w:rPr>
            </w:pPr>
            <w:r>
              <w:rPr>
                <w:rFonts w:ascii="Arial" w:cs="Arial" w:eastAsia="Arial" w:hAnsi="Arial"/>
                <w:sz w:val="16"/>
                <w:szCs w:val="16"/>
                <w:color w:val="auto"/>
              </w:rPr>
              <w:t>​ ​</w:t>
            </w:r>
          </w:p>
        </w:tc>
        <w:tc>
          <w:tcPr>
            <w:tcW w:w="262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00" w:type="dxa"/>
            <w:vAlign w:val="bottom"/>
            <w:gridSpan w:val="2"/>
          </w:tcPr>
          <w:p>
            <w:pPr>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4"/>
                <w:szCs w:val="24"/>
                <w:color w:val="auto"/>
              </w:rPr>
            </w:pPr>
          </w:p>
        </w:tc>
        <w:tc>
          <w:tcPr>
            <w:tcW w:w="4480" w:type="dxa"/>
            <w:vAlign w:val="bottom"/>
          </w:tcPr>
          <w:p>
            <w:pPr>
              <w:ind w:left="4300"/>
              <w:spacing w:after="0"/>
              <w:rPr>
                <w:sz w:val="20"/>
                <w:szCs w:val="20"/>
                <w:color w:val="auto"/>
              </w:rPr>
            </w:pPr>
            <w:r>
              <w:rPr>
                <w:rFonts w:ascii="Arial" w:cs="Arial" w:eastAsia="Arial" w:hAnsi="Arial"/>
                <w:sz w:val="16"/>
                <w:szCs w:val="16"/>
                <w:color w:val="auto"/>
              </w:rPr>
              <w:t>​ ​</w:t>
            </w:r>
          </w:p>
        </w:tc>
        <w:tc>
          <w:tcPr>
            <w:tcW w:w="294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Dated and first mailed to shareholders on</w:t>
            </w:r>
          </w:p>
        </w:tc>
        <w:tc>
          <w:tcPr>
            <w:tcW w:w="0" w:type="dxa"/>
            <w:vAlign w:val="bottom"/>
          </w:tcPr>
          <w:p>
            <w:pPr>
              <w:spacing w:after="0"/>
              <w:rPr>
                <w:sz w:val="1"/>
                <w:szCs w:val="1"/>
                <w:color w:val="auto"/>
              </w:rPr>
            </w:pPr>
          </w:p>
        </w:tc>
      </w:tr>
      <w:tr>
        <w:trPr>
          <w:trHeight w:val="80"/>
        </w:trPr>
        <w:tc>
          <w:tcPr>
            <w:tcW w:w="172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Vincent A. Mercaldi</w:t>
            </w:r>
          </w:p>
        </w:tc>
        <w:tc>
          <w:tcPr>
            <w:tcW w:w="448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20" w:type="dxa"/>
            <w:vAlign w:val="bottom"/>
            <w:gridSpan w:val="3"/>
          </w:tcPr>
          <w:p>
            <w:pPr>
              <w:spacing w:after="0"/>
              <w:rPr>
                <w:sz w:val="20"/>
                <w:szCs w:val="20"/>
                <w:color w:val="auto"/>
              </w:rPr>
            </w:pPr>
            <w:r>
              <w:rPr>
                <w:rFonts w:ascii="Arial" w:cs="Arial" w:eastAsia="Arial" w:hAnsi="Arial"/>
                <w:sz w:val="16"/>
                <w:szCs w:val="16"/>
                <w:color w:val="auto"/>
              </w:rPr>
              <w:t>Corporate Secretary</w:t>
            </w:r>
          </w:p>
        </w:tc>
        <w:tc>
          <w:tcPr>
            <w:tcW w:w="448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or about March 5, 2025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1"/>
        </w:trPr>
        <w:tc>
          <w:tcPr>
            <w:tcW w:w="32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2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auto"/>
              </w:rPr>
              <w:t>​</w:t>
            </w:r>
          </w:p>
        </w:tc>
        <w:tc>
          <w:tcPr>
            <w:tcW w:w="3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F2F2F2"/>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00" w:type="dxa"/>
            <w:vAlign w:val="bottom"/>
            <w:gridSpan w:val="2"/>
          </w:tcPr>
          <w:p>
            <w:pPr>
              <w:ind w:left="24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F2F2F2"/>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100" w:type="dxa"/>
            <w:vAlign w:val="bottom"/>
            <w:gridSpan w:val="2"/>
          </w:tcPr>
          <w:p>
            <w:pPr>
              <w:jc w:val="center"/>
              <w:ind w:right="1219"/>
              <w:spacing w:after="0"/>
              <w:rPr>
                <w:sz w:val="20"/>
                <w:szCs w:val="20"/>
                <w:color w:val="auto"/>
              </w:rPr>
            </w:pPr>
            <w:r>
              <w:rPr>
                <w:rFonts w:ascii="Arial" w:cs="Arial" w:eastAsia="Arial" w:hAnsi="Arial"/>
                <w:sz w:val="16"/>
                <w:szCs w:val="16"/>
                <w:b w:val="1"/>
                <w:bCs w:val="1"/>
                <w:color w:val="auto"/>
              </w:rPr>
              <w:t>Annual Shareholder Meeting to be Held April 16, 2025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8120" w:type="dxa"/>
            <w:vAlign w:val="bottom"/>
            <w:gridSpan w:val="3"/>
          </w:tcPr>
          <w:p>
            <w:pPr>
              <w:jc w:val="center"/>
              <w:ind w:right="199"/>
              <w:spacing w:after="0"/>
              <w:rPr>
                <w:sz w:val="20"/>
                <w:szCs w:val="20"/>
                <w:color w:val="auto"/>
              </w:rPr>
            </w:pPr>
            <w:r>
              <w:rPr>
                <w:rFonts w:ascii="Arial" w:cs="Arial" w:eastAsia="Arial" w:hAnsi="Arial"/>
                <w:sz w:val="16"/>
                <w:szCs w:val="16"/>
                <w:color w:val="auto"/>
                <w:w w:val="99"/>
              </w:rPr>
              <w:t>The proxy statement and annual report to shareholders are available at: https://materials.proxyvote.com/15189t</w:t>
            </w:r>
          </w:p>
        </w:tc>
        <w:tc>
          <w:tcPr>
            <w:tcW w:w="320" w:type="dxa"/>
            <w:vAlign w:val="bottom"/>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320" w:type="dxa"/>
            <w:vAlign w:val="bottom"/>
            <w:shd w:val="clear" w:color="auto" w:fill="F2F2F2"/>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-762000</wp:posOffset>
            </wp:positionV>
            <wp:extent cx="5880735" cy="762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76263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-1679575</wp:posOffset>
            </wp:positionV>
            <wp:extent cx="13284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84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76" w:lineRule="exact"/>
        <w:rPr>
          <w:sz w:val="20"/>
          <w:szCs w:val="20"/>
          <w:color w:val="auto"/>
        </w:rPr>
      </w:pPr>
    </w:p>
    <w:p>
      <w:pPr>
        <w:sectPr>
          <w:pgSz w:w="11900" w:h="16838" w:orient="portrait"/>
          <w:cols w:equalWidth="0" w:num="2">
            <w:col w:w="9880" w:space="120"/>
            <w:col w:w="80"/>
          </w:cols>
          <w:pgMar w:left="580" w:top="97" w:right="1239" w:bottom="1440" w:gutter="0" w:footer="0" w:header="0"/>
          <w:type w:val="continuous"/>
        </w:sectPr>
      </w:pPr>
    </w:p>
    <w:p>
      <w:pPr>
        <w:spacing w:after="0" w:line="39" w:lineRule="exact"/>
        <w:rPr>
          <w:sz w:val="20"/>
          <w:szCs w:val="20"/>
          <w:color w:val="auto"/>
        </w:rPr>
      </w:pPr>
    </w:p>
    <w:p>
      <w:pPr>
        <w:ind w:left="740"/>
        <w:spacing w:after="0"/>
        <w:tabs>
          <w:tab w:leader="none" w:pos="9980" w:val="left"/>
        </w:tabs>
        <w:rPr>
          <w:sz w:val="20"/>
          <w:szCs w:val="20"/>
          <w:color w:val="auto"/>
        </w:rPr>
      </w:pP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sz w:val="20"/>
          <w:szCs w:val="20"/>
          <w:color w:val="auto"/>
        </w:rPr>
        <w:tab/>
      </w:r>
      <w:r>
        <w:rPr>
          <w:rFonts w:ascii="Arial" w:cs="Arial" w:eastAsia="Arial" w:hAnsi="Arial"/>
          <w:sz w:val="13"/>
          <w:szCs w:val="13"/>
          <w:b w:val="1"/>
          <w:bCs w:val="1"/>
          <w:color w:val="6EC4E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Proxy Statement Summary</w:t>
      </w:r>
    </w:p>
    <w:p>
      <w:pPr>
        <w:spacing w:after="0" w:line="200" w:lineRule="exact"/>
        <w:rPr>
          <w:sz w:val="20"/>
          <w:szCs w:val="20"/>
          <w:color w:val="auto"/>
        </w:rPr>
      </w:pPr>
    </w:p>
    <w:p>
      <w:pPr>
        <w:spacing w:after="0" w:line="265" w:lineRule="exact"/>
        <w:rPr>
          <w:sz w:val="20"/>
          <w:szCs w:val="20"/>
          <w:color w:val="auto"/>
        </w:rPr>
      </w:pPr>
    </w:p>
    <w:p>
      <w:pPr>
        <w:ind w:left="740" w:right="80"/>
        <w:spacing w:after="0" w:line="304" w:lineRule="auto"/>
        <w:rPr>
          <w:sz w:val="20"/>
          <w:szCs w:val="20"/>
          <w:color w:val="auto"/>
        </w:rPr>
      </w:pPr>
      <w:r>
        <w:rPr>
          <w:rFonts w:ascii="Arial" w:cs="Arial" w:eastAsia="Arial" w:hAnsi="Arial"/>
          <w:sz w:val="16"/>
          <w:szCs w:val="16"/>
          <w:color w:val="auto"/>
        </w:rPr>
        <w:t>This summary highlights information that is contained elsewhere in this Proxy Statement. It does not contain all the information that you should consider. We encourage you to read the entire Proxy Statement carefully before voting.</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Annual Meeting Agenda and Voting Recommendations</w:t>
      </w:r>
    </w:p>
    <w:p>
      <w:pPr>
        <w:spacing w:after="0" w:line="126" w:lineRule="exact"/>
        <w:rPr>
          <w:sz w:val="20"/>
          <w:szCs w:val="20"/>
          <w:color w:val="auto"/>
        </w:rPr>
      </w:pPr>
    </w:p>
    <w:p>
      <w:pPr>
        <w:ind w:left="740" w:right="160"/>
        <w:spacing w:after="0" w:line="304" w:lineRule="auto"/>
        <w:rPr>
          <w:sz w:val="20"/>
          <w:szCs w:val="20"/>
          <w:color w:val="auto"/>
        </w:rPr>
      </w:pPr>
      <w:r>
        <w:rPr>
          <w:rFonts w:ascii="Arial" w:cs="Arial" w:eastAsia="Arial" w:hAnsi="Arial"/>
          <w:sz w:val="16"/>
          <w:szCs w:val="16"/>
          <w:color w:val="auto"/>
        </w:rPr>
        <w:t>At the 2025 annual meeting of shareholders (Annual Meeting), you will be asked to vote on the following four proposals. The table below includes each proposal as well as our recommendation.</w:t>
      </w:r>
    </w:p>
    <w:p>
      <w:pPr>
        <w:spacing w:after="0" w:line="71"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5700" w:type="dxa"/>
            <w:vAlign w:val="bottom"/>
            <w:shd w:val="clear" w:color="auto" w:fill="003763"/>
          </w:tcPr>
          <w:p>
            <w:pPr>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Proposal</w:t>
            </w:r>
          </w:p>
        </w:tc>
        <w:tc>
          <w:tcPr>
            <w:tcW w:w="360" w:type="dxa"/>
            <w:vAlign w:val="bottom"/>
            <w:shd w:val="clear" w:color="auto" w:fill="003763"/>
          </w:tcPr>
          <w:p>
            <w:pPr>
              <w:ind w:left="180"/>
              <w:spacing w:after="0"/>
              <w:rPr>
                <w:sz w:val="20"/>
                <w:szCs w:val="20"/>
                <w:color w:val="auto"/>
              </w:rPr>
            </w:pPr>
            <w:r>
              <w:rPr>
                <w:rFonts w:ascii="Arial" w:cs="Arial" w:eastAsia="Arial" w:hAnsi="Arial"/>
                <w:sz w:val="13"/>
                <w:szCs w:val="13"/>
                <w:b w:val="1"/>
                <w:bCs w:val="1"/>
                <w:color w:val="FFFFFF"/>
              </w:rPr>
              <w:t>​ ​</w:t>
            </w:r>
          </w:p>
        </w:tc>
        <w:tc>
          <w:tcPr>
            <w:tcW w:w="1380" w:type="dxa"/>
            <w:vAlign w:val="bottom"/>
            <w:gridSpan w:val="5"/>
            <w:shd w:val="clear" w:color="auto" w:fill="003763"/>
          </w:tcPr>
          <w:p>
            <w:pPr>
              <w:ind w:left="40"/>
              <w:spacing w:after="0"/>
              <w:rPr>
                <w:sz w:val="20"/>
                <w:szCs w:val="20"/>
                <w:color w:val="auto"/>
              </w:rPr>
            </w:pPr>
            <w:r>
              <w:rPr>
                <w:rFonts w:ascii="Arial" w:cs="Arial" w:eastAsia="Arial" w:hAnsi="Arial"/>
                <w:sz w:val="13"/>
                <w:szCs w:val="13"/>
                <w:b w:val="1"/>
                <w:bCs w:val="1"/>
                <w:color w:val="FFFFFF"/>
              </w:rPr>
              <w:t xml:space="preserve">More Information </w:t>
            </w:r>
            <w:r>
              <w:rPr>
                <w:rFonts w:ascii="Arial" w:cs="Arial" w:eastAsia="Arial" w:hAnsi="Arial"/>
                <w:sz w:val="25"/>
                <w:szCs w:val="25"/>
                <w:b w:val="1"/>
                <w:bCs w:val="1"/>
                <w:color w:val="FFFFFF"/>
                <w:vertAlign w:val="subscript"/>
              </w:rPr>
              <w:t>​ ​</w:t>
            </w:r>
          </w:p>
        </w:tc>
        <w:tc>
          <w:tcPr>
            <w:tcW w:w="1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Board Recommendation</w:t>
            </w:r>
          </w:p>
        </w:tc>
        <w:tc>
          <w:tcPr>
            <w:tcW w:w="18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b w:val="1"/>
                <w:bCs w:val="1"/>
                <w:color w:val="auto"/>
              </w:rPr>
              <w:t xml:space="preserve"> Item 1: </w:t>
            </w:r>
            <w:r>
              <w:rPr>
                <w:rFonts w:ascii="Arial" w:cs="Arial" w:eastAsia="Arial" w:hAnsi="Arial"/>
                <w:sz w:val="13"/>
                <w:szCs w:val="13"/>
                <w:color w:val="auto"/>
              </w:rPr>
              <w:t>Election of directors</w:t>
            </w:r>
          </w:p>
        </w:tc>
        <w:tc>
          <w:tcPr>
            <w:tcW w:w="360" w:type="dxa"/>
            <w:vAlign w:val="bottom"/>
          </w:tcPr>
          <w:p>
            <w:pPr>
              <w:ind w:left="180"/>
              <w:spacing w:after="0"/>
              <w:rPr>
                <w:sz w:val="20"/>
                <w:szCs w:val="20"/>
                <w:color w:val="auto"/>
              </w:rPr>
            </w:pPr>
            <w:r>
              <w:rPr>
                <w:rFonts w:ascii="Arial" w:cs="Arial" w:eastAsia="Arial" w:hAnsi="Arial"/>
                <w:sz w:val="15"/>
                <w:szCs w:val="15"/>
                <w:color w:val="auto"/>
              </w:rPr>
              <w:t>​ ​</w:t>
            </w:r>
          </w:p>
        </w:tc>
        <w:tc>
          <w:tcPr>
            <w:tcW w:w="940" w:type="dxa"/>
            <w:vAlign w:val="bottom"/>
            <w:gridSpan w:val="4"/>
          </w:tcPr>
          <w:p>
            <w:pPr>
              <w:ind w:left="20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6</w:t>
            </w:r>
          </w:p>
        </w:tc>
        <w:tc>
          <w:tcPr>
            <w:tcW w:w="440" w:type="dxa"/>
            <w:vAlign w:val="bottom"/>
          </w:tcPr>
          <w:p>
            <w:pPr>
              <w:ind w:left="180"/>
              <w:spacing w:after="0"/>
              <w:rPr>
                <w:sz w:val="20"/>
                <w:szCs w:val="20"/>
                <w:color w:val="auto"/>
              </w:rPr>
            </w:pPr>
            <w:r>
              <w:rPr>
                <w:rFonts w:ascii="Arial" w:cs="Arial" w:eastAsia="Arial" w:hAnsi="Arial"/>
                <w:sz w:val="15"/>
                <w:szCs w:val="15"/>
                <w:color w:val="auto"/>
              </w:rPr>
              <w:t>​ ​</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9"/>
              </w:rPr>
              <w:t xml:space="preserve">FOR </w:t>
            </w:r>
            <w:r>
              <w:rPr>
                <w:rFonts w:ascii="Arial" w:cs="Arial" w:eastAsia="Arial" w:hAnsi="Arial"/>
                <w:sz w:val="15"/>
                <w:szCs w:val="15"/>
                <w:color w:val="auto"/>
                <w:w w:val="99"/>
              </w:rPr>
              <w:t>each Nominee</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1"/>
        </w:trPr>
        <w:tc>
          <w:tcPr>
            <w:tcW w:w="20" w:type="dxa"/>
            <w:vAlign w:val="bottom"/>
            <w:tcBorders>
              <w:bottom w:val="single" w:sz="8" w:color="CCCCCC"/>
            </w:tcBorders>
          </w:tcPr>
          <w:p>
            <w:pPr>
              <w:spacing w:after="0"/>
              <w:rPr>
                <w:sz w:val="5"/>
                <w:szCs w:val="5"/>
                <w:color w:val="auto"/>
              </w:rPr>
            </w:pPr>
          </w:p>
        </w:tc>
        <w:tc>
          <w:tcPr>
            <w:tcW w:w="5700" w:type="dxa"/>
            <w:vAlign w:val="bottom"/>
            <w:tcBorders>
              <w:bottom w:val="single" w:sz="8" w:color="CCCCCC"/>
            </w:tcBorders>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100" w:type="dxa"/>
            <w:vAlign w:val="bottom"/>
            <w:tcBorders>
              <w:top w:val="single" w:sz="8" w:color="0000EE"/>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440" w:type="dxa"/>
            <w:vAlign w:val="bottom"/>
            <w:tcBorders>
              <w:bottom w:val="single" w:sz="8" w:color="CCCCCC"/>
            </w:tcBorders>
          </w:tcPr>
          <w:p>
            <w:pPr>
              <w:spacing w:after="0"/>
              <w:rPr>
                <w:sz w:val="5"/>
                <w:szCs w:val="5"/>
                <w:color w:val="auto"/>
              </w:rPr>
            </w:pPr>
          </w:p>
        </w:tc>
        <w:tc>
          <w:tcPr>
            <w:tcW w:w="162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72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 xml:space="preserve"> Item 2: </w:t>
            </w:r>
            <w:r>
              <w:rPr>
                <w:rFonts w:ascii="Arial" w:cs="Arial" w:eastAsia="Arial" w:hAnsi="Arial"/>
                <w:sz w:val="12"/>
                <w:szCs w:val="12"/>
                <w:color w:val="auto"/>
              </w:rPr>
              <w:t>Ratification of appointment of the independent registered public</w:t>
            </w:r>
          </w:p>
        </w:tc>
        <w:tc>
          <w:tcPr>
            <w:tcW w:w="360" w:type="dxa"/>
            <w:vAlign w:val="bottom"/>
          </w:tcPr>
          <w:p>
            <w:pPr>
              <w:ind w:left="180"/>
              <w:spacing w:after="0"/>
              <w:rPr>
                <w:sz w:val="20"/>
                <w:szCs w:val="20"/>
                <w:color w:val="auto"/>
              </w:rPr>
            </w:pPr>
            <w:r>
              <w:rPr>
                <w:rFonts w:ascii="Arial" w:cs="Arial" w:eastAsia="Arial" w:hAnsi="Arial"/>
                <w:sz w:val="15"/>
                <w:szCs w:val="15"/>
                <w:color w:val="auto"/>
              </w:rPr>
              <w:t>​ ​</w:t>
            </w:r>
          </w:p>
        </w:tc>
        <w:tc>
          <w:tcPr>
            <w:tcW w:w="940" w:type="dxa"/>
            <w:vAlign w:val="bottom"/>
            <w:gridSpan w:val="4"/>
          </w:tcPr>
          <w:p>
            <w:pPr>
              <w:ind w:left="20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83</w:t>
            </w:r>
          </w:p>
        </w:tc>
        <w:tc>
          <w:tcPr>
            <w:tcW w:w="440" w:type="dxa"/>
            <w:vAlign w:val="bottom"/>
          </w:tcPr>
          <w:p>
            <w:pPr>
              <w:ind w:left="180"/>
              <w:spacing w:after="0"/>
              <w:rPr>
                <w:sz w:val="20"/>
                <w:szCs w:val="20"/>
                <w:color w:val="auto"/>
              </w:rPr>
            </w:pPr>
            <w:r>
              <w:rPr>
                <w:rFonts w:ascii="Arial" w:cs="Arial" w:eastAsia="Arial" w:hAnsi="Arial"/>
                <w:sz w:val="15"/>
                <w:szCs w:val="15"/>
                <w:color w:val="auto"/>
              </w:rPr>
              <w:t>​ ​</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FOR</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tcPr>
          <w:p>
            <w:pPr>
              <w:ind w:left="620"/>
              <w:spacing w:after="0"/>
              <w:rPr>
                <w:sz w:val="20"/>
                <w:szCs w:val="20"/>
                <w:color w:val="auto"/>
              </w:rPr>
            </w:pPr>
            <w:r>
              <w:rPr>
                <w:rFonts w:ascii="Arial" w:cs="Arial" w:eastAsia="Arial" w:hAnsi="Arial"/>
                <w:sz w:val="15"/>
                <w:szCs w:val="15"/>
                <w:color w:val="auto"/>
              </w:rPr>
              <w:t>accounting firm</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5700" w:type="dxa"/>
            <w:vAlign w:val="bottom"/>
            <w:tcBorders>
              <w:bottom w:val="single" w:sz="8" w:color="CCCCCC"/>
            </w:tcBorders>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440" w:type="dxa"/>
            <w:vAlign w:val="bottom"/>
            <w:tcBorders>
              <w:bottom w:val="single" w:sz="8" w:color="CCCCCC"/>
            </w:tcBorders>
          </w:tcPr>
          <w:p>
            <w:pPr>
              <w:spacing w:after="0"/>
              <w:rPr>
                <w:sz w:val="5"/>
                <w:szCs w:val="5"/>
                <w:color w:val="auto"/>
              </w:rPr>
            </w:pPr>
          </w:p>
        </w:tc>
        <w:tc>
          <w:tcPr>
            <w:tcW w:w="162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0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 xml:space="preserve"> Item 3: </w:t>
            </w:r>
            <w:r>
              <w:rPr>
                <w:rFonts w:ascii="Arial" w:cs="Arial" w:eastAsia="Arial" w:hAnsi="Arial"/>
                <w:sz w:val="12"/>
                <w:szCs w:val="12"/>
                <w:color w:val="auto"/>
              </w:rPr>
              <w:t>Advisory vote on executive compensation</w:t>
            </w:r>
          </w:p>
        </w:tc>
        <w:tc>
          <w:tcPr>
            <w:tcW w:w="360" w:type="dxa"/>
            <w:vAlign w:val="bottom"/>
          </w:tcPr>
          <w:p>
            <w:pPr>
              <w:ind w:left="180"/>
              <w:spacing w:after="0"/>
              <w:rPr>
                <w:sz w:val="20"/>
                <w:szCs w:val="20"/>
                <w:color w:val="auto"/>
              </w:rPr>
            </w:pPr>
            <w:r>
              <w:rPr>
                <w:rFonts w:ascii="Arial" w:cs="Arial" w:eastAsia="Arial" w:hAnsi="Arial"/>
                <w:sz w:val="15"/>
                <w:szCs w:val="15"/>
                <w:color w:val="auto"/>
              </w:rPr>
              <w:t>​ ​</w:t>
            </w:r>
          </w:p>
        </w:tc>
        <w:tc>
          <w:tcPr>
            <w:tcW w:w="940" w:type="dxa"/>
            <w:vAlign w:val="bottom"/>
            <w:gridSpan w:val="4"/>
          </w:tcPr>
          <w:p>
            <w:pPr>
              <w:ind w:left="20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84</w:t>
            </w:r>
          </w:p>
        </w:tc>
        <w:tc>
          <w:tcPr>
            <w:tcW w:w="440" w:type="dxa"/>
            <w:vAlign w:val="bottom"/>
          </w:tcPr>
          <w:p>
            <w:pPr>
              <w:ind w:left="180"/>
              <w:spacing w:after="0"/>
              <w:rPr>
                <w:sz w:val="20"/>
                <w:szCs w:val="20"/>
                <w:color w:val="auto"/>
              </w:rPr>
            </w:pPr>
            <w:r>
              <w:rPr>
                <w:rFonts w:ascii="Arial" w:cs="Arial" w:eastAsia="Arial" w:hAnsi="Arial"/>
                <w:sz w:val="15"/>
                <w:szCs w:val="15"/>
                <w:color w:val="auto"/>
              </w:rPr>
              <w:t>​ ​</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FOR</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1"/>
        </w:trPr>
        <w:tc>
          <w:tcPr>
            <w:tcW w:w="20" w:type="dxa"/>
            <w:vAlign w:val="bottom"/>
            <w:tcBorders>
              <w:bottom w:val="single" w:sz="8" w:color="CCCCCC"/>
            </w:tcBorders>
          </w:tcPr>
          <w:p>
            <w:pPr>
              <w:spacing w:after="0"/>
              <w:rPr>
                <w:sz w:val="5"/>
                <w:szCs w:val="5"/>
                <w:color w:val="auto"/>
              </w:rPr>
            </w:pPr>
          </w:p>
        </w:tc>
        <w:tc>
          <w:tcPr>
            <w:tcW w:w="5700" w:type="dxa"/>
            <w:vAlign w:val="bottom"/>
            <w:tcBorders>
              <w:bottom w:val="single" w:sz="8" w:color="CCCCCC"/>
            </w:tcBorders>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100" w:type="dxa"/>
            <w:vAlign w:val="bottom"/>
            <w:tcBorders>
              <w:top w:val="single" w:sz="8" w:color="0000EE"/>
              <w:bottom w:val="single" w:sz="8" w:color="CCCCCC"/>
            </w:tcBorders>
          </w:tcPr>
          <w:p>
            <w:pPr>
              <w:spacing w:after="0"/>
              <w:rPr>
                <w:sz w:val="5"/>
                <w:szCs w:val="5"/>
                <w:color w:val="auto"/>
              </w:rPr>
            </w:pPr>
          </w:p>
        </w:tc>
        <w:tc>
          <w:tcPr>
            <w:tcW w:w="80" w:type="dxa"/>
            <w:vAlign w:val="bottom"/>
            <w:tcBorders>
              <w:top w:val="single" w:sz="8" w:color="0000EE"/>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440" w:type="dxa"/>
            <w:vAlign w:val="bottom"/>
            <w:tcBorders>
              <w:bottom w:val="single" w:sz="8" w:color="CCCCCC"/>
            </w:tcBorders>
          </w:tcPr>
          <w:p>
            <w:pPr>
              <w:spacing w:after="0"/>
              <w:rPr>
                <w:sz w:val="5"/>
                <w:szCs w:val="5"/>
                <w:color w:val="auto"/>
              </w:rPr>
            </w:pPr>
          </w:p>
        </w:tc>
        <w:tc>
          <w:tcPr>
            <w:tcW w:w="162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720" w:type="dxa"/>
            <w:vAlign w:val="bottom"/>
            <w:gridSpan w:val="2"/>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 xml:space="preserve"> Item 4: </w:t>
            </w:r>
            <w:r>
              <w:rPr>
                <w:rFonts w:ascii="Arial" w:cs="Arial" w:eastAsia="Arial" w:hAnsi="Arial"/>
                <w:sz w:val="12"/>
                <w:szCs w:val="12"/>
                <w:color w:val="auto"/>
              </w:rPr>
              <w:t>Approval of the amendment to the CenterPoint Energy, Inc. Stock Plan for</w:t>
            </w:r>
          </w:p>
        </w:tc>
        <w:tc>
          <w:tcPr>
            <w:tcW w:w="360" w:type="dxa"/>
            <w:vAlign w:val="bottom"/>
          </w:tcPr>
          <w:p>
            <w:pPr>
              <w:ind w:left="180"/>
              <w:spacing w:after="0"/>
              <w:rPr>
                <w:sz w:val="20"/>
                <w:szCs w:val="20"/>
                <w:color w:val="auto"/>
              </w:rPr>
            </w:pPr>
            <w:r>
              <w:rPr>
                <w:rFonts w:ascii="Arial" w:cs="Arial" w:eastAsia="Arial" w:hAnsi="Arial"/>
                <w:sz w:val="15"/>
                <w:szCs w:val="15"/>
                <w:color w:val="auto"/>
              </w:rPr>
              <w:t>​ ​</w:t>
            </w:r>
          </w:p>
        </w:tc>
        <w:tc>
          <w:tcPr>
            <w:tcW w:w="940" w:type="dxa"/>
            <w:vAlign w:val="bottom"/>
            <w:gridSpan w:val="4"/>
          </w:tcPr>
          <w:p>
            <w:pPr>
              <w:ind w:left="20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87</w:t>
            </w:r>
          </w:p>
        </w:tc>
        <w:tc>
          <w:tcPr>
            <w:tcW w:w="440" w:type="dxa"/>
            <w:vAlign w:val="bottom"/>
          </w:tcPr>
          <w:p>
            <w:pPr>
              <w:ind w:left="180"/>
              <w:spacing w:after="0"/>
              <w:rPr>
                <w:sz w:val="20"/>
                <w:szCs w:val="20"/>
                <w:color w:val="auto"/>
              </w:rPr>
            </w:pPr>
            <w:r>
              <w:rPr>
                <w:rFonts w:ascii="Arial" w:cs="Arial" w:eastAsia="Arial" w:hAnsi="Arial"/>
                <w:sz w:val="15"/>
                <w:szCs w:val="15"/>
                <w:color w:val="auto"/>
              </w:rPr>
              <w:t>​ ​</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FOR</w:t>
            </w:r>
          </w:p>
        </w:tc>
        <w:tc>
          <w:tcPr>
            <w:tcW w:w="180" w:type="dxa"/>
            <w:vAlign w:val="bottom"/>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tcPr>
          <w:p>
            <w:pPr>
              <w:ind w:left="620"/>
              <w:spacing w:after="0"/>
              <w:rPr>
                <w:sz w:val="20"/>
                <w:szCs w:val="20"/>
                <w:color w:val="auto"/>
              </w:rPr>
            </w:pPr>
            <w:r>
              <w:rPr>
                <w:rFonts w:ascii="Arial" w:cs="Arial" w:eastAsia="Arial" w:hAnsi="Arial"/>
                <w:sz w:val="15"/>
                <w:szCs w:val="15"/>
                <w:color w:val="auto"/>
              </w:rPr>
              <w:t>Outside Directors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700" w:type="dxa"/>
            <w:vAlign w:val="bottom"/>
            <w:tcBorders>
              <w:bottom w:val="single" w:sz="8" w:color="CCCCCC"/>
            </w:tcBorders>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440" w:type="dxa"/>
            <w:vAlign w:val="bottom"/>
            <w:tcBorders>
              <w:bottom w:val="single" w:sz="8" w:color="CCCCCC"/>
            </w:tcBorders>
          </w:tcPr>
          <w:p>
            <w:pPr>
              <w:spacing w:after="0"/>
              <w:rPr>
                <w:sz w:val="5"/>
                <w:szCs w:val="5"/>
                <w:color w:val="auto"/>
              </w:rPr>
            </w:pPr>
          </w:p>
        </w:tc>
        <w:tc>
          <w:tcPr>
            <w:tcW w:w="162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About CenterPoint Energy</w:t>
      </w:r>
    </w:p>
    <w:p>
      <w:pPr>
        <w:spacing w:after="0" w:line="112" w:lineRule="exact"/>
        <w:rPr>
          <w:sz w:val="20"/>
          <w:szCs w:val="20"/>
          <w:color w:val="auto"/>
        </w:rPr>
      </w:pPr>
    </w:p>
    <w:p>
      <w:pPr>
        <w:ind w:left="740" w:right="100"/>
        <w:spacing w:after="0" w:line="264" w:lineRule="auto"/>
        <w:rPr>
          <w:sz w:val="20"/>
          <w:szCs w:val="20"/>
          <w:color w:val="auto"/>
        </w:rPr>
      </w:pPr>
      <w:r>
        <w:rPr>
          <w:rFonts w:ascii="Arial" w:cs="Arial" w:eastAsia="Arial" w:hAnsi="Arial"/>
          <w:sz w:val="16"/>
          <w:szCs w:val="16"/>
          <w:color w:val="auto"/>
        </w:rPr>
        <w:t>As the only investor-owned electric and gas utility based in Texas, CenterPoint Energy, Inc. (the Company or CenterPoint Energy) is an energy delivery company with electric transmission and distribution, power generation, and natural gas distribution operations that, as of December 31, 2024, served more than 7 million metered customers in Indiana, Louisiana, Minnesota, Mississippi, Ohio, and Texas. On February 19, 2024, the Company entered into an asset purchase agreement pursuant to which the Company agreed to sell its Louisiana and Mississippi regulated natural gas local distribution company (LDC) businesses, subject to certain closing conditions. The transaction is expected to close in the first quarter of 2025. As of December 31, 2024, the Company owned approximately $44 billion in assets. With approximately 9,000 employees as of December 31, 2024, CenterPoint Energy and its predecessor companies have been in business for more than 150 years.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40"/>
        <w:spacing w:after="0"/>
        <w:tabs>
          <w:tab w:leader="none" w:pos="6760" w:val="left"/>
          <w:tab w:leader="none" w:pos="99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Our Director Nominees</w:t>
      </w:r>
    </w:p>
    <w:p>
      <w:pPr>
        <w:spacing w:after="0" w:line="112" w:lineRule="exact"/>
        <w:rPr>
          <w:sz w:val="20"/>
          <w:szCs w:val="20"/>
          <w:color w:val="auto"/>
        </w:rPr>
      </w:pPr>
    </w:p>
    <w:p>
      <w:pPr>
        <w:ind w:left="740" w:right="60"/>
        <w:spacing w:after="0" w:line="321" w:lineRule="auto"/>
        <w:rPr>
          <w:sz w:val="20"/>
          <w:szCs w:val="20"/>
          <w:color w:val="auto"/>
        </w:rPr>
      </w:pPr>
      <w:r>
        <w:rPr>
          <w:rFonts w:ascii="Arial" w:cs="Arial" w:eastAsia="Arial" w:hAnsi="Arial"/>
          <w:sz w:val="16"/>
          <w:szCs w:val="16"/>
          <w:color w:val="auto"/>
        </w:rPr>
        <w:t>The Board of Directors of CenterPoint Energy (the Board), considering the recommendation of the Governance, Environmental and Sustainability Committee (Governance Committee), has nominated eleven directors for election to the Board.</w:t>
      </w:r>
    </w:p>
    <w:p>
      <w:pPr>
        <w:spacing w:after="0" w:line="11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3580" w:type="dxa"/>
            <w:vAlign w:val="bottom"/>
            <w:shd w:val="clear" w:color="auto" w:fill="003763"/>
          </w:tcPr>
          <w:p>
            <w:pPr>
              <w:spacing w:after="0"/>
              <w:rPr>
                <w:sz w:val="13"/>
                <w:szCs w:val="13"/>
                <w:color w:val="auto"/>
              </w:rPr>
            </w:pPr>
          </w:p>
        </w:tc>
        <w:tc>
          <w:tcPr>
            <w:tcW w:w="2980" w:type="dxa"/>
            <w:vAlign w:val="bottom"/>
            <w:shd w:val="clear" w:color="auto" w:fill="003763"/>
          </w:tcPr>
          <w:p>
            <w:pPr>
              <w:ind w:left="2400"/>
              <w:spacing w:after="0"/>
              <w:rPr>
                <w:sz w:val="20"/>
                <w:szCs w:val="20"/>
                <w:color w:val="auto"/>
              </w:rPr>
            </w:pPr>
            <w:r>
              <w:rPr>
                <w:rFonts w:ascii="Arial" w:cs="Arial" w:eastAsia="Arial" w:hAnsi="Arial"/>
                <w:sz w:val="13"/>
                <w:szCs w:val="13"/>
                <w:b w:val="1"/>
                <w:bCs w:val="1"/>
                <w:color w:val="FFFFFF"/>
              </w:rPr>
              <w:t>Director</w:t>
            </w:r>
          </w:p>
        </w:tc>
        <w:tc>
          <w:tcPr>
            <w:tcW w:w="1380" w:type="dxa"/>
            <w:vAlign w:val="bottom"/>
            <w:shd w:val="clear" w:color="auto" w:fill="003763"/>
          </w:tcPr>
          <w:p>
            <w:pPr>
              <w:spacing w:after="0"/>
              <w:rPr>
                <w:sz w:val="13"/>
                <w:szCs w:val="13"/>
                <w:color w:val="auto"/>
              </w:rPr>
            </w:pPr>
          </w:p>
        </w:tc>
        <w:tc>
          <w:tcPr>
            <w:tcW w:w="10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240" w:type="dxa"/>
            <w:vAlign w:val="bottom"/>
            <w:shd w:val="clear" w:color="auto" w:fill="003763"/>
          </w:tcPr>
          <w:p>
            <w:pPr>
              <w:spacing w:after="0"/>
              <w:rPr>
                <w:sz w:val="13"/>
                <w:szCs w:val="13"/>
                <w:color w:val="auto"/>
              </w:rPr>
            </w:pPr>
          </w:p>
        </w:tc>
      </w:tr>
      <w:tr>
        <w:trPr>
          <w:trHeight w:val="203"/>
        </w:trPr>
        <w:tc>
          <w:tcPr>
            <w:tcW w:w="358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Name and Primary Occupation</w:t>
            </w:r>
          </w:p>
        </w:tc>
        <w:tc>
          <w:tcPr>
            <w:tcW w:w="2980" w:type="dxa"/>
            <w:vAlign w:val="bottom"/>
            <w:shd w:val="clear" w:color="auto" w:fill="003763"/>
          </w:tcPr>
          <w:p>
            <w:pPr>
              <w:ind w:left="1640"/>
              <w:spacing w:after="0" w:line="202" w:lineRule="exact"/>
              <w:rPr>
                <w:sz w:val="20"/>
                <w:szCs w:val="20"/>
                <w:color w:val="auto"/>
              </w:rPr>
            </w:pPr>
            <w:r>
              <w:rPr>
                <w:rFonts w:ascii="Arial" w:cs="Arial" w:eastAsia="Arial" w:hAnsi="Arial"/>
                <w:sz w:val="23"/>
                <w:szCs w:val="23"/>
                <w:b w:val="1"/>
                <w:bCs w:val="1"/>
                <w:color w:val="FFFFFF"/>
                <w:vertAlign w:val="subscript"/>
              </w:rPr>
              <w:t>​ ​</w:t>
            </w:r>
            <w:r>
              <w:rPr>
                <w:rFonts w:ascii="Arial" w:cs="Arial" w:eastAsia="Arial" w:hAnsi="Arial"/>
                <w:sz w:val="12"/>
                <w:szCs w:val="12"/>
                <w:b w:val="1"/>
                <w:bCs w:val="1"/>
                <w:color w:val="FFFFFF"/>
              </w:rPr>
              <w:t xml:space="preserve"> Age </w:t>
            </w:r>
            <w:r>
              <w:rPr>
                <w:rFonts w:ascii="Arial" w:cs="Arial" w:eastAsia="Arial" w:hAnsi="Arial"/>
                <w:sz w:val="23"/>
                <w:szCs w:val="23"/>
                <w:b w:val="1"/>
                <w:bCs w:val="1"/>
                <w:color w:val="FFFFFF"/>
                <w:vertAlign w:val="subscript"/>
              </w:rPr>
              <w:t>​ ​</w:t>
            </w:r>
            <w:r>
              <w:rPr>
                <w:rFonts w:ascii="Arial" w:cs="Arial" w:eastAsia="Arial" w:hAnsi="Arial"/>
                <w:sz w:val="12"/>
                <w:szCs w:val="12"/>
                <w:b w:val="1"/>
                <w:bCs w:val="1"/>
                <w:color w:val="FFFFFF"/>
              </w:rPr>
              <w:t xml:space="preserve">   Since</w:t>
            </w:r>
          </w:p>
        </w:tc>
        <w:tc>
          <w:tcPr>
            <w:tcW w:w="1380" w:type="dxa"/>
            <w:vAlign w:val="bottom"/>
            <w:shd w:val="clear" w:color="auto" w:fill="003763"/>
          </w:tcPr>
          <w:p>
            <w:pPr>
              <w:ind w:left="100"/>
              <w:spacing w:after="0" w:line="202" w:lineRule="exact"/>
              <w:rPr>
                <w:sz w:val="20"/>
                <w:szCs w:val="20"/>
                <w:color w:val="auto"/>
              </w:rPr>
            </w:pPr>
            <w:r>
              <w:rPr>
                <w:rFonts w:ascii="Arial" w:cs="Arial" w:eastAsia="Arial" w:hAnsi="Arial"/>
                <w:sz w:val="23"/>
                <w:szCs w:val="23"/>
                <w:b w:val="1"/>
                <w:bCs w:val="1"/>
                <w:color w:val="FFFFFF"/>
                <w:vertAlign w:val="subscript"/>
              </w:rPr>
              <w:t>​ ​</w:t>
            </w:r>
            <w:r>
              <w:rPr>
                <w:rFonts w:ascii="Arial" w:cs="Arial" w:eastAsia="Arial" w:hAnsi="Arial"/>
                <w:sz w:val="12"/>
                <w:szCs w:val="12"/>
                <w:b w:val="1"/>
                <w:bCs w:val="1"/>
                <w:color w:val="FFFFFF"/>
              </w:rPr>
              <w:t xml:space="preserve"> Independent </w:t>
            </w:r>
            <w:r>
              <w:rPr>
                <w:rFonts w:ascii="Arial" w:cs="Arial" w:eastAsia="Arial" w:hAnsi="Arial"/>
                <w:sz w:val="23"/>
                <w:szCs w:val="23"/>
                <w:b w:val="1"/>
                <w:bCs w:val="1"/>
                <w:color w:val="FFFFFF"/>
                <w:vertAlign w:val="subscript"/>
              </w:rPr>
              <w:t>​ ​</w:t>
            </w:r>
          </w:p>
        </w:tc>
        <w:tc>
          <w:tcPr>
            <w:tcW w:w="10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Membership</w:t>
            </w:r>
          </w:p>
        </w:tc>
        <w:tc>
          <w:tcPr>
            <w:tcW w:w="240" w:type="dxa"/>
            <w:vAlign w:val="bottom"/>
            <w:shd w:val="clear" w:color="auto" w:fill="003763"/>
          </w:tcPr>
          <w:p>
            <w:pPr>
              <w:ind w:left="180"/>
              <w:spacing w:after="0"/>
              <w:rPr>
                <w:sz w:val="20"/>
                <w:szCs w:val="20"/>
                <w:color w:val="auto"/>
              </w:rPr>
            </w:pPr>
            <w:r>
              <w:rPr>
                <w:rFonts w:ascii="Arial" w:cs="Arial" w:eastAsia="Arial" w:hAnsi="Arial"/>
                <w:sz w:val="13"/>
                <w:szCs w:val="13"/>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8255</wp:posOffset>
            </wp:positionV>
            <wp:extent cx="454025" cy="574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025" cy="574675"/>
                    </a:xfrm>
                    <a:prstGeom prst="rect">
                      <a:avLst/>
                    </a:prstGeom>
                    <a:noFill/>
                  </pic:spPr>
                </pic:pic>
              </a:graphicData>
            </a:graphic>
          </wp:anchor>
        </w:drawing>
      </w:r>
    </w:p>
    <w:p>
      <w:pPr>
        <w:spacing w:after="0" w:line="71" w:lineRule="exact"/>
        <w:rPr>
          <w:sz w:val="20"/>
          <w:szCs w:val="20"/>
          <w:color w:val="auto"/>
        </w:rPr>
      </w:pPr>
    </w:p>
    <w:tbl>
      <w:tblPr>
        <w:tblLayout w:type="fixed"/>
        <w:tblInd w:w="740" w:type="dxa"/>
        <w:tblCellMar>
          <w:top w:w="0" w:type="dxa"/>
          <w:left w:w="0" w:type="dxa"/>
          <w:bottom w:w="0" w:type="dxa"/>
          <w:right w:w="0" w:type="dxa"/>
        </w:tblCellMar>
      </w:tblPr>
      <w:tr>
        <w:trPr>
          <w:trHeight w:val="175"/>
        </w:trPr>
        <w:tc>
          <w:tcPr>
            <w:tcW w:w="5180" w:type="dxa"/>
            <w:vAlign w:val="bottom"/>
            <w:vMerge w:val="restart"/>
          </w:tcPr>
          <w:p>
            <w:pPr>
              <w:ind w:left="940"/>
              <w:spacing w:after="0"/>
              <w:rPr>
                <w:sz w:val="20"/>
                <w:szCs w:val="20"/>
                <w:color w:val="auto"/>
              </w:rPr>
            </w:pPr>
            <w:r>
              <w:rPr>
                <w:rFonts w:ascii="Arial" w:cs="Arial" w:eastAsia="Arial" w:hAnsi="Arial"/>
                <w:sz w:val="15"/>
                <w:szCs w:val="15"/>
                <w:color w:val="auto"/>
              </w:rPr>
              <w:t>Wendy Montoya Cloonan</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Human Capital and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78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1"/>
                <w:szCs w:val="11"/>
                <w:color w:val="auto"/>
              </w:rPr>
              <w:t xml:space="preserve"> Managing Partner at Cantu Harden Montoya LLP</w:t>
            </w: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 ​ 45</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 ​</w:t>
            </w:r>
          </w:p>
        </w:tc>
        <w:tc>
          <w:tcPr>
            <w:tcW w:w="760" w:type="dxa"/>
            <w:vAlign w:val="bottom"/>
          </w:tcPr>
          <w:p>
            <w:pPr>
              <w:jc w:val="center"/>
              <w:spacing w:after="0"/>
              <w:rPr>
                <w:sz w:val="20"/>
                <w:szCs w:val="20"/>
                <w:color w:val="auto"/>
              </w:rPr>
            </w:pPr>
            <w:r>
              <w:rPr>
                <w:rFonts w:ascii="Arial" w:cs="Arial" w:eastAsia="Arial" w:hAnsi="Arial"/>
                <w:sz w:val="15"/>
                <w:szCs w:val="15"/>
                <w:color w:val="auto"/>
              </w:rPr>
              <w:t>2021</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340" w:type="dxa"/>
            <w:vAlign w:val="bottom"/>
          </w:tcPr>
          <w:p>
            <w:pPr>
              <w:jc w:val="center"/>
              <w:spacing w:after="0"/>
              <w:rPr>
                <w:sz w:val="20"/>
                <w:szCs w:val="20"/>
                <w:color w:val="auto"/>
              </w:rPr>
            </w:pPr>
            <w:r>
              <w:rPr>
                <w:rFonts w:ascii="Arial" w:cs="Arial" w:eastAsia="Arial" w:hAnsi="Arial"/>
                <w:sz w:val="15"/>
                <w:szCs w:val="15"/>
                <w:color w:val="auto"/>
              </w:rPr>
              <w:t>Governance</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(Chair)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1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3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7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spacing w:after="0"/>
              <w:rPr>
                <w:sz w:val="8"/>
                <w:szCs w:val="8"/>
                <w:color w:val="auto"/>
              </w:rPr>
            </w:pPr>
          </w:p>
        </w:tc>
        <w:tc>
          <w:tcPr>
            <w:tcW w:w="4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13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180" w:type="dxa"/>
            <w:vAlign w:val="bottom"/>
          </w:tcPr>
          <w:p>
            <w:pPr>
              <w:ind w:left="940"/>
              <w:spacing w:after="0"/>
              <w:rPr>
                <w:sz w:val="20"/>
                <w:szCs w:val="20"/>
                <w:color w:val="auto"/>
              </w:rPr>
            </w:pPr>
            <w:r>
              <w:rPr>
                <w:rFonts w:ascii="Arial" w:cs="Arial" w:eastAsia="Arial" w:hAnsi="Arial"/>
                <w:sz w:val="15"/>
                <w:szCs w:val="15"/>
                <w:color w:val="auto"/>
              </w:rPr>
              <w:t>Barbara J. Duganier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w w:val="99"/>
              </w:rPr>
              <w:t>Audit (Chair);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80" w:type="dxa"/>
            <w:vAlign w:val="bottom"/>
            <w:vMerge w:val="restart"/>
          </w:tcPr>
          <w:p>
            <w:pPr>
              <w:ind w:left="78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2"/>
                <w:szCs w:val="12"/>
                <w:color w:val="auto"/>
              </w:rPr>
              <w:t>Former Managing Director and Global Chief Strategy Officer of the</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 66</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ind w:left="20"/>
              <w:spacing w:after="0"/>
              <w:rPr>
                <w:sz w:val="20"/>
                <w:szCs w:val="20"/>
                <w:color w:val="auto"/>
              </w:rPr>
            </w:pPr>
            <w:r>
              <w:rPr>
                <w:rFonts w:ascii="Arial" w:cs="Arial" w:eastAsia="Arial" w:hAnsi="Arial"/>
                <w:sz w:val="15"/>
                <w:szCs w:val="15"/>
                <w:color w:val="auto"/>
              </w:rPr>
              <w:t>​ Apr. 2024</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8"/>
                <w:szCs w:val="8"/>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340" w:type="dxa"/>
            <w:vAlign w:val="bottom"/>
            <w:vMerge w:val="continue"/>
          </w:tcPr>
          <w:p>
            <w:pPr>
              <w:spacing w:after="0"/>
              <w:rPr>
                <w:sz w:val="8"/>
                <w:szCs w:val="8"/>
                <w:color w:val="auto"/>
              </w:rPr>
            </w:pP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rPr>
              <w:t>Governance</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180" w:type="dxa"/>
            <w:vAlign w:val="bottom"/>
            <w:vMerge w:val="restart"/>
          </w:tcPr>
          <w:p>
            <w:pPr>
              <w:ind w:left="940"/>
              <w:spacing w:after="0"/>
              <w:rPr>
                <w:sz w:val="20"/>
                <w:szCs w:val="20"/>
                <w:color w:val="auto"/>
              </w:rPr>
            </w:pPr>
            <w:r>
              <w:rPr>
                <w:rFonts w:ascii="Arial" w:cs="Arial" w:eastAsia="Arial" w:hAnsi="Arial"/>
                <w:sz w:val="13"/>
                <w:szCs w:val="13"/>
                <w:color w:val="auto"/>
              </w:rPr>
              <w:t>Outsourcing Business at Accenture plc</w:t>
            </w:r>
            <w:r>
              <w:rPr>
                <w:rFonts w:ascii="Arial" w:cs="Arial" w:eastAsia="Arial" w:hAnsi="Arial"/>
                <w:sz w:val="15"/>
                <w:szCs w:val="15"/>
                <w:color w:val="auto"/>
              </w:rPr>
              <w:t>​</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3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80" w:type="dxa"/>
            <w:vAlign w:val="bottom"/>
            <w:tcBorders>
              <w:bottom w:val="single" w:sz="8" w:color="CCCCCC"/>
            </w:tcBorders>
          </w:tcPr>
          <w:p>
            <w:pPr>
              <w:spacing w:after="0"/>
              <w:rPr>
                <w:sz w:val="15"/>
                <w:szCs w:val="15"/>
                <w:color w:val="auto"/>
              </w:rPr>
            </w:pPr>
          </w:p>
        </w:tc>
        <w:tc>
          <w:tcPr>
            <w:tcW w:w="7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260" w:type="dxa"/>
            <w:vAlign w:val="bottom"/>
            <w:tcBorders>
              <w:bottom w:val="single" w:sz="8" w:color="CCCCCC"/>
            </w:tcBorders>
          </w:tcPr>
          <w:p>
            <w:pPr>
              <w:spacing w:after="0"/>
              <w:rPr>
                <w:sz w:val="15"/>
                <w:szCs w:val="15"/>
                <w:color w:val="auto"/>
              </w:rPr>
            </w:pPr>
          </w:p>
        </w:tc>
        <w:tc>
          <w:tcPr>
            <w:tcW w:w="440" w:type="dxa"/>
            <w:vAlign w:val="bottom"/>
            <w:tcBorders>
              <w:bottom w:val="single" w:sz="8" w:color="CCCCCC"/>
            </w:tcBorders>
          </w:tcPr>
          <w:p>
            <w:pPr>
              <w:spacing w:after="0"/>
              <w:rPr>
                <w:sz w:val="15"/>
                <w:szCs w:val="15"/>
                <w:color w:val="auto"/>
              </w:rPr>
            </w:pPr>
          </w:p>
        </w:tc>
        <w:tc>
          <w:tcPr>
            <w:tcW w:w="28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134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5180" w:type="dxa"/>
            <w:vAlign w:val="bottom"/>
          </w:tcPr>
          <w:p>
            <w:pPr>
              <w:ind w:left="940"/>
              <w:spacing w:after="0"/>
              <w:rPr>
                <w:sz w:val="20"/>
                <w:szCs w:val="20"/>
                <w:color w:val="auto"/>
              </w:rPr>
            </w:pPr>
            <w:r>
              <w:rPr>
                <w:rFonts w:ascii="Arial" w:cs="Arial" w:eastAsia="Arial" w:hAnsi="Arial"/>
                <w:sz w:val="15"/>
                <w:szCs w:val="15"/>
                <w:color w:val="auto"/>
              </w:rPr>
              <w:t>Laurie L. Fitch</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8"/>
              </w:rPr>
              <w:t>First Time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180" w:type="dxa"/>
            <w:vAlign w:val="bottom"/>
          </w:tcPr>
          <w:p>
            <w:pPr>
              <w:ind w:left="78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3"/>
                <w:szCs w:val="13"/>
                <w:color w:val="auto"/>
              </w:rPr>
              <w:t xml:space="preserve"> Senior Advisor at PJT Partners</w:t>
            </w:r>
            <w:r>
              <w:rPr>
                <w:rFonts w:ascii="Arial" w:cs="Arial" w:eastAsia="Arial" w:hAnsi="Arial"/>
                <w:sz w:val="15"/>
                <w:szCs w:val="15"/>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 ​ 55</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 ​</w:t>
            </w:r>
          </w:p>
        </w:tc>
        <w:tc>
          <w:tcPr>
            <w:tcW w:w="760" w:type="dxa"/>
            <w:vAlign w:val="bottom"/>
          </w:tcPr>
          <w:p>
            <w:pPr>
              <w:jc w:val="center"/>
              <w:spacing w:after="0"/>
              <w:rPr>
                <w:sz w:val="20"/>
                <w:szCs w:val="20"/>
                <w:color w:val="auto"/>
              </w:rPr>
            </w:pPr>
            <w:r>
              <w:rPr>
                <w:rFonts w:ascii="Arial" w:cs="Arial" w:eastAsia="Arial" w:hAnsi="Arial"/>
                <w:sz w:val="15"/>
                <w:szCs w:val="15"/>
                <w:color w:val="auto"/>
                <w:w w:val="99"/>
              </w:rPr>
              <w:t>Nominee</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5"/>
        </w:trPr>
        <w:tc>
          <w:tcPr>
            <w:tcW w:w="5180" w:type="dxa"/>
            <w:vAlign w:val="bottom"/>
            <w:tcBorders>
              <w:bottom w:val="single" w:sz="8" w:color="CCCCCC"/>
            </w:tcBorders>
          </w:tcPr>
          <w:p>
            <w:pPr>
              <w:spacing w:after="0"/>
              <w:rPr>
                <w:sz w:val="9"/>
                <w:szCs w:val="9"/>
                <w:color w:val="auto"/>
              </w:rPr>
            </w:pPr>
          </w:p>
        </w:tc>
        <w:tc>
          <w:tcPr>
            <w:tcW w:w="120" w:type="dxa"/>
            <w:vAlign w:val="bottom"/>
            <w:tcBorders>
              <w:bottom w:val="single" w:sz="8" w:color="CCCCCC"/>
            </w:tcBorders>
          </w:tcPr>
          <w:p>
            <w:pPr>
              <w:spacing w:after="0"/>
              <w:rPr>
                <w:sz w:val="9"/>
                <w:szCs w:val="9"/>
                <w:color w:val="auto"/>
              </w:rPr>
            </w:pPr>
          </w:p>
        </w:tc>
        <w:tc>
          <w:tcPr>
            <w:tcW w:w="360" w:type="dxa"/>
            <w:vAlign w:val="bottom"/>
            <w:tcBorders>
              <w:bottom w:val="single" w:sz="8" w:color="CCCCCC"/>
            </w:tcBorders>
          </w:tcPr>
          <w:p>
            <w:pPr>
              <w:spacing w:after="0"/>
              <w:rPr>
                <w:sz w:val="9"/>
                <w:szCs w:val="9"/>
                <w:color w:val="auto"/>
              </w:rPr>
            </w:pPr>
          </w:p>
        </w:tc>
        <w:tc>
          <w:tcPr>
            <w:tcW w:w="120" w:type="dxa"/>
            <w:vAlign w:val="bottom"/>
            <w:tcBorders>
              <w:bottom w:val="single" w:sz="8" w:color="CCCCCC"/>
            </w:tcBorders>
          </w:tcPr>
          <w:p>
            <w:pPr>
              <w:spacing w:after="0"/>
              <w:rPr>
                <w:sz w:val="9"/>
                <w:szCs w:val="9"/>
                <w:color w:val="auto"/>
              </w:rPr>
            </w:pPr>
          </w:p>
        </w:tc>
        <w:tc>
          <w:tcPr>
            <w:tcW w:w="80" w:type="dxa"/>
            <w:vAlign w:val="bottom"/>
            <w:tcBorders>
              <w:bottom w:val="single" w:sz="8" w:color="CCCCCC"/>
            </w:tcBorders>
          </w:tcPr>
          <w:p>
            <w:pPr>
              <w:spacing w:after="0"/>
              <w:rPr>
                <w:sz w:val="9"/>
                <w:szCs w:val="9"/>
                <w:color w:val="auto"/>
              </w:rPr>
            </w:pPr>
          </w:p>
        </w:tc>
        <w:tc>
          <w:tcPr>
            <w:tcW w:w="760" w:type="dxa"/>
            <w:vAlign w:val="bottom"/>
            <w:tcBorders>
              <w:bottom w:val="single" w:sz="8" w:color="CCCCCC"/>
            </w:tcBorders>
          </w:tcPr>
          <w:p>
            <w:pPr>
              <w:spacing w:after="0"/>
              <w:rPr>
                <w:sz w:val="9"/>
                <w:szCs w:val="9"/>
                <w:color w:val="auto"/>
              </w:rPr>
            </w:pPr>
          </w:p>
        </w:tc>
        <w:tc>
          <w:tcPr>
            <w:tcW w:w="120" w:type="dxa"/>
            <w:vAlign w:val="bottom"/>
            <w:tcBorders>
              <w:bottom w:val="single" w:sz="8" w:color="CCCCCC"/>
            </w:tcBorders>
          </w:tcPr>
          <w:p>
            <w:pPr>
              <w:spacing w:after="0"/>
              <w:rPr>
                <w:sz w:val="9"/>
                <w:szCs w:val="9"/>
                <w:color w:val="auto"/>
              </w:rPr>
            </w:pPr>
          </w:p>
        </w:tc>
        <w:tc>
          <w:tcPr>
            <w:tcW w:w="260" w:type="dxa"/>
            <w:vAlign w:val="bottom"/>
            <w:tcBorders>
              <w:bottom w:val="single" w:sz="8" w:color="CCCCCC"/>
            </w:tcBorders>
          </w:tcPr>
          <w:p>
            <w:pPr>
              <w:spacing w:after="0"/>
              <w:rPr>
                <w:sz w:val="9"/>
                <w:szCs w:val="9"/>
                <w:color w:val="auto"/>
              </w:rPr>
            </w:pPr>
          </w:p>
        </w:tc>
        <w:tc>
          <w:tcPr>
            <w:tcW w:w="440" w:type="dxa"/>
            <w:vAlign w:val="bottom"/>
            <w:tcBorders>
              <w:bottom w:val="single" w:sz="8" w:color="CCCCCC"/>
            </w:tcBorders>
          </w:tcPr>
          <w:p>
            <w:pPr>
              <w:spacing w:after="0"/>
              <w:rPr>
                <w:sz w:val="9"/>
                <w:szCs w:val="9"/>
                <w:color w:val="auto"/>
              </w:rPr>
            </w:pPr>
          </w:p>
        </w:tc>
        <w:tc>
          <w:tcPr>
            <w:tcW w:w="280" w:type="dxa"/>
            <w:vAlign w:val="bottom"/>
            <w:tcBorders>
              <w:bottom w:val="single" w:sz="8" w:color="CCCCCC"/>
            </w:tcBorders>
          </w:tcPr>
          <w:p>
            <w:pPr>
              <w:spacing w:after="0"/>
              <w:rPr>
                <w:sz w:val="9"/>
                <w:szCs w:val="9"/>
                <w:color w:val="auto"/>
              </w:rPr>
            </w:pPr>
          </w:p>
        </w:tc>
        <w:tc>
          <w:tcPr>
            <w:tcW w:w="100" w:type="dxa"/>
            <w:vAlign w:val="bottom"/>
            <w:tcBorders>
              <w:bottom w:val="single" w:sz="8" w:color="CCCCCC"/>
            </w:tcBorders>
          </w:tcPr>
          <w:p>
            <w:pPr>
              <w:spacing w:after="0"/>
              <w:rPr>
                <w:sz w:val="9"/>
                <w:szCs w:val="9"/>
                <w:color w:val="auto"/>
              </w:rPr>
            </w:pPr>
          </w:p>
        </w:tc>
        <w:tc>
          <w:tcPr>
            <w:tcW w:w="1340" w:type="dxa"/>
            <w:vAlign w:val="bottom"/>
            <w:tcBorders>
              <w:bottom w:val="single" w:sz="8" w:color="CCCCCC"/>
            </w:tcBorders>
          </w:tcPr>
          <w:p>
            <w:pPr>
              <w:spacing w:after="0"/>
              <w:rPr>
                <w:sz w:val="9"/>
                <w:szCs w:val="9"/>
                <w:color w:val="auto"/>
              </w:rPr>
            </w:pPr>
          </w:p>
        </w:tc>
        <w:tc>
          <w:tcPr>
            <w:tcW w:w="10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5180" w:type="dxa"/>
            <w:vAlign w:val="bottom"/>
            <w:vMerge w:val="restart"/>
          </w:tcPr>
          <w:p>
            <w:pPr>
              <w:ind w:left="940"/>
              <w:spacing w:after="0"/>
              <w:rPr>
                <w:sz w:val="20"/>
                <w:szCs w:val="20"/>
                <w:color w:val="auto"/>
              </w:rPr>
            </w:pPr>
            <w:r>
              <w:rPr>
                <w:rFonts w:ascii="Arial" w:cs="Arial" w:eastAsia="Arial" w:hAnsi="Arial"/>
                <w:sz w:val="15"/>
                <w:szCs w:val="15"/>
                <w:color w:val="auto"/>
              </w:rPr>
              <w:t>Christopher H. Franklin</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Audit; Governance;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rPr>
              <w:t>Safety and</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80"/>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1"/>
                <w:szCs w:val="11"/>
                <w:color w:val="auto"/>
              </w:rPr>
              <w:t xml:space="preserve"> Chairman, Chief Executive Officer of Essential Utilities</w:t>
            </w: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 ​ 59</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 ​</w:t>
            </w:r>
          </w:p>
        </w:tc>
        <w:tc>
          <w:tcPr>
            <w:tcW w:w="760" w:type="dxa"/>
            <w:vAlign w:val="bottom"/>
          </w:tcPr>
          <w:p>
            <w:pPr>
              <w:jc w:val="center"/>
              <w:spacing w:after="0"/>
              <w:rPr>
                <w:sz w:val="20"/>
                <w:szCs w:val="20"/>
                <w:color w:val="auto"/>
              </w:rPr>
            </w:pPr>
            <w:r>
              <w:rPr>
                <w:rFonts w:ascii="Arial" w:cs="Arial" w:eastAsia="Arial" w:hAnsi="Arial"/>
                <w:sz w:val="15"/>
                <w:szCs w:val="15"/>
                <w:color w:val="auto"/>
              </w:rPr>
              <w:t>2022</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340" w:type="dxa"/>
            <w:vAlign w:val="bottom"/>
            <w:vMerge w:val="continue"/>
          </w:tcPr>
          <w:p>
            <w:pPr>
              <w:spacing w:after="0"/>
              <w:rPr>
                <w:sz w:val="18"/>
                <w:szCs w:val="18"/>
                <w:color w:val="auto"/>
              </w:rPr>
            </w:pP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Operations (Chair)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18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36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76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260" w:type="dxa"/>
            <w:vAlign w:val="bottom"/>
            <w:tcBorders>
              <w:bottom w:val="single" w:sz="8" w:color="CCCCCC"/>
            </w:tcBorders>
          </w:tcPr>
          <w:p>
            <w:pPr>
              <w:spacing w:after="0"/>
              <w:rPr>
                <w:sz w:val="10"/>
                <w:szCs w:val="10"/>
                <w:color w:val="auto"/>
              </w:rPr>
            </w:pPr>
          </w:p>
        </w:tc>
        <w:tc>
          <w:tcPr>
            <w:tcW w:w="440" w:type="dxa"/>
            <w:vAlign w:val="bottom"/>
            <w:tcBorders>
              <w:bottom w:val="single" w:sz="8" w:color="CCCCCC"/>
            </w:tcBorders>
          </w:tcPr>
          <w:p>
            <w:pPr>
              <w:spacing w:after="0"/>
              <w:rPr>
                <w:sz w:val="10"/>
                <w:szCs w:val="10"/>
                <w:color w:val="auto"/>
              </w:rPr>
            </w:pPr>
          </w:p>
        </w:tc>
        <w:tc>
          <w:tcPr>
            <w:tcW w:w="280" w:type="dxa"/>
            <w:vAlign w:val="bottom"/>
            <w:tcBorders>
              <w:bottom w:val="single" w:sz="8" w:color="CCCCCC"/>
            </w:tcBorders>
          </w:tcPr>
          <w:p>
            <w:pPr>
              <w:spacing w:after="0"/>
              <w:rPr>
                <w:sz w:val="10"/>
                <w:szCs w:val="10"/>
                <w:color w:val="auto"/>
              </w:rPr>
            </w:pPr>
          </w:p>
        </w:tc>
        <w:tc>
          <w:tcPr>
            <w:tcW w:w="100" w:type="dxa"/>
            <w:vAlign w:val="bottom"/>
            <w:tcBorders>
              <w:bottom w:val="single" w:sz="8" w:color="CCCCCC"/>
            </w:tcBorders>
          </w:tcPr>
          <w:p>
            <w:pPr>
              <w:spacing w:after="0"/>
              <w:rPr>
                <w:sz w:val="10"/>
                <w:szCs w:val="10"/>
                <w:color w:val="auto"/>
              </w:rPr>
            </w:pPr>
          </w:p>
        </w:tc>
        <w:tc>
          <w:tcPr>
            <w:tcW w:w="1340" w:type="dxa"/>
            <w:vAlign w:val="bottom"/>
            <w:tcBorders>
              <w:bottom w:val="single" w:sz="8" w:color="CCCCCC"/>
            </w:tcBorders>
          </w:tcPr>
          <w:p>
            <w:pPr>
              <w:spacing w:after="0"/>
              <w:rPr>
                <w:sz w:val="10"/>
                <w:szCs w:val="10"/>
                <w:color w:val="auto"/>
              </w:rPr>
            </w:pPr>
          </w:p>
        </w:tc>
        <w:tc>
          <w:tcPr>
            <w:tcW w:w="10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5180" w:type="dxa"/>
            <w:vAlign w:val="bottom"/>
          </w:tcPr>
          <w:p>
            <w:pPr>
              <w:ind w:left="940"/>
              <w:spacing w:after="0"/>
              <w:rPr>
                <w:sz w:val="20"/>
                <w:szCs w:val="20"/>
                <w:color w:val="auto"/>
              </w:rPr>
            </w:pPr>
            <w:r>
              <w:rPr>
                <w:rFonts w:ascii="Arial" w:cs="Arial" w:eastAsia="Arial" w:hAnsi="Arial"/>
                <w:sz w:val="15"/>
                <w:szCs w:val="15"/>
                <w:color w:val="auto"/>
              </w:rPr>
              <w:t>Raquelle W. Lewis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Audit; Human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78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2"/>
                <w:szCs w:val="12"/>
                <w:color w:val="auto"/>
              </w:rPr>
              <w:t>Southeast Texas Director of Communications &amp; Public Information Officer for</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 ​ 54</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 ​</w:t>
            </w:r>
          </w:p>
        </w:tc>
        <w:tc>
          <w:tcPr>
            <w:tcW w:w="760" w:type="dxa"/>
            <w:vAlign w:val="bottom"/>
          </w:tcPr>
          <w:p>
            <w:pPr>
              <w:jc w:val="center"/>
              <w:spacing w:after="0"/>
              <w:rPr>
                <w:sz w:val="20"/>
                <w:szCs w:val="20"/>
                <w:color w:val="auto"/>
              </w:rPr>
            </w:pPr>
            <w:r>
              <w:rPr>
                <w:rFonts w:ascii="Arial" w:cs="Arial" w:eastAsia="Arial" w:hAnsi="Arial"/>
                <w:sz w:val="15"/>
                <w:szCs w:val="15"/>
                <w:color w:val="auto"/>
              </w:rPr>
              <w:t>2021</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340" w:type="dxa"/>
            <w:vAlign w:val="bottom"/>
          </w:tcPr>
          <w:p>
            <w:pPr>
              <w:jc w:val="center"/>
              <w:spacing w:after="0"/>
              <w:rPr>
                <w:sz w:val="20"/>
                <w:szCs w:val="20"/>
                <w:color w:val="auto"/>
              </w:rPr>
            </w:pPr>
            <w:r>
              <w:rPr>
                <w:rFonts w:ascii="Arial" w:cs="Arial" w:eastAsia="Arial" w:hAnsi="Arial"/>
                <w:sz w:val="15"/>
                <w:szCs w:val="15"/>
                <w:color w:val="auto"/>
              </w:rPr>
              <w:t>Capital and</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5180" w:type="dxa"/>
            <w:vAlign w:val="bottom"/>
          </w:tcPr>
          <w:p>
            <w:pPr>
              <w:ind w:left="940"/>
              <w:spacing w:after="0"/>
              <w:rPr>
                <w:sz w:val="20"/>
                <w:szCs w:val="20"/>
                <w:color w:val="auto"/>
              </w:rPr>
            </w:pPr>
            <w:r>
              <w:rPr>
                <w:rFonts w:ascii="Arial" w:cs="Arial" w:eastAsia="Arial" w:hAnsi="Arial"/>
                <w:sz w:val="13"/>
                <w:szCs w:val="13"/>
                <w:color w:val="auto"/>
              </w:rPr>
              <w:t>the Texas Department of Transportation</w:t>
            </w: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3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80" w:type="dxa"/>
            <w:vAlign w:val="bottom"/>
            <w:tcBorders>
              <w:bottom w:val="single" w:sz="8" w:color="CCCCCC"/>
            </w:tcBorders>
          </w:tcPr>
          <w:p>
            <w:pPr>
              <w:spacing w:after="0"/>
              <w:rPr>
                <w:sz w:val="15"/>
                <w:szCs w:val="15"/>
                <w:color w:val="auto"/>
              </w:rPr>
            </w:pPr>
          </w:p>
        </w:tc>
        <w:tc>
          <w:tcPr>
            <w:tcW w:w="7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260" w:type="dxa"/>
            <w:vAlign w:val="bottom"/>
            <w:tcBorders>
              <w:bottom w:val="single" w:sz="8" w:color="CCCCCC"/>
            </w:tcBorders>
          </w:tcPr>
          <w:p>
            <w:pPr>
              <w:spacing w:after="0"/>
              <w:rPr>
                <w:sz w:val="15"/>
                <w:szCs w:val="15"/>
                <w:color w:val="auto"/>
              </w:rPr>
            </w:pPr>
          </w:p>
        </w:tc>
        <w:tc>
          <w:tcPr>
            <w:tcW w:w="440" w:type="dxa"/>
            <w:vAlign w:val="bottom"/>
            <w:tcBorders>
              <w:bottom w:val="single" w:sz="8" w:color="CCCCCC"/>
            </w:tcBorders>
          </w:tcPr>
          <w:p>
            <w:pPr>
              <w:spacing w:after="0"/>
              <w:rPr>
                <w:sz w:val="15"/>
                <w:szCs w:val="15"/>
                <w:color w:val="auto"/>
              </w:rPr>
            </w:pPr>
          </w:p>
        </w:tc>
        <w:tc>
          <w:tcPr>
            <w:tcW w:w="28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134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5180" w:type="dxa"/>
            <w:vAlign w:val="bottom"/>
            <w:vMerge w:val="restart"/>
          </w:tcPr>
          <w:p>
            <w:pPr>
              <w:ind w:left="940"/>
              <w:spacing w:after="0"/>
              <w:rPr>
                <w:sz w:val="20"/>
                <w:szCs w:val="20"/>
                <w:color w:val="auto"/>
              </w:rPr>
            </w:pPr>
            <w:r>
              <w:rPr>
                <w:rFonts w:ascii="Arial" w:cs="Arial" w:eastAsia="Arial" w:hAnsi="Arial"/>
                <w:sz w:val="15"/>
                <w:szCs w:val="15"/>
                <w:color w:val="auto"/>
              </w:rPr>
              <w:t>Thaddeus J. Malik</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Human Capital and</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5180" w:type="dxa"/>
            <w:vAlign w:val="bottom"/>
            <w:vMerge w:val="continue"/>
          </w:tcPr>
          <w:p>
            <w:pPr>
              <w:spacing w:after="0"/>
              <w:rPr>
                <w:sz w:val="13"/>
                <w:szCs w:val="13"/>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5"/>
                <w:szCs w:val="15"/>
                <w:color w:val="auto"/>
              </w:rPr>
              <w:t>​ ​ 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78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1"/>
                <w:szCs w:val="11"/>
                <w:color w:val="auto"/>
              </w:rPr>
              <w:t xml:space="preserve"> Principal at S2T Solutions and Attorney</w:t>
            </w:r>
            <w:r>
              <w:rPr>
                <w:rFonts w:ascii="Arial" w:cs="Arial" w:eastAsia="Arial" w:hAnsi="Arial"/>
                <w:sz w:val="13"/>
                <w:szCs w:val="13"/>
                <w:color w:val="auto"/>
              </w:rPr>
              <w:t>​</w:t>
            </w:r>
          </w:p>
        </w:tc>
        <w:tc>
          <w:tcPr>
            <w:tcW w:w="480" w:type="dxa"/>
            <w:vAlign w:val="bottom"/>
            <w:gridSpan w:val="2"/>
            <w:vMerge w:val="continue"/>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 ​</w:t>
            </w:r>
          </w:p>
        </w:tc>
        <w:tc>
          <w:tcPr>
            <w:tcW w:w="760" w:type="dxa"/>
            <w:vAlign w:val="bottom"/>
            <w:vMerge w:val="continue"/>
          </w:tcPr>
          <w:p>
            <w:pPr>
              <w:spacing w:after="0"/>
              <w:rPr>
                <w:sz w:val="18"/>
                <w:szCs w:val="18"/>
                <w:color w:val="auto"/>
              </w:rPr>
            </w:pP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8"/>
                <w:szCs w:val="18"/>
                <w:color w:val="auto"/>
              </w:rPr>
            </w:pPr>
          </w:p>
        </w:tc>
        <w:tc>
          <w:tcPr>
            <w:tcW w:w="1720" w:type="dxa"/>
            <w:vAlign w:val="bottom"/>
            <w:gridSpan w:val="3"/>
          </w:tcPr>
          <w:p>
            <w:pPr>
              <w:ind w:left="20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Governance; Safety</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and Operations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51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3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7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spacing w:after="0"/>
              <w:rPr>
                <w:sz w:val="8"/>
                <w:szCs w:val="8"/>
                <w:color w:val="auto"/>
              </w:rPr>
            </w:pPr>
          </w:p>
        </w:tc>
        <w:tc>
          <w:tcPr>
            <w:tcW w:w="4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13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5180" w:type="dxa"/>
            <w:vAlign w:val="bottom"/>
          </w:tcPr>
          <w:p>
            <w:pPr>
              <w:ind w:left="940"/>
              <w:spacing w:after="0"/>
              <w:rPr>
                <w:sz w:val="20"/>
                <w:szCs w:val="20"/>
                <w:color w:val="auto"/>
              </w:rPr>
            </w:pPr>
            <w:r>
              <w:rPr>
                <w:rFonts w:ascii="Arial" w:cs="Arial" w:eastAsia="Arial" w:hAnsi="Arial"/>
                <w:sz w:val="15"/>
                <w:szCs w:val="15"/>
                <w:color w:val="auto"/>
              </w:rPr>
              <w:t>Manuel B. Miranda</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5"/>
                <w:szCs w:val="15"/>
                <w:color w:val="auto"/>
                <w:w w:val="98"/>
              </w:rPr>
              <w:t>First Time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80" w:type="dxa"/>
            <w:vAlign w:val="bottom"/>
            <w:vMerge w:val="restart"/>
          </w:tcPr>
          <w:p>
            <w:pPr>
              <w:ind w:left="78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2"/>
                <w:szCs w:val="12"/>
                <w:color w:val="auto"/>
              </w:rPr>
              <w:t>Former Executive Vice President of Power Delivery of Florida Power &amp; Light</w:t>
            </w:r>
          </w:p>
        </w:tc>
        <w:tc>
          <w:tcPr>
            <w:tcW w:w="480" w:type="dxa"/>
            <w:vAlign w:val="bottom"/>
            <w:gridSpan w:val="2"/>
            <w:vMerge w:val="restart"/>
          </w:tcPr>
          <w:p>
            <w:pPr>
              <w:jc w:val="right"/>
              <w:spacing w:after="0"/>
              <w:rPr>
                <w:sz w:val="20"/>
                <w:szCs w:val="20"/>
                <w:color w:val="auto"/>
              </w:rPr>
            </w:pPr>
            <w:r>
              <w:rPr>
                <w:rFonts w:ascii="Arial" w:cs="Arial" w:eastAsia="Arial" w:hAnsi="Arial"/>
                <w:sz w:val="15"/>
                <w:szCs w:val="15"/>
                <w:color w:val="auto"/>
              </w:rPr>
              <w:t>​ ​ 64</w:t>
            </w:r>
          </w:p>
        </w:tc>
        <w:tc>
          <w:tcPr>
            <w:tcW w:w="200" w:type="dxa"/>
            <w:vAlign w:val="bottom"/>
            <w:gridSpan w:val="2"/>
            <w:vMerge w:val="restart"/>
          </w:tcPr>
          <w:p>
            <w:pPr>
              <w:ind w:left="40"/>
              <w:spacing w:after="0"/>
              <w:rPr>
                <w:sz w:val="20"/>
                <w:szCs w:val="20"/>
                <w:color w:val="auto"/>
              </w:rPr>
            </w:pPr>
            <w:r>
              <w:rPr>
                <w:rFonts w:ascii="Arial" w:cs="Arial" w:eastAsia="Arial" w:hAnsi="Arial"/>
                <w:sz w:val="15"/>
                <w:szCs w:val="15"/>
                <w:color w:val="auto"/>
              </w:rPr>
              <w:t>​ ​</w:t>
            </w:r>
          </w:p>
        </w:tc>
        <w:tc>
          <w:tcPr>
            <w:tcW w:w="760" w:type="dxa"/>
            <w:vAlign w:val="bottom"/>
            <w:vMerge w:val="continue"/>
          </w:tcPr>
          <w:p>
            <w:pPr>
              <w:spacing w:after="0"/>
              <w:rPr>
                <w:sz w:val="7"/>
                <w:szCs w:val="7"/>
                <w:color w:val="auto"/>
              </w:rPr>
            </w:pPr>
          </w:p>
        </w:tc>
        <w:tc>
          <w:tcPr>
            <w:tcW w:w="380" w:type="dxa"/>
            <w:vAlign w:val="bottom"/>
            <w:gridSpan w:val="2"/>
            <w:vMerge w:val="restart"/>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7"/>
                <w:szCs w:val="7"/>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518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tcPr>
          <w:p>
            <w:pPr>
              <w:jc w:val="center"/>
              <w:spacing w:after="0" w:line="153" w:lineRule="exact"/>
              <w:rPr>
                <w:sz w:val="20"/>
                <w:szCs w:val="20"/>
                <w:color w:val="auto"/>
              </w:rPr>
            </w:pPr>
            <w:r>
              <w:rPr>
                <w:rFonts w:ascii="Arial" w:cs="Arial" w:eastAsia="Arial" w:hAnsi="Arial"/>
                <w:sz w:val="15"/>
                <w:szCs w:val="15"/>
                <w:color w:val="auto"/>
                <w:w w:val="99"/>
              </w:rPr>
              <w:t>Nominee</w:t>
            </w: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940"/>
              <w:spacing w:after="0"/>
              <w:rPr>
                <w:sz w:val="20"/>
                <w:szCs w:val="20"/>
                <w:color w:val="auto"/>
              </w:rPr>
            </w:pPr>
            <w:r>
              <w:rPr>
                <w:rFonts w:ascii="Arial" w:cs="Arial" w:eastAsia="Arial" w:hAnsi="Arial"/>
                <w:sz w:val="13"/>
                <w:szCs w:val="13"/>
                <w:color w:val="auto"/>
              </w:rPr>
              <w:t>Company</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Borders>
              <w:bottom w:val="single" w:sz="8" w:color="CCCCCC"/>
            </w:tcBorders>
          </w:tcPr>
          <w:p>
            <w:pPr>
              <w:spacing w:after="0"/>
              <w:rPr>
                <w:sz w:val="14"/>
                <w:szCs w:val="14"/>
                <w:color w:val="auto"/>
              </w:rPr>
            </w:pPr>
          </w:p>
        </w:tc>
        <w:tc>
          <w:tcPr>
            <w:tcW w:w="120" w:type="dxa"/>
            <w:vAlign w:val="bottom"/>
            <w:tcBorders>
              <w:bottom w:val="single" w:sz="8" w:color="CCCCCC"/>
            </w:tcBorders>
          </w:tcPr>
          <w:p>
            <w:pPr>
              <w:spacing w:after="0"/>
              <w:rPr>
                <w:sz w:val="14"/>
                <w:szCs w:val="14"/>
                <w:color w:val="auto"/>
              </w:rPr>
            </w:pPr>
          </w:p>
        </w:tc>
        <w:tc>
          <w:tcPr>
            <w:tcW w:w="360" w:type="dxa"/>
            <w:vAlign w:val="bottom"/>
            <w:tcBorders>
              <w:bottom w:val="single" w:sz="8" w:color="CCCCCC"/>
            </w:tcBorders>
          </w:tcPr>
          <w:p>
            <w:pPr>
              <w:spacing w:after="0"/>
              <w:rPr>
                <w:sz w:val="14"/>
                <w:szCs w:val="14"/>
                <w:color w:val="auto"/>
              </w:rPr>
            </w:pPr>
          </w:p>
        </w:tc>
        <w:tc>
          <w:tcPr>
            <w:tcW w:w="120" w:type="dxa"/>
            <w:vAlign w:val="bottom"/>
            <w:tcBorders>
              <w:bottom w:val="single" w:sz="8" w:color="CCCCCC"/>
            </w:tcBorders>
          </w:tcPr>
          <w:p>
            <w:pPr>
              <w:spacing w:after="0"/>
              <w:rPr>
                <w:sz w:val="14"/>
                <w:szCs w:val="14"/>
                <w:color w:val="auto"/>
              </w:rPr>
            </w:pPr>
          </w:p>
        </w:tc>
        <w:tc>
          <w:tcPr>
            <w:tcW w:w="80" w:type="dxa"/>
            <w:vAlign w:val="bottom"/>
            <w:tcBorders>
              <w:bottom w:val="single" w:sz="8" w:color="CCCCCC"/>
            </w:tcBorders>
          </w:tcPr>
          <w:p>
            <w:pPr>
              <w:spacing w:after="0"/>
              <w:rPr>
                <w:sz w:val="14"/>
                <w:szCs w:val="14"/>
                <w:color w:val="auto"/>
              </w:rPr>
            </w:pPr>
          </w:p>
        </w:tc>
        <w:tc>
          <w:tcPr>
            <w:tcW w:w="760" w:type="dxa"/>
            <w:vAlign w:val="bottom"/>
            <w:tcBorders>
              <w:bottom w:val="single" w:sz="8" w:color="CCCCCC"/>
            </w:tcBorders>
          </w:tcPr>
          <w:p>
            <w:pPr>
              <w:spacing w:after="0"/>
              <w:rPr>
                <w:sz w:val="14"/>
                <w:szCs w:val="14"/>
                <w:color w:val="auto"/>
              </w:rPr>
            </w:pPr>
          </w:p>
        </w:tc>
        <w:tc>
          <w:tcPr>
            <w:tcW w:w="120" w:type="dxa"/>
            <w:vAlign w:val="bottom"/>
            <w:tcBorders>
              <w:bottom w:val="single" w:sz="8" w:color="CCCCCC"/>
            </w:tcBorders>
          </w:tcPr>
          <w:p>
            <w:pPr>
              <w:spacing w:after="0"/>
              <w:rPr>
                <w:sz w:val="14"/>
                <w:szCs w:val="14"/>
                <w:color w:val="auto"/>
              </w:rPr>
            </w:pPr>
          </w:p>
        </w:tc>
        <w:tc>
          <w:tcPr>
            <w:tcW w:w="260" w:type="dxa"/>
            <w:vAlign w:val="bottom"/>
            <w:tcBorders>
              <w:bottom w:val="single" w:sz="8" w:color="CCCCCC"/>
            </w:tcBorders>
          </w:tcPr>
          <w:p>
            <w:pPr>
              <w:spacing w:after="0"/>
              <w:rPr>
                <w:sz w:val="14"/>
                <w:szCs w:val="14"/>
                <w:color w:val="auto"/>
              </w:rPr>
            </w:pPr>
          </w:p>
        </w:tc>
        <w:tc>
          <w:tcPr>
            <w:tcW w:w="44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tcPr>
          <w:p>
            <w:pPr>
              <w:spacing w:after="0"/>
              <w:rPr>
                <w:sz w:val="14"/>
                <w:szCs w:val="14"/>
                <w:color w:val="auto"/>
              </w:rPr>
            </w:pPr>
          </w:p>
        </w:tc>
        <w:tc>
          <w:tcPr>
            <w:tcW w:w="100" w:type="dxa"/>
            <w:vAlign w:val="bottom"/>
            <w:tcBorders>
              <w:bottom w:val="single" w:sz="8" w:color="CCCCCC"/>
            </w:tcBorders>
          </w:tcPr>
          <w:p>
            <w:pPr>
              <w:spacing w:after="0"/>
              <w:rPr>
                <w:sz w:val="14"/>
                <w:szCs w:val="14"/>
                <w:color w:val="auto"/>
              </w:rPr>
            </w:pPr>
          </w:p>
        </w:tc>
        <w:tc>
          <w:tcPr>
            <w:tcW w:w="1340" w:type="dxa"/>
            <w:vAlign w:val="bottom"/>
            <w:tcBorders>
              <w:bottom w:val="single" w:sz="8" w:color="CCCCCC"/>
            </w:tcBorders>
          </w:tcPr>
          <w:p>
            <w:pPr>
              <w:spacing w:after="0"/>
              <w:rPr>
                <w:sz w:val="14"/>
                <w:szCs w:val="14"/>
                <w:color w:val="auto"/>
              </w:rPr>
            </w:pPr>
          </w:p>
        </w:tc>
        <w:tc>
          <w:tcPr>
            <w:tcW w:w="100" w:type="dxa"/>
            <w:vAlign w:val="bottom"/>
            <w:tcBorders>
              <w:bottom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5180" w:type="dxa"/>
            <w:vAlign w:val="bottom"/>
            <w:vMerge w:val="restart"/>
          </w:tcPr>
          <w:p>
            <w:pPr>
              <w:ind w:left="940"/>
              <w:spacing w:after="0"/>
              <w:rPr>
                <w:sz w:val="20"/>
                <w:szCs w:val="20"/>
                <w:color w:val="auto"/>
              </w:rPr>
            </w:pPr>
            <w:r>
              <w:rPr>
                <w:rFonts w:ascii="Arial" w:cs="Arial" w:eastAsia="Arial" w:hAnsi="Arial"/>
                <w:sz w:val="15"/>
                <w:szCs w:val="15"/>
                <w:color w:val="auto"/>
              </w:rPr>
              <w:t>Theodore F. Pound</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Human Capital and</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rPr>
              <w:t>Compensation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78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1"/>
                <w:szCs w:val="11"/>
                <w:color w:val="auto"/>
              </w:rPr>
              <w:t xml:space="preserve"> Private Investor and Attorney</w:t>
            </w: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 70</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2015</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(Chair);</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Governance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1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3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76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spacing w:after="0"/>
              <w:rPr>
                <w:sz w:val="8"/>
                <w:szCs w:val="8"/>
                <w:color w:val="auto"/>
              </w:rPr>
            </w:pPr>
          </w:p>
        </w:tc>
        <w:tc>
          <w:tcPr>
            <w:tcW w:w="4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13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5180" w:type="dxa"/>
            <w:vAlign w:val="bottom"/>
            <w:vMerge w:val="restart"/>
          </w:tcPr>
          <w:p>
            <w:pPr>
              <w:ind w:left="940"/>
              <w:spacing w:after="0"/>
              <w:rPr>
                <w:sz w:val="20"/>
                <w:szCs w:val="20"/>
                <w:color w:val="auto"/>
              </w:rPr>
            </w:pPr>
            <w:r>
              <w:rPr>
                <w:rFonts w:ascii="Arial" w:cs="Arial" w:eastAsia="Arial" w:hAnsi="Arial"/>
                <w:sz w:val="15"/>
                <w:szCs w:val="15"/>
                <w:color w:val="auto"/>
              </w:rPr>
              <w:t>Dean L. Seavers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Governance;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w w:val="98"/>
              </w:rPr>
              <w:t>Safety &amp;</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80"/>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1"/>
                <w:szCs w:val="11"/>
                <w:color w:val="auto"/>
              </w:rPr>
              <w:t xml:space="preserve"> Senior Advisor at Stifel Financial Corp.</w:t>
            </w: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 ​ 64</w:t>
            </w:r>
          </w:p>
        </w:tc>
        <w:tc>
          <w:tcPr>
            <w:tcW w:w="960" w:type="dxa"/>
            <w:vAlign w:val="bottom"/>
            <w:gridSpan w:val="3"/>
          </w:tcPr>
          <w:p>
            <w:pPr>
              <w:ind w:left="40"/>
              <w:spacing w:after="0"/>
              <w:rPr>
                <w:sz w:val="20"/>
                <w:szCs w:val="20"/>
                <w:color w:val="auto"/>
              </w:rPr>
            </w:pPr>
            <w:r>
              <w:rPr>
                <w:rFonts w:ascii="Arial" w:cs="Arial" w:eastAsia="Arial" w:hAnsi="Arial"/>
                <w:sz w:val="15"/>
                <w:szCs w:val="15"/>
                <w:color w:val="auto"/>
              </w:rPr>
              <w:t>​ ​ Dec. 2024</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1340" w:type="dxa"/>
            <w:vAlign w:val="bottom"/>
            <w:vMerge w:val="continue"/>
          </w:tcPr>
          <w:p>
            <w:pPr>
              <w:spacing w:after="0"/>
              <w:rPr>
                <w:sz w:val="18"/>
                <w:szCs w:val="18"/>
                <w:color w:val="auto"/>
              </w:rPr>
            </w:pP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Operations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18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36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76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260" w:type="dxa"/>
            <w:vAlign w:val="bottom"/>
            <w:tcBorders>
              <w:bottom w:val="single" w:sz="8" w:color="CCCCCC"/>
            </w:tcBorders>
          </w:tcPr>
          <w:p>
            <w:pPr>
              <w:spacing w:after="0"/>
              <w:rPr>
                <w:sz w:val="10"/>
                <w:szCs w:val="10"/>
                <w:color w:val="auto"/>
              </w:rPr>
            </w:pPr>
          </w:p>
        </w:tc>
        <w:tc>
          <w:tcPr>
            <w:tcW w:w="440" w:type="dxa"/>
            <w:vAlign w:val="bottom"/>
            <w:tcBorders>
              <w:bottom w:val="single" w:sz="8" w:color="CCCCCC"/>
            </w:tcBorders>
          </w:tcPr>
          <w:p>
            <w:pPr>
              <w:spacing w:after="0"/>
              <w:rPr>
                <w:sz w:val="10"/>
                <w:szCs w:val="10"/>
                <w:color w:val="auto"/>
              </w:rPr>
            </w:pPr>
          </w:p>
        </w:tc>
        <w:tc>
          <w:tcPr>
            <w:tcW w:w="280" w:type="dxa"/>
            <w:vAlign w:val="bottom"/>
            <w:tcBorders>
              <w:bottom w:val="single" w:sz="8" w:color="CCCCCC"/>
            </w:tcBorders>
          </w:tcPr>
          <w:p>
            <w:pPr>
              <w:spacing w:after="0"/>
              <w:rPr>
                <w:sz w:val="10"/>
                <w:szCs w:val="10"/>
                <w:color w:val="auto"/>
              </w:rPr>
            </w:pPr>
          </w:p>
        </w:tc>
        <w:tc>
          <w:tcPr>
            <w:tcW w:w="100" w:type="dxa"/>
            <w:vAlign w:val="bottom"/>
            <w:tcBorders>
              <w:bottom w:val="single" w:sz="8" w:color="CCCCCC"/>
            </w:tcBorders>
          </w:tcPr>
          <w:p>
            <w:pPr>
              <w:spacing w:after="0"/>
              <w:rPr>
                <w:sz w:val="10"/>
                <w:szCs w:val="10"/>
                <w:color w:val="auto"/>
              </w:rPr>
            </w:pPr>
          </w:p>
        </w:tc>
        <w:tc>
          <w:tcPr>
            <w:tcW w:w="1340" w:type="dxa"/>
            <w:vAlign w:val="bottom"/>
            <w:tcBorders>
              <w:bottom w:val="single" w:sz="8" w:color="CCCCCC"/>
            </w:tcBorders>
          </w:tcPr>
          <w:p>
            <w:pPr>
              <w:spacing w:after="0"/>
              <w:rPr>
                <w:sz w:val="10"/>
                <w:szCs w:val="10"/>
                <w:color w:val="auto"/>
              </w:rPr>
            </w:pPr>
          </w:p>
        </w:tc>
        <w:tc>
          <w:tcPr>
            <w:tcW w:w="10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180" w:type="dxa"/>
            <w:vAlign w:val="bottom"/>
          </w:tcPr>
          <w:p>
            <w:pPr>
              <w:ind w:left="940"/>
              <w:spacing w:after="0"/>
              <w:rPr>
                <w:sz w:val="20"/>
                <w:szCs w:val="20"/>
                <w:color w:val="auto"/>
              </w:rPr>
            </w:pPr>
            <w:r>
              <w:rPr>
                <w:rFonts w:ascii="Arial" w:cs="Arial" w:eastAsia="Arial" w:hAnsi="Arial"/>
                <w:sz w:val="15"/>
                <w:szCs w:val="15"/>
                <w:color w:val="auto"/>
              </w:rPr>
              <w:t>Phillip R. Smith</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180" w:type="dxa"/>
            <w:vAlign w:val="bottom"/>
          </w:tcPr>
          <w:p>
            <w:pPr>
              <w:ind w:left="78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2"/>
                <w:szCs w:val="12"/>
                <w:color w:val="auto"/>
              </w:rPr>
              <w:t>Independent Chair of the Board of CenterPoint Energy and Chief Financial</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 73</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8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center"/>
              <w:spacing w:after="0"/>
              <w:rPr>
                <w:sz w:val="20"/>
                <w:szCs w:val="20"/>
                <w:color w:val="auto"/>
              </w:rPr>
            </w:pPr>
            <w:r>
              <w:rPr>
                <w:rFonts w:ascii="Arial" w:cs="Arial" w:eastAsia="Arial" w:hAnsi="Arial"/>
                <w:sz w:val="15"/>
                <w:szCs w:val="15"/>
                <w:color w:val="auto"/>
              </w:rPr>
              <w:t>2014</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180" w:type="dxa"/>
            <w:vAlign w:val="bottom"/>
          </w:tcPr>
          <w:p>
            <w:pPr>
              <w:ind w:left="940"/>
              <w:spacing w:after="0"/>
              <w:rPr>
                <w:sz w:val="20"/>
                <w:szCs w:val="20"/>
                <w:color w:val="auto"/>
              </w:rPr>
            </w:pPr>
            <w:r>
              <w:rPr>
                <w:rFonts w:ascii="Arial" w:cs="Arial" w:eastAsia="Arial" w:hAnsi="Arial"/>
                <w:sz w:val="13"/>
                <w:szCs w:val="13"/>
                <w:color w:val="auto"/>
              </w:rPr>
              <w:t>Officer of Marathon-Sparta Holdings, Inc.</w:t>
            </w: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3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80" w:type="dxa"/>
            <w:vAlign w:val="bottom"/>
            <w:tcBorders>
              <w:bottom w:val="single" w:sz="8" w:color="CCCCCC"/>
            </w:tcBorders>
          </w:tcPr>
          <w:p>
            <w:pPr>
              <w:spacing w:after="0"/>
              <w:rPr>
                <w:sz w:val="15"/>
                <w:szCs w:val="15"/>
                <w:color w:val="auto"/>
              </w:rPr>
            </w:pPr>
          </w:p>
        </w:tc>
        <w:tc>
          <w:tcPr>
            <w:tcW w:w="760" w:type="dxa"/>
            <w:vAlign w:val="bottom"/>
            <w:tcBorders>
              <w:bottom w:val="single" w:sz="8" w:color="CCCCCC"/>
            </w:tcBorders>
          </w:tcPr>
          <w:p>
            <w:pPr>
              <w:spacing w:after="0"/>
              <w:rPr>
                <w:sz w:val="15"/>
                <w:szCs w:val="15"/>
                <w:color w:val="auto"/>
              </w:rPr>
            </w:pPr>
          </w:p>
        </w:tc>
        <w:tc>
          <w:tcPr>
            <w:tcW w:w="120" w:type="dxa"/>
            <w:vAlign w:val="bottom"/>
            <w:tcBorders>
              <w:bottom w:val="single" w:sz="8" w:color="CCCCCC"/>
            </w:tcBorders>
          </w:tcPr>
          <w:p>
            <w:pPr>
              <w:spacing w:after="0"/>
              <w:rPr>
                <w:sz w:val="15"/>
                <w:szCs w:val="15"/>
                <w:color w:val="auto"/>
              </w:rPr>
            </w:pPr>
          </w:p>
        </w:tc>
        <w:tc>
          <w:tcPr>
            <w:tcW w:w="260" w:type="dxa"/>
            <w:vAlign w:val="bottom"/>
            <w:tcBorders>
              <w:bottom w:val="single" w:sz="8" w:color="CCCCCC"/>
            </w:tcBorders>
          </w:tcPr>
          <w:p>
            <w:pPr>
              <w:spacing w:after="0"/>
              <w:rPr>
                <w:sz w:val="15"/>
                <w:szCs w:val="15"/>
                <w:color w:val="auto"/>
              </w:rPr>
            </w:pPr>
          </w:p>
        </w:tc>
        <w:tc>
          <w:tcPr>
            <w:tcW w:w="440" w:type="dxa"/>
            <w:vAlign w:val="bottom"/>
            <w:tcBorders>
              <w:bottom w:val="single" w:sz="8" w:color="CCCCCC"/>
            </w:tcBorders>
          </w:tcPr>
          <w:p>
            <w:pPr>
              <w:spacing w:after="0"/>
              <w:rPr>
                <w:sz w:val="15"/>
                <w:szCs w:val="15"/>
                <w:color w:val="auto"/>
              </w:rPr>
            </w:pPr>
          </w:p>
        </w:tc>
        <w:tc>
          <w:tcPr>
            <w:tcW w:w="28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1340" w:type="dxa"/>
            <w:vAlign w:val="bottom"/>
            <w:tcBorders>
              <w:bottom w:val="single" w:sz="8" w:color="CCCCCC"/>
            </w:tcBorders>
          </w:tcPr>
          <w:p>
            <w:pPr>
              <w:spacing w:after="0"/>
              <w:rPr>
                <w:sz w:val="15"/>
                <w:szCs w:val="15"/>
                <w:color w:val="auto"/>
              </w:rPr>
            </w:pPr>
          </w:p>
        </w:tc>
        <w:tc>
          <w:tcPr>
            <w:tcW w:w="100" w:type="dxa"/>
            <w:vAlign w:val="bottom"/>
            <w:tcBorders>
              <w:bottom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180" w:type="dxa"/>
            <w:vAlign w:val="bottom"/>
          </w:tcPr>
          <w:p>
            <w:pPr>
              <w:ind w:left="940"/>
              <w:spacing w:after="0"/>
              <w:rPr>
                <w:sz w:val="20"/>
                <w:szCs w:val="20"/>
                <w:color w:val="auto"/>
              </w:rPr>
            </w:pPr>
            <w:r>
              <w:rPr>
                <w:rFonts w:ascii="Arial" w:cs="Arial" w:eastAsia="Arial" w:hAnsi="Arial"/>
                <w:sz w:val="15"/>
                <w:szCs w:val="15"/>
                <w:color w:val="auto"/>
              </w:rPr>
              <w:t>Jason P. Wells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180" w:type="dxa"/>
            <w:vAlign w:val="bottom"/>
          </w:tcPr>
          <w:p>
            <w:pPr>
              <w:ind w:left="78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3"/>
                <w:szCs w:val="13"/>
                <w:color w:val="auto"/>
              </w:rPr>
              <w:t xml:space="preserve"> President and Chief Executive Officer of CenterPoint Energy</w:t>
            </w:r>
            <w:r>
              <w:rPr>
                <w:rFonts w:ascii="Arial" w:cs="Arial" w:eastAsia="Arial" w:hAnsi="Arial"/>
                <w:sz w:val="15"/>
                <w:szCs w:val="15"/>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 47</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20"/>
              <w:spacing w:after="0"/>
              <w:rPr>
                <w:sz w:val="20"/>
                <w:szCs w:val="20"/>
                <w:color w:val="auto"/>
              </w:rPr>
            </w:pPr>
            <w:r>
              <w:rPr>
                <w:rFonts w:ascii="Arial" w:cs="Arial" w:eastAsia="Arial" w:hAnsi="Arial"/>
                <w:sz w:val="15"/>
                <w:szCs w:val="15"/>
                <w:color w:val="auto"/>
              </w:rPr>
              <w:t>​ Jan. 2024</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40" w:type="dxa"/>
            <w:vAlign w:val="bottom"/>
          </w:tcPr>
          <w:p>
            <w:pPr>
              <w:ind w:left="200"/>
              <w:spacing w:after="0"/>
              <w:rPr>
                <w:sz w:val="20"/>
                <w:szCs w:val="20"/>
                <w:color w:val="auto"/>
              </w:rPr>
            </w:pPr>
            <w:r>
              <w:rPr>
                <w:rFonts w:ascii="Arial" w:cs="Arial" w:eastAsia="Arial" w:hAnsi="Arial"/>
                <w:sz w:val="15"/>
                <w:szCs w:val="15"/>
                <w:color w:val="auto"/>
              </w:rPr>
              <w:t>​</w:t>
            </w:r>
          </w:p>
        </w:tc>
        <w:tc>
          <w:tcPr>
            <w:tcW w:w="280" w:type="dxa"/>
            <w:vAlign w:val="bottom"/>
          </w:tcPr>
          <w:p>
            <w:pPr>
              <w:ind w:lef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2"/>
        </w:trPr>
        <w:tc>
          <w:tcPr>
            <w:tcW w:w="5180" w:type="dxa"/>
            <w:vAlign w:val="bottom"/>
            <w:tcBorders>
              <w:bottom w:val="single" w:sz="8" w:color="CCCCCC"/>
            </w:tcBorders>
          </w:tcPr>
          <w:p>
            <w:pPr>
              <w:spacing w:after="0"/>
              <w:rPr>
                <w:sz w:val="11"/>
                <w:szCs w:val="11"/>
                <w:color w:val="auto"/>
              </w:rPr>
            </w:pPr>
          </w:p>
        </w:tc>
        <w:tc>
          <w:tcPr>
            <w:tcW w:w="120" w:type="dxa"/>
            <w:vAlign w:val="bottom"/>
            <w:tcBorders>
              <w:bottom w:val="single" w:sz="8" w:color="CCCCCC"/>
            </w:tcBorders>
          </w:tcPr>
          <w:p>
            <w:pPr>
              <w:spacing w:after="0"/>
              <w:rPr>
                <w:sz w:val="11"/>
                <w:szCs w:val="11"/>
                <w:color w:val="auto"/>
              </w:rPr>
            </w:pPr>
          </w:p>
        </w:tc>
        <w:tc>
          <w:tcPr>
            <w:tcW w:w="360" w:type="dxa"/>
            <w:vAlign w:val="bottom"/>
            <w:tcBorders>
              <w:bottom w:val="single" w:sz="8" w:color="CCCCCC"/>
            </w:tcBorders>
          </w:tcPr>
          <w:p>
            <w:pPr>
              <w:spacing w:after="0"/>
              <w:rPr>
                <w:sz w:val="11"/>
                <w:szCs w:val="11"/>
                <w:color w:val="auto"/>
              </w:rPr>
            </w:pPr>
          </w:p>
        </w:tc>
        <w:tc>
          <w:tcPr>
            <w:tcW w:w="120" w:type="dxa"/>
            <w:vAlign w:val="bottom"/>
            <w:tcBorders>
              <w:bottom w:val="single" w:sz="8" w:color="CCCCCC"/>
            </w:tcBorders>
          </w:tcPr>
          <w:p>
            <w:pPr>
              <w:spacing w:after="0"/>
              <w:rPr>
                <w:sz w:val="11"/>
                <w:szCs w:val="11"/>
                <w:color w:val="auto"/>
              </w:rPr>
            </w:pPr>
          </w:p>
        </w:tc>
        <w:tc>
          <w:tcPr>
            <w:tcW w:w="80" w:type="dxa"/>
            <w:vAlign w:val="bottom"/>
            <w:tcBorders>
              <w:bottom w:val="single" w:sz="8" w:color="CCCCCC"/>
            </w:tcBorders>
          </w:tcPr>
          <w:p>
            <w:pPr>
              <w:spacing w:after="0"/>
              <w:rPr>
                <w:sz w:val="11"/>
                <w:szCs w:val="11"/>
                <w:color w:val="auto"/>
              </w:rPr>
            </w:pPr>
          </w:p>
        </w:tc>
        <w:tc>
          <w:tcPr>
            <w:tcW w:w="760" w:type="dxa"/>
            <w:vAlign w:val="bottom"/>
            <w:tcBorders>
              <w:bottom w:val="single" w:sz="8" w:color="CCCCCC"/>
            </w:tcBorders>
          </w:tcPr>
          <w:p>
            <w:pPr>
              <w:spacing w:after="0"/>
              <w:rPr>
                <w:sz w:val="11"/>
                <w:szCs w:val="11"/>
                <w:color w:val="auto"/>
              </w:rPr>
            </w:pPr>
          </w:p>
        </w:tc>
        <w:tc>
          <w:tcPr>
            <w:tcW w:w="120" w:type="dxa"/>
            <w:vAlign w:val="bottom"/>
            <w:tcBorders>
              <w:bottom w:val="single" w:sz="8" w:color="CCCCCC"/>
            </w:tcBorders>
          </w:tcPr>
          <w:p>
            <w:pPr>
              <w:spacing w:after="0"/>
              <w:rPr>
                <w:sz w:val="11"/>
                <w:szCs w:val="11"/>
                <w:color w:val="auto"/>
              </w:rPr>
            </w:pPr>
          </w:p>
        </w:tc>
        <w:tc>
          <w:tcPr>
            <w:tcW w:w="260" w:type="dxa"/>
            <w:vAlign w:val="bottom"/>
            <w:tcBorders>
              <w:bottom w:val="single" w:sz="8" w:color="CCCCCC"/>
            </w:tcBorders>
          </w:tcPr>
          <w:p>
            <w:pPr>
              <w:spacing w:after="0"/>
              <w:rPr>
                <w:sz w:val="11"/>
                <w:szCs w:val="11"/>
                <w:color w:val="auto"/>
              </w:rPr>
            </w:pPr>
          </w:p>
        </w:tc>
        <w:tc>
          <w:tcPr>
            <w:tcW w:w="440" w:type="dxa"/>
            <w:vAlign w:val="bottom"/>
            <w:tcBorders>
              <w:bottom w:val="single" w:sz="8" w:color="CCCCCC"/>
            </w:tcBorders>
          </w:tcPr>
          <w:p>
            <w:pPr>
              <w:spacing w:after="0"/>
              <w:rPr>
                <w:sz w:val="11"/>
                <w:szCs w:val="11"/>
                <w:color w:val="auto"/>
              </w:rPr>
            </w:pPr>
          </w:p>
        </w:tc>
        <w:tc>
          <w:tcPr>
            <w:tcW w:w="280" w:type="dxa"/>
            <w:vAlign w:val="bottom"/>
            <w:tcBorders>
              <w:bottom w:val="single" w:sz="8" w:color="CCCCCC"/>
            </w:tcBorders>
          </w:tcPr>
          <w:p>
            <w:pPr>
              <w:spacing w:after="0"/>
              <w:rPr>
                <w:sz w:val="11"/>
                <w:szCs w:val="11"/>
                <w:color w:val="auto"/>
              </w:rPr>
            </w:pPr>
          </w:p>
        </w:tc>
        <w:tc>
          <w:tcPr>
            <w:tcW w:w="100" w:type="dxa"/>
            <w:vAlign w:val="bottom"/>
            <w:tcBorders>
              <w:bottom w:val="single" w:sz="8" w:color="CCCCCC"/>
            </w:tcBorders>
          </w:tcPr>
          <w:p>
            <w:pPr>
              <w:spacing w:after="0"/>
              <w:rPr>
                <w:sz w:val="11"/>
                <w:szCs w:val="11"/>
                <w:color w:val="auto"/>
              </w:rPr>
            </w:pPr>
          </w:p>
        </w:tc>
        <w:tc>
          <w:tcPr>
            <w:tcW w:w="1340" w:type="dxa"/>
            <w:vAlign w:val="bottom"/>
            <w:tcBorders>
              <w:bottom w:val="single" w:sz="8" w:color="CCCCCC"/>
            </w:tcBorders>
          </w:tcPr>
          <w:p>
            <w:pPr>
              <w:spacing w:after="0"/>
              <w:rPr>
                <w:sz w:val="11"/>
                <w:szCs w:val="11"/>
                <w:color w:val="auto"/>
              </w:rPr>
            </w:pPr>
          </w:p>
        </w:tc>
        <w:tc>
          <w:tcPr>
            <w:tcW w:w="1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-6385560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-6009005</wp:posOffset>
            </wp:positionV>
            <wp:extent cx="4637405" cy="5992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37405" cy="599249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740" w:type="dxa"/>
        <w:tblCellMar>
          <w:top w:w="0" w:type="dxa"/>
          <w:left w:w="0" w:type="dxa"/>
          <w:bottom w:w="0" w:type="dxa"/>
          <w:right w:w="0" w:type="dxa"/>
        </w:tblCellMar>
      </w:tblPr>
      <w:tr>
        <w:trPr>
          <w:trHeight w:val="247"/>
        </w:trPr>
        <w:tc>
          <w:tcPr>
            <w:tcW w:w="3080" w:type="dxa"/>
            <w:vAlign w:val="bottom"/>
            <w:gridSpan w:val="2"/>
          </w:tcPr>
          <w:p>
            <w:pPr>
              <w:spacing w:after="0"/>
              <w:rPr>
                <w:sz w:val="20"/>
                <w:szCs w:val="20"/>
                <w:color w:val="auto"/>
              </w:rPr>
            </w:pPr>
            <w:r>
              <w:rPr>
                <w:rFonts w:ascii="Arial" w:cs="Arial" w:eastAsia="Arial" w:hAnsi="Arial"/>
                <w:sz w:val="18"/>
                <w:szCs w:val="18"/>
                <w:b w:val="1"/>
                <w:bCs w:val="1"/>
                <w:color w:val="003763"/>
              </w:rPr>
              <w:t>Board Qualifications and Skills</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30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30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2680" w:type="dxa"/>
            <w:vAlign w:val="bottom"/>
            <w:shd w:val="clear" w:color="auto" w:fill="F2F2F2"/>
          </w:tcPr>
          <w:p>
            <w:pPr>
              <w:ind w:left="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w:t>
            </w:r>
          </w:p>
        </w:tc>
        <w:tc>
          <w:tcPr>
            <w:tcW w:w="3120" w:type="dxa"/>
            <w:vAlign w:val="bottom"/>
            <w:shd w:val="clear" w:color="auto" w:fill="F2F2F2"/>
          </w:tcPr>
          <w:p>
            <w:pPr>
              <w:ind w:left="2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60" w:type="dxa"/>
            <w:vAlign w:val="bottom"/>
            <w:shd w:val="clear" w:color="auto" w:fill="F2F2F2"/>
          </w:tcPr>
          <w:p>
            <w:pPr>
              <w:ind w:left="420"/>
              <w:spacing w:after="0"/>
              <w:rPr>
                <w:sz w:val="20"/>
                <w:szCs w:val="20"/>
                <w:color w:val="auto"/>
              </w:rPr>
            </w:pPr>
            <w:r>
              <w:rPr>
                <w:rFonts w:ascii="Arial" w:cs="Arial" w:eastAsia="Arial" w:hAnsi="Arial"/>
                <w:sz w:val="18"/>
                <w:szCs w:val="18"/>
                <w:color w:val="auto"/>
                <w:w w:val="98"/>
              </w:rPr>
              <w:t>Current / Former CEO of a Public</w:t>
            </w:r>
          </w:p>
        </w:tc>
        <w:tc>
          <w:tcPr>
            <w:tcW w:w="26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Community Involvement</w:t>
            </w:r>
          </w:p>
        </w:tc>
        <w:tc>
          <w:tcPr>
            <w:tcW w:w="380" w:type="dxa"/>
            <w:vAlign w:val="bottom"/>
            <w:shd w:val="clear" w:color="auto" w:fill="F2F2F2"/>
          </w:tcPr>
          <w:p>
            <w:pPr>
              <w:spacing w:after="0"/>
              <w:rPr>
                <w:sz w:val="24"/>
                <w:szCs w:val="24"/>
                <w:color w:val="auto"/>
              </w:rPr>
            </w:pPr>
          </w:p>
        </w:tc>
        <w:tc>
          <w:tcPr>
            <w:tcW w:w="3120" w:type="dxa"/>
            <w:vAlign w:val="bottom"/>
            <w:shd w:val="clear" w:color="auto" w:fill="F2F2F2"/>
          </w:tcPr>
          <w:p>
            <w:pPr>
              <w:ind w:left="40"/>
              <w:spacing w:after="0"/>
              <w:rPr>
                <w:sz w:val="20"/>
                <w:szCs w:val="20"/>
                <w:color w:val="auto"/>
              </w:rPr>
            </w:pPr>
            <w:r>
              <w:rPr>
                <w:rFonts w:ascii="Arial" w:cs="Arial" w:eastAsia="Arial" w:hAnsi="Arial"/>
                <w:sz w:val="18"/>
                <w:szCs w:val="18"/>
                <w:color w:val="auto"/>
              </w:rPr>
              <w:t>Government, Legal, and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060" w:type="dxa"/>
            <w:vAlign w:val="bottom"/>
            <w:shd w:val="clear" w:color="auto" w:fill="F2F2F2"/>
          </w:tcPr>
          <w:p>
            <w:pPr>
              <w:ind w:left="420"/>
              <w:spacing w:after="0"/>
              <w:rPr>
                <w:sz w:val="20"/>
                <w:szCs w:val="20"/>
                <w:color w:val="auto"/>
              </w:rPr>
            </w:pPr>
            <w:r>
              <w:rPr>
                <w:rFonts w:ascii="Arial" w:cs="Arial" w:eastAsia="Arial" w:hAnsi="Arial"/>
                <w:sz w:val="18"/>
                <w:szCs w:val="18"/>
                <w:color w:val="auto"/>
              </w:rPr>
              <w:t>Company or Large Organization</w:t>
            </w:r>
          </w:p>
        </w:tc>
        <w:tc>
          <w:tcPr>
            <w:tcW w:w="2680" w:type="dxa"/>
            <w:vAlign w:val="bottom"/>
            <w:vMerge w:val="restart"/>
            <w:shd w:val="clear" w:color="auto" w:fill="F2F2F2"/>
          </w:tcPr>
          <w:p>
            <w:pPr>
              <w:ind w:left="240"/>
              <w:spacing w:after="0"/>
              <w:rPr>
                <w:sz w:val="20"/>
                <w:szCs w:val="20"/>
                <w:color w:val="auto"/>
              </w:rPr>
            </w:pPr>
            <w:r>
              <w:rPr>
                <w:rFonts w:ascii="Arial" w:cs="Arial" w:eastAsia="Arial" w:hAnsi="Arial"/>
                <w:sz w:val="18"/>
                <w:szCs w:val="18"/>
                <w:color w:val="auto"/>
              </w:rPr>
              <w:t>Human Capital Management</w:t>
            </w:r>
          </w:p>
        </w:tc>
        <w:tc>
          <w:tcPr>
            <w:tcW w:w="380" w:type="dxa"/>
            <w:vAlign w:val="bottom"/>
            <w:shd w:val="clear" w:color="auto" w:fill="F2F2F2"/>
          </w:tcPr>
          <w:p>
            <w:pPr>
              <w:spacing w:after="0"/>
              <w:rPr>
                <w:sz w:val="20"/>
                <w:szCs w:val="20"/>
                <w:color w:val="auto"/>
              </w:rPr>
            </w:pPr>
          </w:p>
        </w:tc>
        <w:tc>
          <w:tcPr>
            <w:tcW w:w="3120" w:type="dxa"/>
            <w:vAlign w:val="bottom"/>
            <w:shd w:val="clear" w:color="auto" w:fill="F2F2F2"/>
          </w:tcPr>
          <w:p>
            <w:pPr>
              <w:ind w:left="40"/>
              <w:spacing w:after="0"/>
              <w:rPr>
                <w:sz w:val="20"/>
                <w:szCs w:val="20"/>
                <w:color w:val="auto"/>
              </w:rPr>
            </w:pPr>
            <w:r>
              <w:rPr>
                <w:rFonts w:ascii="Arial" w:cs="Arial" w:eastAsia="Arial" w:hAnsi="Arial"/>
                <w:sz w:val="18"/>
                <w:szCs w:val="18"/>
                <w:color w:val="auto"/>
              </w:rPr>
              <w:t>Regulatory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restart"/>
            <w:shd w:val="clear" w:color="auto" w:fill="F2F2F2"/>
          </w:tcPr>
          <w:p>
            <w:pPr>
              <w:ind w:left="420"/>
              <w:spacing w:after="0"/>
              <w:rPr>
                <w:sz w:val="20"/>
                <w:szCs w:val="20"/>
                <w:color w:val="auto"/>
              </w:rPr>
            </w:pPr>
            <w:r>
              <w:rPr>
                <w:rFonts w:ascii="Arial" w:cs="Arial" w:eastAsia="Arial" w:hAnsi="Arial"/>
                <w:sz w:val="18"/>
                <w:szCs w:val="18"/>
                <w:color w:val="auto"/>
              </w:rPr>
              <w:t>Public Company Governance</w:t>
            </w:r>
          </w:p>
        </w:tc>
        <w:tc>
          <w:tcPr>
            <w:tcW w:w="2680" w:type="dxa"/>
            <w:vAlign w:val="bottom"/>
            <w:vMerge w:val="continue"/>
            <w:shd w:val="clear" w:color="auto" w:fill="F2F2F2"/>
          </w:tcPr>
          <w:p>
            <w:pPr>
              <w:spacing w:after="0"/>
              <w:rPr>
                <w:sz w:val="9"/>
                <w:szCs w:val="9"/>
                <w:color w:val="auto"/>
              </w:rPr>
            </w:pPr>
          </w:p>
        </w:tc>
        <w:tc>
          <w:tcPr>
            <w:tcW w:w="380" w:type="dxa"/>
            <w:vAlign w:val="bottom"/>
            <w:shd w:val="clear" w:color="auto" w:fill="F2F2F2"/>
          </w:tcPr>
          <w:p>
            <w:pPr>
              <w:spacing w:after="0"/>
              <w:rPr>
                <w:sz w:val="9"/>
                <w:szCs w:val="9"/>
                <w:color w:val="auto"/>
              </w:rPr>
            </w:pPr>
          </w:p>
        </w:tc>
        <w:tc>
          <w:tcPr>
            <w:tcW w:w="3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Technology and Customer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60" w:type="dxa"/>
            <w:vAlign w:val="bottom"/>
            <w:vMerge w:val="continue"/>
            <w:shd w:val="clear" w:color="auto" w:fill="F2F2F2"/>
          </w:tcPr>
          <w:p>
            <w:pPr>
              <w:spacing w:after="0"/>
              <w:rPr>
                <w:sz w:val="17"/>
                <w:szCs w:val="17"/>
                <w:color w:val="auto"/>
              </w:rPr>
            </w:pPr>
          </w:p>
        </w:tc>
        <w:tc>
          <w:tcPr>
            <w:tcW w:w="2680" w:type="dxa"/>
            <w:vAlign w:val="bottom"/>
            <w:vMerge w:val="restart"/>
            <w:shd w:val="clear" w:color="auto" w:fill="F2F2F2"/>
          </w:tcPr>
          <w:p>
            <w:pPr>
              <w:ind w:left="240"/>
              <w:spacing w:after="0"/>
              <w:rPr>
                <w:sz w:val="20"/>
                <w:szCs w:val="20"/>
                <w:color w:val="auto"/>
              </w:rPr>
            </w:pPr>
            <w:r>
              <w:rPr>
                <w:rFonts w:ascii="Arial" w:cs="Arial" w:eastAsia="Arial" w:hAnsi="Arial"/>
                <w:sz w:val="18"/>
                <w:szCs w:val="18"/>
                <w:color w:val="auto"/>
              </w:rPr>
              <w:t>Strategic Planning</w:t>
            </w:r>
          </w:p>
        </w:tc>
        <w:tc>
          <w:tcPr>
            <w:tcW w:w="380" w:type="dxa"/>
            <w:vAlign w:val="bottom"/>
            <w:shd w:val="clear" w:color="auto" w:fill="F2F2F2"/>
          </w:tcPr>
          <w:p>
            <w:pPr>
              <w:spacing w:after="0"/>
              <w:rPr>
                <w:sz w:val="17"/>
                <w:szCs w:val="17"/>
                <w:color w:val="auto"/>
              </w:rPr>
            </w:pPr>
          </w:p>
        </w:tc>
        <w:tc>
          <w:tcPr>
            <w:tcW w:w="312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60" w:type="dxa"/>
            <w:vAlign w:val="bottom"/>
            <w:vMerge w:val="restart"/>
            <w:shd w:val="clear" w:color="auto" w:fill="F2F2F2"/>
          </w:tcPr>
          <w:p>
            <w:pPr>
              <w:ind w:left="420"/>
              <w:spacing w:after="0"/>
              <w:rPr>
                <w:sz w:val="20"/>
                <w:szCs w:val="20"/>
                <w:color w:val="auto"/>
              </w:rPr>
            </w:pPr>
            <w:r>
              <w:rPr>
                <w:rFonts w:ascii="Arial" w:cs="Arial" w:eastAsia="Arial" w:hAnsi="Arial"/>
                <w:sz w:val="18"/>
                <w:szCs w:val="18"/>
                <w:color w:val="auto"/>
              </w:rPr>
              <w:t>Experience</w:t>
            </w:r>
          </w:p>
        </w:tc>
        <w:tc>
          <w:tcPr>
            <w:tcW w:w="2680" w:type="dxa"/>
            <w:vAlign w:val="bottom"/>
            <w:vMerge w:val="continue"/>
            <w:shd w:val="clear" w:color="auto" w:fill="F2F2F2"/>
          </w:tcPr>
          <w:p>
            <w:pPr>
              <w:spacing w:after="0"/>
              <w:rPr>
                <w:sz w:val="11"/>
                <w:szCs w:val="11"/>
                <w:color w:val="auto"/>
              </w:rPr>
            </w:pPr>
          </w:p>
        </w:tc>
        <w:tc>
          <w:tcPr>
            <w:tcW w:w="380" w:type="dxa"/>
            <w:vAlign w:val="bottom"/>
            <w:shd w:val="clear" w:color="auto" w:fill="F2F2F2"/>
          </w:tcPr>
          <w:p>
            <w:pPr>
              <w:spacing w:after="0"/>
              <w:rPr>
                <w:sz w:val="11"/>
                <w:szCs w:val="11"/>
                <w:color w:val="auto"/>
              </w:rPr>
            </w:pPr>
          </w:p>
        </w:tc>
        <w:tc>
          <w:tcPr>
            <w:tcW w:w="3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shd w:val="clear" w:color="auto" w:fill="F2F2F2"/>
          </w:tcPr>
          <w:p>
            <w:pPr>
              <w:spacing w:after="0"/>
              <w:rPr>
                <w:sz w:val="9"/>
                <w:szCs w:val="9"/>
                <w:color w:val="auto"/>
              </w:rPr>
            </w:pPr>
          </w:p>
        </w:tc>
        <w:tc>
          <w:tcPr>
            <w:tcW w:w="2680" w:type="dxa"/>
            <w:vAlign w:val="bottom"/>
            <w:vMerge w:val="restart"/>
            <w:shd w:val="clear" w:color="auto" w:fill="F2F2F2"/>
          </w:tcPr>
          <w:p>
            <w:pPr>
              <w:ind w:left="240"/>
              <w:spacing w:after="0"/>
              <w:rPr>
                <w:sz w:val="20"/>
                <w:szCs w:val="20"/>
                <w:color w:val="auto"/>
              </w:rPr>
            </w:pPr>
            <w:r>
              <w:rPr>
                <w:rFonts w:ascii="Arial" w:cs="Arial" w:eastAsia="Arial" w:hAnsi="Arial"/>
                <w:sz w:val="18"/>
                <w:szCs w:val="18"/>
                <w:color w:val="auto"/>
              </w:rPr>
              <w:t>Utility Industry Experience</w:t>
            </w:r>
          </w:p>
        </w:tc>
        <w:tc>
          <w:tcPr>
            <w:tcW w:w="380" w:type="dxa"/>
            <w:vAlign w:val="bottom"/>
            <w:shd w:val="clear" w:color="auto" w:fill="F2F2F2"/>
          </w:tcPr>
          <w:p>
            <w:pPr>
              <w:spacing w:after="0"/>
              <w:rPr>
                <w:sz w:val="9"/>
                <w:szCs w:val="9"/>
                <w:color w:val="auto"/>
              </w:rPr>
            </w:pPr>
          </w:p>
        </w:tc>
        <w:tc>
          <w:tcPr>
            <w:tcW w:w="31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vMerge w:val="restart"/>
            <w:shd w:val="clear" w:color="auto" w:fill="F2F2F2"/>
          </w:tcPr>
          <w:p>
            <w:pPr>
              <w:ind w:left="420"/>
              <w:spacing w:after="0"/>
              <w:rPr>
                <w:sz w:val="20"/>
                <w:szCs w:val="20"/>
                <w:color w:val="auto"/>
              </w:rPr>
            </w:pPr>
            <w:r>
              <w:rPr>
                <w:rFonts w:ascii="Arial" w:cs="Arial" w:eastAsia="Arial" w:hAnsi="Arial"/>
                <w:sz w:val="18"/>
                <w:szCs w:val="18"/>
                <w:color w:val="auto"/>
              </w:rPr>
              <w:t>Cybersecurity and Physical</w:t>
            </w:r>
          </w:p>
        </w:tc>
        <w:tc>
          <w:tcPr>
            <w:tcW w:w="2680" w:type="dxa"/>
            <w:vAlign w:val="bottom"/>
            <w:vMerge w:val="continue"/>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3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Energy Transition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60" w:type="dxa"/>
            <w:vAlign w:val="bottom"/>
            <w:vMerge w:val="continue"/>
            <w:shd w:val="clear" w:color="auto" w:fill="F2F2F2"/>
          </w:tcPr>
          <w:p>
            <w:pPr>
              <w:spacing w:after="0"/>
              <w:rPr>
                <w:sz w:val="8"/>
                <w:szCs w:val="8"/>
                <w:color w:val="auto"/>
              </w:rPr>
            </w:pPr>
          </w:p>
        </w:tc>
        <w:tc>
          <w:tcPr>
            <w:tcW w:w="2680" w:type="dxa"/>
            <w:vAlign w:val="bottom"/>
            <w:vMerge w:val="restart"/>
            <w:shd w:val="clear" w:color="auto" w:fill="F2F2F2"/>
          </w:tcPr>
          <w:p>
            <w:pPr>
              <w:ind w:left="240"/>
              <w:spacing w:after="0"/>
              <w:rPr>
                <w:sz w:val="20"/>
                <w:szCs w:val="20"/>
                <w:color w:val="auto"/>
              </w:rPr>
            </w:pPr>
            <w:r>
              <w:rPr>
                <w:rFonts w:ascii="Arial" w:cs="Arial" w:eastAsia="Arial" w:hAnsi="Arial"/>
                <w:sz w:val="18"/>
                <w:szCs w:val="18"/>
                <w:color w:val="auto"/>
              </w:rPr>
              <w:t>Finance and Accounting</w:t>
            </w:r>
          </w:p>
        </w:tc>
        <w:tc>
          <w:tcPr>
            <w:tcW w:w="380" w:type="dxa"/>
            <w:vAlign w:val="bottom"/>
            <w:shd w:val="clear" w:color="auto" w:fill="F2F2F2"/>
          </w:tcPr>
          <w:p>
            <w:pPr>
              <w:spacing w:after="0"/>
              <w:rPr>
                <w:sz w:val="8"/>
                <w:szCs w:val="8"/>
                <w:color w:val="auto"/>
              </w:rPr>
            </w:pPr>
          </w:p>
        </w:tc>
        <w:tc>
          <w:tcPr>
            <w:tcW w:w="312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060" w:type="dxa"/>
            <w:vAlign w:val="bottom"/>
            <w:shd w:val="clear" w:color="auto" w:fill="F2F2F2"/>
          </w:tcPr>
          <w:p>
            <w:pPr>
              <w:ind w:left="420"/>
              <w:spacing w:after="0"/>
              <w:rPr>
                <w:sz w:val="20"/>
                <w:szCs w:val="20"/>
                <w:color w:val="auto"/>
              </w:rPr>
            </w:pPr>
            <w:r>
              <w:rPr>
                <w:rFonts w:ascii="Arial" w:cs="Arial" w:eastAsia="Arial" w:hAnsi="Arial"/>
                <w:sz w:val="18"/>
                <w:szCs w:val="18"/>
                <w:color w:val="auto"/>
              </w:rPr>
              <w:t>Security</w:t>
            </w:r>
          </w:p>
        </w:tc>
        <w:tc>
          <w:tcPr>
            <w:tcW w:w="2680" w:type="dxa"/>
            <w:vAlign w:val="bottom"/>
            <w:vMerge w:val="continue"/>
            <w:shd w:val="clear" w:color="auto" w:fill="F2F2F2"/>
          </w:tcPr>
          <w:p>
            <w:pPr>
              <w:spacing w:after="0"/>
              <w:rPr>
                <w:sz w:val="20"/>
                <w:szCs w:val="20"/>
                <w:color w:val="auto"/>
              </w:rPr>
            </w:pPr>
          </w:p>
        </w:tc>
        <w:tc>
          <w:tcPr>
            <w:tcW w:w="380" w:type="dxa"/>
            <w:vAlign w:val="bottom"/>
            <w:shd w:val="clear" w:color="auto" w:fill="F2F2F2"/>
          </w:tcPr>
          <w:p>
            <w:pPr>
              <w:spacing w:after="0"/>
              <w:rPr>
                <w:sz w:val="20"/>
                <w:szCs w:val="20"/>
                <w:color w:val="auto"/>
              </w:rPr>
            </w:pPr>
          </w:p>
        </w:tc>
        <w:tc>
          <w:tcPr>
            <w:tcW w:w="3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Operations and Safety</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shd w:val="clear" w:color="auto" w:fill="F2F2F2"/>
          </w:tcPr>
          <w:p>
            <w:pPr>
              <w:spacing w:after="0"/>
              <w:rPr>
                <w:sz w:val="7"/>
                <w:szCs w:val="7"/>
                <w:color w:val="auto"/>
              </w:rPr>
            </w:pPr>
          </w:p>
        </w:tc>
        <w:tc>
          <w:tcPr>
            <w:tcW w:w="268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312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060" w:type="dxa"/>
            <w:vAlign w:val="bottom"/>
            <w:shd w:val="clear" w:color="auto" w:fill="F2F2F2"/>
          </w:tcPr>
          <w:p>
            <w:pPr>
              <w:spacing w:after="0"/>
              <w:rPr>
                <w:sz w:val="20"/>
                <w:szCs w:val="20"/>
                <w:color w:val="auto"/>
              </w:rPr>
            </w:pPr>
          </w:p>
        </w:tc>
        <w:tc>
          <w:tcPr>
            <w:tcW w:w="26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Risk Management</w:t>
            </w:r>
          </w:p>
        </w:tc>
        <w:tc>
          <w:tcPr>
            <w:tcW w:w="380" w:type="dxa"/>
            <w:vAlign w:val="bottom"/>
            <w:shd w:val="clear" w:color="auto" w:fill="F2F2F2"/>
          </w:tcPr>
          <w:p>
            <w:pPr>
              <w:spacing w:after="0"/>
              <w:rPr>
                <w:sz w:val="20"/>
                <w:szCs w:val="20"/>
                <w:color w:val="auto"/>
              </w:rPr>
            </w:pPr>
          </w:p>
        </w:tc>
        <w:tc>
          <w:tcPr>
            <w:tcW w:w="3120" w:type="dxa"/>
            <w:vAlign w:val="bottom"/>
            <w:shd w:val="clear" w:color="auto" w:fill="F2F2F2"/>
          </w:tcPr>
          <w:p>
            <w:pPr>
              <w:ind w:left="4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060" w:type="dxa"/>
            <w:vAlign w:val="bottom"/>
            <w:shd w:val="clear" w:color="auto" w:fill="F2F2F2"/>
          </w:tcPr>
          <w:p>
            <w:pPr>
              <w:spacing w:after="0"/>
              <w:rPr>
                <w:sz w:val="24"/>
                <w:szCs w:val="24"/>
                <w:color w:val="auto"/>
              </w:rPr>
            </w:pPr>
          </w:p>
        </w:tc>
        <w:tc>
          <w:tcPr>
            <w:tcW w:w="2680" w:type="dxa"/>
            <w:vAlign w:val="bottom"/>
            <w:shd w:val="clear" w:color="auto" w:fill="F2F2F2"/>
          </w:tcPr>
          <w:p>
            <w:pPr>
              <w:spacing w:after="0"/>
              <w:rPr>
                <w:sz w:val="24"/>
                <w:szCs w:val="24"/>
                <w:color w:val="auto"/>
              </w:rPr>
            </w:pPr>
          </w:p>
        </w:tc>
        <w:tc>
          <w:tcPr>
            <w:tcW w:w="380" w:type="dxa"/>
            <w:vAlign w:val="bottom"/>
            <w:shd w:val="clear" w:color="auto" w:fill="F2F2F2"/>
          </w:tcPr>
          <w:p>
            <w:pPr>
              <w:spacing w:after="0"/>
              <w:rPr>
                <w:sz w:val="24"/>
                <w:szCs w:val="24"/>
                <w:color w:val="auto"/>
              </w:rPr>
            </w:pPr>
          </w:p>
        </w:tc>
        <w:tc>
          <w:tcPr>
            <w:tcW w:w="31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additional information regarding our director nominees, including their skills and experience, see “Item 1. Election of Directors.”</w:t>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Governance Highlights</w:t>
      </w:r>
    </w:p>
    <w:p>
      <w:pPr>
        <w:spacing w:after="0" w:line="126" w:lineRule="exact"/>
        <w:rPr>
          <w:sz w:val="20"/>
          <w:szCs w:val="20"/>
          <w:color w:val="auto"/>
        </w:rPr>
      </w:pPr>
    </w:p>
    <w:p>
      <w:pPr>
        <w:ind w:left="740" w:right="480"/>
        <w:spacing w:after="0" w:line="286" w:lineRule="auto"/>
        <w:rPr>
          <w:sz w:val="20"/>
          <w:szCs w:val="20"/>
          <w:color w:val="auto"/>
        </w:rPr>
      </w:pPr>
      <w:r>
        <w:rPr>
          <w:rFonts w:ascii="Arial" w:cs="Arial" w:eastAsia="Arial" w:hAnsi="Arial"/>
          <w:sz w:val="16"/>
          <w:szCs w:val="16"/>
          <w:color w:val="auto"/>
        </w:rPr>
        <w:t>Strong governance practices protect the long-term interests of our customers, communities, and shareholders. The Company remains focused on implementing and maintaining good governance practices, including those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81915</wp:posOffset>
            </wp:positionV>
            <wp:extent cx="5803265" cy="2486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326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additional information regarding our corporate governance practices, see “Item 1. Election of Directors.”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spacing w:after="0"/>
        <w:tabs>
          <w:tab w:leader="none" w:pos="6760" w:val="left"/>
          <w:tab w:leader="none" w:pos="99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Executive Compensation Highlights</w:t>
      </w:r>
    </w:p>
    <w:p>
      <w:pPr>
        <w:spacing w:after="0" w:line="112" w:lineRule="exact"/>
        <w:rPr>
          <w:sz w:val="20"/>
          <w:szCs w:val="20"/>
          <w:color w:val="auto"/>
        </w:rPr>
      </w:pPr>
    </w:p>
    <w:p>
      <w:pPr>
        <w:ind w:left="740" w:right="160"/>
        <w:spacing w:after="0" w:line="275" w:lineRule="auto"/>
        <w:rPr>
          <w:sz w:val="20"/>
          <w:szCs w:val="20"/>
          <w:color w:val="auto"/>
        </w:rPr>
      </w:pPr>
      <w:r>
        <w:rPr>
          <w:rFonts w:ascii="Arial" w:cs="Arial" w:eastAsia="Arial" w:hAnsi="Arial"/>
          <w:sz w:val="16"/>
          <w:szCs w:val="16"/>
          <w:color w:val="auto"/>
        </w:rPr>
        <w:t>The following are some highlights of our executive compensation program. Our executive compensation program is designed to recruit and retain talent, align payment with performance, and align our executive officers’ interests with those of our shareholders. For more information on our compensation program, see “Compensation Discussion and Analysis” below.</w:t>
      </w:r>
    </w:p>
    <w:p>
      <w:pPr>
        <w:spacing w:after="0" w:line="259" w:lineRule="exact"/>
        <w:rPr>
          <w:sz w:val="20"/>
          <w:szCs w:val="20"/>
          <w:color w:val="auto"/>
        </w:rPr>
      </w:pPr>
    </w:p>
    <w:tbl>
      <w:tblPr>
        <w:tblLayout w:type="fixed"/>
        <w:tblInd w:w="740" w:type="dxa"/>
        <w:tblCellMar>
          <w:top w:w="0" w:type="dxa"/>
          <w:left w:w="0" w:type="dxa"/>
          <w:bottom w:w="0" w:type="dxa"/>
          <w:right w:w="0" w:type="dxa"/>
        </w:tblCellMar>
      </w:tblPr>
      <w:tr>
        <w:trPr>
          <w:trHeight w:val="433"/>
        </w:trPr>
        <w:tc>
          <w:tcPr>
            <w:tcW w:w="1940" w:type="dxa"/>
            <w:vAlign w:val="bottom"/>
            <w:vMerge w:val="restart"/>
            <w:shd w:val="clear" w:color="auto" w:fill="6EC4E8"/>
          </w:tcPr>
          <w:p>
            <w:pPr>
              <w:ind w:left="320"/>
              <w:spacing w:after="0"/>
              <w:rPr>
                <w:sz w:val="20"/>
                <w:szCs w:val="20"/>
                <w:color w:val="auto"/>
              </w:rPr>
            </w:pPr>
            <w:r>
              <w:rPr>
                <w:rFonts w:ascii="Arial" w:cs="Arial" w:eastAsia="Arial" w:hAnsi="Arial"/>
                <w:sz w:val="22"/>
                <w:szCs w:val="22"/>
                <w:color w:val="FFFFFF"/>
              </w:rPr>
              <w:t>Key Features of</w:t>
            </w: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0"/>
                <w:szCs w:val="20"/>
                <w:color w:val="auto"/>
              </w:rPr>
            </w:pPr>
            <w:r>
              <w:rPr>
                <w:rFonts w:ascii="Arial" w:cs="Arial" w:eastAsia="Arial" w:hAnsi="Arial"/>
                <w:sz w:val="22"/>
                <w:szCs w:val="22"/>
                <w:color w:val="FFFFFF"/>
              </w:rPr>
              <w:t>​</w:t>
            </w:r>
          </w:p>
        </w:tc>
        <w:tc>
          <w:tcPr>
            <w:tcW w:w="260" w:type="dxa"/>
            <w:vAlign w:val="bottom"/>
            <w:shd w:val="clear" w:color="auto" w:fill="F2F2F2"/>
          </w:tcPr>
          <w:p>
            <w:pPr>
              <w:spacing w:after="0"/>
              <w:rPr>
                <w:sz w:val="24"/>
                <w:szCs w:val="24"/>
                <w:color w:val="auto"/>
              </w:rPr>
            </w:pPr>
          </w:p>
        </w:tc>
        <w:tc>
          <w:tcPr>
            <w:tcW w:w="6280" w:type="dxa"/>
            <w:vAlign w:val="bottom"/>
            <w:gridSpan w:val="2"/>
            <w:shd w:val="clear" w:color="auto" w:fill="F2F2F2"/>
          </w:tcPr>
          <w:p>
            <w:pPr>
              <w:ind w:left="240"/>
              <w:spacing w:after="0"/>
              <w:rPr>
                <w:sz w:val="20"/>
                <w:szCs w:val="20"/>
                <w:color w:val="auto"/>
              </w:rPr>
            </w:pPr>
            <w:r>
              <w:rPr>
                <w:rFonts w:ascii="Arial" w:cs="Arial" w:eastAsia="Arial" w:hAnsi="Arial"/>
                <w:sz w:val="22"/>
                <w:szCs w:val="22"/>
                <w:color w:val="FFFFFF"/>
              </w:rPr>
              <w:t>​​</w:t>
            </w:r>
            <w:r>
              <w:rPr>
                <w:rFonts w:ascii="Arial" w:cs="Arial" w:eastAsia="Arial" w:hAnsi="Arial"/>
                <w:sz w:val="17"/>
                <w:szCs w:val="17"/>
                <w:color w:val="000000"/>
              </w:rPr>
              <w:t>Strong Pay for Performance</w:t>
            </w: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22"/>
                <w:szCs w:val="22"/>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shd w:val="clear" w:color="auto" w:fill="6EC4E8"/>
          </w:tcPr>
          <w:p>
            <w:pPr>
              <w:spacing w:after="0"/>
              <w:rPr>
                <w:sz w:val="7"/>
                <w:szCs w:val="7"/>
                <w:color w:val="auto"/>
              </w:rPr>
            </w:pPr>
          </w:p>
        </w:tc>
        <w:tc>
          <w:tcPr>
            <w:tcW w:w="220" w:type="dxa"/>
            <w:vAlign w:val="bottom"/>
            <w:shd w:val="clear" w:color="auto" w:fill="6EC4E8"/>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300" w:type="dxa"/>
            <w:vAlign w:val="bottom"/>
            <w:tcBorders>
              <w:right w:val="single" w:sz="8" w:color="F2F2F2"/>
            </w:tcBorders>
            <w:shd w:val="clear" w:color="auto" w:fill="F2F2F2"/>
          </w:tcPr>
          <w:p>
            <w:pPr>
              <w:spacing w:after="0"/>
              <w:rPr>
                <w:sz w:val="7"/>
                <w:szCs w:val="7"/>
                <w:color w:val="auto"/>
              </w:rPr>
            </w:pPr>
          </w:p>
        </w:tc>
        <w:tc>
          <w:tcPr>
            <w:tcW w:w="598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320" w:type="dxa"/>
            <w:vAlign w:val="bottom"/>
            <w:shd w:val="clear" w:color="auto" w:fill="F2F2F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6EC4E8"/>
          </w:tcPr>
          <w:p>
            <w:pPr>
              <w:ind w:left="320"/>
              <w:spacing w:after="0"/>
              <w:rPr>
                <w:sz w:val="20"/>
                <w:szCs w:val="20"/>
                <w:color w:val="auto"/>
              </w:rPr>
            </w:pPr>
            <w:r>
              <w:rPr>
                <w:rFonts w:ascii="Arial" w:cs="Arial" w:eastAsia="Arial" w:hAnsi="Arial"/>
                <w:sz w:val="22"/>
                <w:szCs w:val="22"/>
                <w:color w:val="FFFFFF"/>
              </w:rPr>
              <w:t>Our Executive</w:t>
            </w:r>
          </w:p>
        </w:tc>
        <w:tc>
          <w:tcPr>
            <w:tcW w:w="220" w:type="dxa"/>
            <w:vAlign w:val="bottom"/>
            <w:shd w:val="clear" w:color="auto" w:fill="6EC4E8"/>
          </w:tcPr>
          <w:p>
            <w:pPr>
              <w:spacing w:after="0"/>
              <w:rPr>
                <w:sz w:val="22"/>
                <w:szCs w:val="22"/>
                <w:color w:val="auto"/>
              </w:rPr>
            </w:pPr>
          </w:p>
        </w:tc>
        <w:tc>
          <w:tcPr>
            <w:tcW w:w="120" w:type="dxa"/>
            <w:vAlign w:val="bottom"/>
            <w:shd w:val="clear" w:color="auto" w:fill="F2F2F2"/>
          </w:tcPr>
          <w:p>
            <w:pPr>
              <w:spacing w:after="0"/>
              <w:rPr>
                <w:sz w:val="22"/>
                <w:szCs w:val="22"/>
                <w:color w:val="auto"/>
              </w:rPr>
            </w:pPr>
          </w:p>
        </w:tc>
        <w:tc>
          <w:tcPr>
            <w:tcW w:w="26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2"/>
                <w:szCs w:val="22"/>
                <w:color w:val="auto"/>
              </w:rPr>
            </w:pPr>
          </w:p>
        </w:tc>
        <w:tc>
          <w:tcPr>
            <w:tcW w:w="59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​​No Employment Agreements</w:t>
            </w:r>
          </w:p>
        </w:tc>
        <w:tc>
          <w:tcPr>
            <w:tcW w:w="12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1940" w:type="dxa"/>
            <w:vAlign w:val="bottom"/>
            <w:vMerge w:val="restart"/>
            <w:shd w:val="clear" w:color="auto" w:fill="6EC4E8"/>
          </w:tcPr>
          <w:p>
            <w:pPr>
              <w:ind w:left="320"/>
              <w:spacing w:after="0" w:line="243" w:lineRule="exact"/>
              <w:rPr>
                <w:sz w:val="20"/>
                <w:szCs w:val="20"/>
                <w:color w:val="auto"/>
              </w:rPr>
            </w:pPr>
            <w:r>
              <w:rPr>
                <w:rFonts w:ascii="Arial" w:cs="Arial" w:eastAsia="Arial" w:hAnsi="Arial"/>
                <w:sz w:val="22"/>
                <w:szCs w:val="22"/>
                <w:color w:val="FFFFFF"/>
              </w:rPr>
              <w:t>Compensation</w:t>
            </w:r>
          </w:p>
        </w:tc>
        <w:tc>
          <w:tcPr>
            <w:tcW w:w="220" w:type="dxa"/>
            <w:vAlign w:val="bottom"/>
            <w:shd w:val="clear" w:color="auto" w:fill="6EC4E8"/>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260" w:type="dxa"/>
            <w:vAlign w:val="bottom"/>
            <w:vMerge w:val="continue"/>
            <w:shd w:val="clear" w:color="auto" w:fill="F2F2F2"/>
          </w:tcPr>
          <w:p>
            <w:pPr>
              <w:spacing w:after="0"/>
              <w:rPr>
                <w:sz w:val="9"/>
                <w:szCs w:val="9"/>
                <w:color w:val="auto"/>
              </w:rPr>
            </w:pPr>
          </w:p>
        </w:tc>
        <w:tc>
          <w:tcPr>
            <w:tcW w:w="300" w:type="dxa"/>
            <w:vAlign w:val="bottom"/>
            <w:tcBorders>
              <w:right w:val="single" w:sz="8" w:color="F2F2F2"/>
            </w:tcBorders>
            <w:shd w:val="clear" w:color="auto" w:fill="F2F2F2"/>
          </w:tcPr>
          <w:p>
            <w:pPr>
              <w:spacing w:after="0"/>
              <w:rPr>
                <w:sz w:val="9"/>
                <w:szCs w:val="9"/>
                <w:color w:val="auto"/>
              </w:rPr>
            </w:pPr>
          </w:p>
        </w:tc>
        <w:tc>
          <w:tcPr>
            <w:tcW w:w="5980" w:type="dxa"/>
            <w:vAlign w:val="bottom"/>
            <w:vMerge w:val="continue"/>
            <w:shd w:val="clear" w:color="auto" w:fill="F2F2F2"/>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320" w:type="dxa"/>
            <w:vAlign w:val="bottom"/>
            <w:shd w:val="clear" w:color="auto" w:fill="F2F2F2"/>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940" w:type="dxa"/>
            <w:vAlign w:val="bottom"/>
            <w:vMerge w:val="continue"/>
            <w:shd w:val="clear" w:color="auto" w:fill="6EC4E8"/>
          </w:tcPr>
          <w:p>
            <w:pPr>
              <w:spacing w:after="0"/>
              <w:rPr>
                <w:sz w:val="11"/>
                <w:szCs w:val="11"/>
                <w:color w:val="auto"/>
              </w:rPr>
            </w:pPr>
          </w:p>
        </w:tc>
        <w:tc>
          <w:tcPr>
            <w:tcW w:w="220" w:type="dxa"/>
            <w:vAlign w:val="bottom"/>
            <w:shd w:val="clear" w:color="auto" w:fill="6EC4E8"/>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26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11"/>
                <w:szCs w:val="11"/>
                <w:color w:val="auto"/>
              </w:rPr>
            </w:pPr>
          </w:p>
        </w:tc>
        <w:tc>
          <w:tcPr>
            <w:tcW w:w="59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​​“Double Trigger” Provisions for Change in Control Plan and Equity Awards</w:t>
            </w: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940" w:type="dxa"/>
            <w:vAlign w:val="bottom"/>
            <w:shd w:val="clear" w:color="auto" w:fill="6EC4E8"/>
          </w:tcPr>
          <w:p>
            <w:pPr>
              <w:ind w:left="320"/>
              <w:spacing w:after="0"/>
              <w:rPr>
                <w:sz w:val="20"/>
                <w:szCs w:val="20"/>
                <w:color w:val="auto"/>
              </w:rPr>
            </w:pPr>
            <w:r>
              <w:rPr>
                <w:rFonts w:ascii="Arial" w:cs="Arial" w:eastAsia="Arial" w:hAnsi="Arial"/>
                <w:sz w:val="22"/>
                <w:szCs w:val="22"/>
                <w:color w:val="FFFFFF"/>
              </w:rPr>
              <w:t>Program</w:t>
            </w:r>
          </w:p>
        </w:tc>
        <w:tc>
          <w:tcPr>
            <w:tcW w:w="220" w:type="dxa"/>
            <w:vAlign w:val="bottom"/>
            <w:shd w:val="clear" w:color="auto" w:fill="6EC4E8"/>
          </w:tcPr>
          <w:p>
            <w:pPr>
              <w:spacing w:after="0"/>
              <w:rPr>
                <w:sz w:val="22"/>
                <w:szCs w:val="22"/>
                <w:color w:val="auto"/>
              </w:rPr>
            </w:pPr>
          </w:p>
        </w:tc>
        <w:tc>
          <w:tcPr>
            <w:tcW w:w="120" w:type="dxa"/>
            <w:vAlign w:val="bottom"/>
            <w:shd w:val="clear" w:color="auto" w:fill="F2F2F2"/>
          </w:tcPr>
          <w:p>
            <w:pPr>
              <w:spacing w:after="0"/>
              <w:rPr>
                <w:sz w:val="22"/>
                <w:szCs w:val="22"/>
                <w:color w:val="auto"/>
              </w:rPr>
            </w:pPr>
          </w:p>
        </w:tc>
        <w:tc>
          <w:tcPr>
            <w:tcW w:w="260" w:type="dxa"/>
            <w:vAlign w:val="bottom"/>
            <w:vMerge w:val="continue"/>
            <w:shd w:val="clear" w:color="auto" w:fill="F2F2F2"/>
          </w:tcPr>
          <w:p>
            <w:pPr>
              <w:spacing w:after="0"/>
              <w:rPr>
                <w:sz w:val="22"/>
                <w:szCs w:val="22"/>
                <w:color w:val="auto"/>
              </w:rPr>
            </w:pPr>
          </w:p>
        </w:tc>
        <w:tc>
          <w:tcPr>
            <w:tcW w:w="300" w:type="dxa"/>
            <w:vAlign w:val="bottom"/>
            <w:tcBorders>
              <w:right w:val="single" w:sz="8" w:color="F2F2F2"/>
            </w:tcBorders>
            <w:shd w:val="clear" w:color="auto" w:fill="F2F2F2"/>
          </w:tcPr>
          <w:p>
            <w:pPr>
              <w:spacing w:after="0"/>
              <w:rPr>
                <w:sz w:val="22"/>
                <w:szCs w:val="22"/>
                <w:color w:val="auto"/>
              </w:rPr>
            </w:pPr>
          </w:p>
        </w:tc>
        <w:tc>
          <w:tcPr>
            <w:tcW w:w="5980" w:type="dxa"/>
            <w:vAlign w:val="bottom"/>
            <w:vMerge w:val="continue"/>
            <w:shd w:val="clear" w:color="auto" w:fill="F2F2F2"/>
          </w:tcPr>
          <w:p>
            <w:pPr>
              <w:spacing w:after="0"/>
              <w:rPr>
                <w:sz w:val="22"/>
                <w:szCs w:val="22"/>
                <w:color w:val="auto"/>
              </w:rPr>
            </w:pPr>
          </w:p>
        </w:tc>
        <w:tc>
          <w:tcPr>
            <w:tcW w:w="120" w:type="dxa"/>
            <w:vAlign w:val="bottom"/>
            <w:shd w:val="clear" w:color="auto" w:fill="F2F2F2"/>
          </w:tcPr>
          <w:p>
            <w:pPr>
              <w:spacing w:after="0"/>
              <w:rPr>
                <w:sz w:val="22"/>
                <w:szCs w:val="22"/>
                <w:color w:val="auto"/>
              </w:rPr>
            </w:pPr>
          </w:p>
        </w:tc>
        <w:tc>
          <w:tcPr>
            <w:tcW w:w="320" w:type="dxa"/>
            <w:vAlign w:val="bottom"/>
            <w:shd w:val="clear" w:color="auto" w:fill="F2F2F2"/>
          </w:tcPr>
          <w:p>
            <w:pPr>
              <w:spacing w:after="0"/>
              <w:rPr>
                <w:sz w:val="22"/>
                <w:szCs w:val="22"/>
                <w:color w:val="auto"/>
              </w:rPr>
            </w:pP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940" w:type="dxa"/>
            <w:vAlign w:val="bottom"/>
            <w:tcBorders>
              <w:bottom w:val="single" w:sz="8" w:color="6EC4E8"/>
            </w:tcBorders>
            <w:shd w:val="clear" w:color="auto" w:fill="6EC4E8"/>
          </w:tcPr>
          <w:p>
            <w:pPr>
              <w:spacing w:after="0"/>
              <w:rPr>
                <w:sz w:val="24"/>
                <w:szCs w:val="24"/>
                <w:color w:val="auto"/>
              </w:rPr>
            </w:pPr>
          </w:p>
        </w:tc>
        <w:tc>
          <w:tcPr>
            <w:tcW w:w="220" w:type="dxa"/>
            <w:vAlign w:val="bottom"/>
            <w:tcBorders>
              <w:bottom w:val="single" w:sz="8" w:color="6EC4E8"/>
            </w:tcBorders>
            <w:shd w:val="clear" w:color="auto" w:fill="6EC4E8"/>
          </w:tcPr>
          <w:p>
            <w:pPr>
              <w:spacing w:after="0"/>
              <w:rPr>
                <w:sz w:val="24"/>
                <w:szCs w:val="24"/>
                <w:color w:val="auto"/>
              </w:rPr>
            </w:pPr>
          </w:p>
        </w:tc>
        <w:tc>
          <w:tcPr>
            <w:tcW w:w="12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2F2F2"/>
              <w:right w:val="single" w:sz="8" w:color="F2F2F2"/>
            </w:tcBorders>
            <w:shd w:val="clear" w:color="auto" w:fill="F2F2F2"/>
          </w:tcPr>
          <w:p>
            <w:pPr>
              <w:spacing w:after="0"/>
              <w:rPr>
                <w:sz w:val="24"/>
                <w:szCs w:val="24"/>
                <w:color w:val="auto"/>
              </w:rPr>
            </w:pPr>
          </w:p>
        </w:tc>
        <w:tc>
          <w:tcPr>
            <w:tcW w:w="59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​​Executive Severance Guidelines</w:t>
            </w:r>
          </w:p>
        </w:tc>
        <w:tc>
          <w:tcPr>
            <w:tcW w:w="120" w:type="dxa"/>
            <w:vAlign w:val="bottom"/>
            <w:tcBorders>
              <w:bottom w:val="single" w:sz="8" w:color="F2F2F2"/>
            </w:tcBorders>
            <w:shd w:val="clear" w:color="auto" w:fill="F2F2F2"/>
          </w:tcPr>
          <w:p>
            <w:pPr>
              <w:spacing w:after="0"/>
              <w:rPr>
                <w:sz w:val="24"/>
                <w:szCs w:val="24"/>
                <w:color w:val="auto"/>
              </w:rPr>
            </w:pPr>
          </w:p>
        </w:tc>
        <w:tc>
          <w:tcPr>
            <w:tcW w:w="320" w:type="dxa"/>
            <w:vAlign w:val="bottom"/>
            <w:tcBorders>
              <w:bottom w:val="single" w:sz="8" w:color="F2F2F2"/>
            </w:tcBorders>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 Excise Tax Gross Up Payments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1940" w:type="dxa"/>
            <w:vAlign w:val="bottom"/>
            <w:vMerge w:val="restart"/>
            <w:shd w:val="clear" w:color="auto" w:fill="6EC4E8"/>
          </w:tcPr>
          <w:p>
            <w:pPr>
              <w:spacing w:after="0"/>
              <w:rPr>
                <w:sz w:val="20"/>
                <w:szCs w:val="20"/>
                <w:color w:val="auto"/>
              </w:rPr>
            </w:pPr>
            <w:r>
              <w:rPr>
                <w:rFonts w:ascii="Arial" w:cs="Arial" w:eastAsia="Arial" w:hAnsi="Arial"/>
                <w:sz w:val="22"/>
                <w:szCs w:val="22"/>
                <w:color w:val="FFFFFF"/>
              </w:rPr>
              <w:t>​</w:t>
            </w:r>
          </w:p>
        </w:tc>
        <w:tc>
          <w:tcPr>
            <w:tcW w:w="220" w:type="dxa"/>
            <w:vAlign w:val="bottom"/>
            <w:vMerge w:val="restart"/>
            <w:shd w:val="clear" w:color="auto" w:fill="6EC4E8"/>
          </w:tcPr>
          <w:p>
            <w:pPr>
              <w:ind w:left="120"/>
              <w:spacing w:after="0"/>
              <w:rPr>
                <w:sz w:val="20"/>
                <w:szCs w:val="20"/>
                <w:color w:val="auto"/>
              </w:rPr>
            </w:pPr>
            <w:r>
              <w:rPr>
                <w:rFonts w:ascii="Arial" w:cs="Arial" w:eastAsia="Arial" w:hAnsi="Arial"/>
                <w:sz w:val="22"/>
                <w:szCs w:val="22"/>
                <w:color w:val="FFFFFF"/>
              </w:rPr>
              <w:t>​</w:t>
            </w:r>
          </w:p>
        </w:tc>
        <w:tc>
          <w:tcPr>
            <w:tcW w:w="120" w:type="dxa"/>
            <w:vAlign w:val="bottom"/>
            <w:shd w:val="clear" w:color="auto" w:fill="F2F2F2"/>
          </w:tcPr>
          <w:p>
            <w:pPr>
              <w:spacing w:after="0"/>
              <w:rPr>
                <w:sz w:val="4"/>
                <w:szCs w:val="4"/>
                <w:color w:val="auto"/>
              </w:rPr>
            </w:pPr>
          </w:p>
        </w:tc>
        <w:tc>
          <w:tcPr>
            <w:tcW w:w="26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4"/>
                <w:szCs w:val="4"/>
                <w:color w:val="auto"/>
              </w:rPr>
            </w:pPr>
          </w:p>
        </w:tc>
        <w:tc>
          <w:tcPr>
            <w:tcW w:w="5980" w:type="dxa"/>
            <w:vAlign w:val="bottom"/>
            <w:vMerge w:val="restart"/>
          </w:tcPr>
          <w:p>
            <w:pPr>
              <w:spacing w:after="0"/>
              <w:rPr>
                <w:sz w:val="20"/>
                <w:szCs w:val="20"/>
                <w:color w:val="auto"/>
              </w:rPr>
            </w:pPr>
            <w:r>
              <w:rPr>
                <w:rFonts w:ascii="Arial" w:cs="Arial" w:eastAsia="Arial" w:hAnsi="Arial"/>
                <w:sz w:val="18"/>
                <w:szCs w:val="18"/>
                <w:color w:val="auto"/>
              </w:rPr>
              <w:t>​​Stock Ownership Guidelines</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1940" w:type="dxa"/>
            <w:vAlign w:val="bottom"/>
            <w:vMerge w:val="continue"/>
            <w:shd w:val="clear" w:color="auto" w:fill="6EC4E8"/>
          </w:tcPr>
          <w:p>
            <w:pPr>
              <w:spacing w:after="0"/>
              <w:rPr>
                <w:sz w:val="24"/>
                <w:szCs w:val="24"/>
                <w:color w:val="auto"/>
              </w:rPr>
            </w:pPr>
          </w:p>
        </w:tc>
        <w:tc>
          <w:tcPr>
            <w:tcW w:w="220" w:type="dxa"/>
            <w:vAlign w:val="bottom"/>
            <w:vMerge w:val="continue"/>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vMerge w:val="continue"/>
            <w:shd w:val="clear" w:color="auto" w:fill="F2F2F2"/>
          </w:tcPr>
          <w:p>
            <w:pPr>
              <w:spacing w:after="0"/>
              <w:rPr>
                <w:sz w:val="24"/>
                <w:szCs w:val="24"/>
                <w:color w:val="auto"/>
              </w:rPr>
            </w:pP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​​Benchmark Pay to Market</w:t>
            </w: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​​Recovery and Recoupment (Clawback) Policies</w:t>
            </w: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​​Anti-Hedging and Anti-Pledging Policy</w:t>
            </w: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​​100% Independent Human Capital and Compensation Committee</w:t>
            </w: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940" w:type="dxa"/>
            <w:vAlign w:val="bottom"/>
            <w:shd w:val="clear" w:color="auto" w:fill="6EC4E8"/>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60" w:type="dxa"/>
            <w:vAlign w:val="bottom"/>
            <w:shd w:val="clear" w:color="auto" w:fill="F2F2F2"/>
          </w:tcPr>
          <w:p>
            <w:pPr>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F2F2F2"/>
            </w:tcBorders>
            <w:shd w:val="clear" w:color="auto" w:fill="F2F2F2"/>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​​Independent Compensation Consultant</w:t>
            </w:r>
          </w:p>
        </w:tc>
        <w:tc>
          <w:tcPr>
            <w:tcW w:w="120" w:type="dxa"/>
            <w:vAlign w:val="bottom"/>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shd w:val="clear" w:color="auto" w:fill="6EC4E8"/>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300" w:type="dxa"/>
            <w:vAlign w:val="bottom"/>
            <w:tcBorders>
              <w:right w:val="single" w:sz="8" w:color="F2F2F2"/>
            </w:tcBorders>
            <w:shd w:val="clear" w:color="auto" w:fill="F2F2F2"/>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-2579370</wp:posOffset>
            </wp:positionV>
            <wp:extent cx="4243070" cy="258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43070" cy="258000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Target Compensation Opportunities for Named Executive Officers</w:t>
      </w:r>
    </w:p>
    <w:p>
      <w:pPr>
        <w:spacing w:after="0" w:line="122" w:lineRule="exact"/>
        <w:rPr>
          <w:sz w:val="20"/>
          <w:szCs w:val="20"/>
          <w:color w:val="auto"/>
        </w:rPr>
      </w:pPr>
    </w:p>
    <w:p>
      <w:pPr>
        <w:ind w:left="740" w:right="20"/>
        <w:spacing w:after="0" w:line="265" w:lineRule="auto"/>
        <w:rPr>
          <w:sz w:val="20"/>
          <w:szCs w:val="20"/>
          <w:color w:val="auto"/>
        </w:rPr>
      </w:pPr>
      <w:r>
        <w:rPr>
          <w:rFonts w:ascii="Arial" w:cs="Arial" w:eastAsia="Arial" w:hAnsi="Arial"/>
          <w:sz w:val="16"/>
          <w:szCs w:val="16"/>
          <w:color w:val="auto"/>
        </w:rPr>
        <w:t>The following graphics reflect the components of the target total direct compensation opportunities provided to our named executive officers. As depicted below, a substantial portion of the compensation for our named executive officers is at risk and performance-based, meaning that actual compensation realized in a given year will vary depending on Company financial and stock price performance and individual performance.</w:t>
      </w:r>
    </w:p>
    <w:p>
      <w:pPr>
        <w:spacing w:after="0" w:line="39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003763"/>
        </w:rPr>
        <w:t>Target Compensation Mix as of December 31, 2024</w:t>
      </w:r>
    </w:p>
    <w:p>
      <w:pPr>
        <w:spacing w:after="0" w:line="59"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126365</wp:posOffset>
            </wp:positionV>
            <wp:extent cx="5443220" cy="1962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322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40" w:right="220" w:hanging="109"/>
        <w:spacing w:after="0" w:line="330" w:lineRule="auto"/>
        <w:tabs>
          <w:tab w:leader="none" w:pos="8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graphic represents the average size of each component as a percentage of each named executive officer’s total target direct compensation opportunities (other than the Chief Executive Officer’s and Ms. Wilson’s) as of December 31, 2024, approved by the Human Capital and Compensation Committee in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40"/>
        <w:spacing w:after="0"/>
        <w:tabs>
          <w:tab w:leader="none" w:pos="6760" w:val="left"/>
          <w:tab w:leader="none" w:pos="99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1905000</wp:posOffset>
            </wp:positionV>
            <wp:extent cx="6806565"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571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6806565" cy="2100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03763"/>
        </w:rPr>
        <w:t>ITEM 1:</w:t>
      </w:r>
    </w:p>
    <w:p>
      <w:pPr>
        <w:spacing w:after="0" w:line="98"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680656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Nominees for Directors</w:t>
      </w:r>
    </w:p>
    <w:p>
      <w:pPr>
        <w:spacing w:after="0" w:line="126" w:lineRule="exact"/>
        <w:rPr>
          <w:sz w:val="20"/>
          <w:szCs w:val="20"/>
          <w:color w:val="auto"/>
        </w:rPr>
      </w:pPr>
    </w:p>
    <w:p>
      <w:pPr>
        <w:ind w:left="740" w:right="400"/>
        <w:spacing w:after="0" w:line="286" w:lineRule="auto"/>
        <w:rPr>
          <w:sz w:val="20"/>
          <w:szCs w:val="20"/>
          <w:color w:val="auto"/>
        </w:rPr>
      </w:pPr>
      <w:r>
        <w:rPr>
          <w:rFonts w:ascii="Arial" w:cs="Arial" w:eastAsia="Arial" w:hAnsi="Arial"/>
          <w:sz w:val="16"/>
          <w:szCs w:val="16"/>
          <w:color w:val="auto"/>
        </w:rPr>
        <w:t>Each of our directors will be elected at this year’s meeting to a one-year term expiring at the annual meeting of shareholders in 2026.</w:t>
      </w:r>
    </w:p>
    <w:p>
      <w:pPr>
        <w:spacing w:after="0" w:line="102" w:lineRule="exact"/>
        <w:rPr>
          <w:sz w:val="20"/>
          <w:szCs w:val="20"/>
          <w:color w:val="auto"/>
        </w:rPr>
      </w:pPr>
    </w:p>
    <w:p>
      <w:pPr>
        <w:ind w:left="740" w:right="60"/>
        <w:spacing w:after="0" w:line="275" w:lineRule="auto"/>
        <w:rPr>
          <w:sz w:val="20"/>
          <w:szCs w:val="20"/>
          <w:color w:val="auto"/>
        </w:rPr>
      </w:pPr>
      <w:r>
        <w:rPr>
          <w:rFonts w:ascii="Arial" w:cs="Arial" w:eastAsia="Arial" w:hAnsi="Arial"/>
          <w:sz w:val="16"/>
          <w:szCs w:val="16"/>
          <w:color w:val="auto"/>
        </w:rPr>
        <w:t>If any nominee becomes unavailable for election, the Board can name a substitute nominee, and proxies will be voted for the substitute nominee pursuant to discretionary authority. Proxies cannot be voted for a greater number of persons than the number of nominees named below.</w:t>
      </w:r>
    </w:p>
    <w:p>
      <w:pPr>
        <w:spacing w:after="0" w:line="97" w:lineRule="exact"/>
        <w:rPr>
          <w:sz w:val="20"/>
          <w:szCs w:val="20"/>
          <w:color w:val="auto"/>
        </w:rPr>
      </w:pPr>
    </w:p>
    <w:p>
      <w:pPr>
        <w:ind w:left="740" w:right="340"/>
        <w:spacing w:after="0" w:line="304" w:lineRule="auto"/>
        <w:rPr>
          <w:sz w:val="20"/>
          <w:szCs w:val="20"/>
          <w:color w:val="auto"/>
        </w:rPr>
      </w:pPr>
      <w:r>
        <w:rPr>
          <w:rFonts w:ascii="Arial" w:cs="Arial" w:eastAsia="Arial" w:hAnsi="Arial"/>
          <w:sz w:val="16"/>
          <w:szCs w:val="16"/>
          <w:color w:val="auto"/>
        </w:rPr>
        <w:t>Unless otherwise indicated or the context otherwise requires, when we refer to periods prior to September 1, 2002, CenterPoint Energy should be understood to mean or include the public companies that were its predecessors.</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Board Composition Highlights</w:t>
      </w:r>
    </w:p>
    <w:p>
      <w:pPr>
        <w:spacing w:after="0" w:line="122" w:lineRule="exact"/>
        <w:rPr>
          <w:sz w:val="20"/>
          <w:szCs w:val="20"/>
          <w:color w:val="auto"/>
        </w:rPr>
      </w:pPr>
    </w:p>
    <w:p>
      <w:pPr>
        <w:ind w:left="740" w:right="20"/>
        <w:spacing w:after="0" w:line="295" w:lineRule="auto"/>
        <w:rPr>
          <w:sz w:val="20"/>
          <w:szCs w:val="20"/>
          <w:color w:val="auto"/>
        </w:rPr>
      </w:pPr>
      <w:r>
        <w:rPr>
          <w:rFonts w:ascii="Arial" w:cs="Arial" w:eastAsia="Arial" w:hAnsi="Arial"/>
          <w:sz w:val="15"/>
          <w:szCs w:val="15"/>
          <w:color w:val="auto"/>
        </w:rPr>
        <w:t>Our Board believes that having directors with a range of complementary qualifications, skills, and expertise is essential to effectively discharging its oversight responsibility while advancing the Company’s long-term business strategy. Accordingly, the Board is focused on striking an appropriate balance between retaining directors with a deep knowledge of the Company and adding new directors with a fresh perspective, among other factors that are set forth below with respect to the nominees for election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79375</wp:posOffset>
            </wp:positionV>
            <wp:extent cx="3248660" cy="2614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8660" cy="261429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8065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80"/>
        <w:spacing w:after="0" w:line="304" w:lineRule="auto"/>
        <w:rPr>
          <w:sz w:val="20"/>
          <w:szCs w:val="20"/>
          <w:color w:val="auto"/>
        </w:rPr>
      </w:pPr>
      <w:r>
        <w:rPr>
          <w:rFonts w:ascii="Arial" w:cs="Arial" w:eastAsia="Arial" w:hAnsi="Arial"/>
          <w:sz w:val="16"/>
          <w:szCs w:val="16"/>
          <w:color w:val="auto"/>
        </w:rPr>
        <w:t>The below chart summarizes certain information for each of our director nominees, including their key skills and qualifications that support oversight and execution of our near- and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90170</wp:posOffset>
            </wp:positionV>
            <wp:extent cx="5880735" cy="685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735" cy="68580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Skills and Qualifications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4"/>
        </w:trPr>
        <w:tc>
          <w:tcPr>
            <w:tcW w:w="440" w:type="dxa"/>
            <w:vAlign w:val="bottom"/>
            <w:textDirection w:val="btLr"/>
          </w:tcPr>
          <w:p>
            <w:pPr>
              <w:ind w:left="280"/>
              <w:spacing w:after="0"/>
              <w:rPr>
                <w:sz w:val="20"/>
                <w:szCs w:val="20"/>
                <w:color w:val="auto"/>
              </w:rPr>
            </w:pPr>
            <w:r>
              <w:rPr>
                <w:rFonts w:ascii="Arial" w:cs="Arial" w:eastAsia="Arial" w:hAnsi="Arial"/>
                <w:sz w:val="13"/>
                <w:szCs w:val="13"/>
                <w:b w:val="1"/>
                <w:bCs w:val="1"/>
                <w:color w:val="FFFFFF"/>
                <w:w w:val="95"/>
              </w:rPr>
              <w:t>W. Cloonan</w:t>
            </w:r>
          </w:p>
        </w:tc>
        <w:tc>
          <w:tcPr>
            <w:tcW w:w="180" w:type="dxa"/>
            <w:vAlign w:val="bottom"/>
            <w:vMerge w:val="restart"/>
          </w:tcPr>
          <w:p>
            <w:pPr>
              <w:ind w:left="40"/>
              <w:spacing w:after="0"/>
              <w:rPr>
                <w:sz w:val="20"/>
                <w:szCs w:val="20"/>
                <w:color w:val="auto"/>
              </w:rPr>
            </w:pPr>
            <w:r>
              <w:rPr>
                <w:rFonts w:ascii="Arial" w:cs="Arial" w:eastAsia="Arial" w:hAnsi="Arial"/>
                <w:sz w:val="13"/>
                <w:szCs w:val="13"/>
                <w:b w:val="1"/>
                <w:bCs w:val="1"/>
                <w:color w:val="FFFFFF"/>
              </w:rPr>
              <w:t>​ ​</w:t>
            </w:r>
          </w:p>
        </w:tc>
        <w:tc>
          <w:tcPr>
            <w:tcW w:w="400" w:type="dxa"/>
            <w:vAlign w:val="bottom"/>
            <w:textDirection w:val="btLr"/>
          </w:tcPr>
          <w:p>
            <w:pPr>
              <w:ind w:left="52"/>
              <w:spacing w:after="0"/>
              <w:rPr>
                <w:sz w:val="20"/>
                <w:szCs w:val="20"/>
                <w:color w:val="auto"/>
              </w:rPr>
            </w:pPr>
            <w:r>
              <w:rPr>
                <w:rFonts w:ascii="Arial" w:cs="Arial" w:eastAsia="Arial" w:hAnsi="Arial"/>
                <w:sz w:val="13"/>
                <w:szCs w:val="13"/>
                <w:b w:val="1"/>
                <w:bCs w:val="1"/>
                <w:color w:val="FFFFFF"/>
                <w:w w:val="95"/>
              </w:rPr>
              <w:t>B. Duganier</w:t>
            </w:r>
          </w:p>
        </w:tc>
        <w:tc>
          <w:tcPr>
            <w:tcW w:w="380" w:type="dxa"/>
            <w:vAlign w:val="bottom"/>
            <w:textDirection w:val="btLr"/>
          </w:tcPr>
          <w:p>
            <w:pPr>
              <w:ind w:left="43"/>
              <w:spacing w:after="0"/>
              <w:rPr>
                <w:sz w:val="20"/>
                <w:szCs w:val="20"/>
                <w:color w:val="auto"/>
              </w:rPr>
            </w:pPr>
            <w:r>
              <w:rPr>
                <w:rFonts w:ascii="Arial" w:cs="Arial" w:eastAsia="Arial" w:hAnsi="Arial"/>
                <w:sz w:val="13"/>
                <w:szCs w:val="13"/>
                <w:b w:val="1"/>
                <w:bCs w:val="1"/>
                <w:color w:val="FFFFFF"/>
                <w:w w:val="95"/>
              </w:rPr>
              <w:t>L. Fitch</w:t>
            </w:r>
          </w:p>
        </w:tc>
        <w:tc>
          <w:tcPr>
            <w:tcW w:w="400" w:type="dxa"/>
            <w:vAlign w:val="bottom"/>
            <w:textDirection w:val="btLr"/>
          </w:tcPr>
          <w:p>
            <w:pPr>
              <w:ind w:left="55"/>
              <w:spacing w:after="0"/>
              <w:rPr>
                <w:sz w:val="20"/>
                <w:szCs w:val="20"/>
                <w:color w:val="auto"/>
              </w:rPr>
            </w:pPr>
            <w:r>
              <w:rPr>
                <w:rFonts w:ascii="Arial" w:cs="Arial" w:eastAsia="Arial" w:hAnsi="Arial"/>
                <w:sz w:val="13"/>
                <w:szCs w:val="13"/>
                <w:b w:val="1"/>
                <w:bCs w:val="1"/>
                <w:color w:val="FFFFFF"/>
                <w:w w:val="98"/>
              </w:rPr>
              <w:t>C. Franklin</w:t>
            </w:r>
          </w:p>
        </w:tc>
        <w:tc>
          <w:tcPr>
            <w:tcW w:w="380" w:type="dxa"/>
            <w:vAlign w:val="bottom"/>
            <w:textDirection w:val="btLr"/>
          </w:tcPr>
          <w:p>
            <w:pPr>
              <w:ind w:left="46"/>
              <w:spacing w:after="0"/>
              <w:rPr>
                <w:sz w:val="20"/>
                <w:szCs w:val="20"/>
                <w:color w:val="auto"/>
              </w:rPr>
            </w:pPr>
            <w:r>
              <w:rPr>
                <w:rFonts w:ascii="Arial" w:cs="Arial" w:eastAsia="Arial" w:hAnsi="Arial"/>
                <w:sz w:val="13"/>
                <w:szCs w:val="13"/>
                <w:b w:val="1"/>
                <w:bCs w:val="1"/>
                <w:color w:val="FFFFFF"/>
                <w:w w:val="98"/>
              </w:rPr>
              <w:t>R. Lewis</w:t>
            </w:r>
          </w:p>
        </w:tc>
        <w:tc>
          <w:tcPr>
            <w:tcW w:w="400" w:type="dxa"/>
            <w:vAlign w:val="bottom"/>
            <w:textDirection w:val="btLr"/>
          </w:tcPr>
          <w:p>
            <w:pPr>
              <w:ind w:left="58"/>
              <w:spacing w:after="0"/>
              <w:rPr>
                <w:sz w:val="20"/>
                <w:szCs w:val="20"/>
                <w:color w:val="auto"/>
              </w:rPr>
            </w:pPr>
            <w:r>
              <w:rPr>
                <w:rFonts w:ascii="Arial" w:cs="Arial" w:eastAsia="Arial" w:hAnsi="Arial"/>
                <w:sz w:val="13"/>
                <w:szCs w:val="13"/>
                <w:b w:val="1"/>
                <w:bCs w:val="1"/>
                <w:color w:val="FFFFFF"/>
                <w:w w:val="92"/>
              </w:rPr>
              <w:t>T. Malik</w:t>
            </w:r>
          </w:p>
        </w:tc>
        <w:tc>
          <w:tcPr>
            <w:tcW w:w="380" w:type="dxa"/>
            <w:vAlign w:val="bottom"/>
            <w:textDirection w:val="btLr"/>
          </w:tcPr>
          <w:p>
            <w:pPr>
              <w:ind w:left="49"/>
              <w:spacing w:after="0"/>
              <w:rPr>
                <w:sz w:val="20"/>
                <w:szCs w:val="20"/>
                <w:color w:val="auto"/>
              </w:rPr>
            </w:pPr>
            <w:r>
              <w:rPr>
                <w:rFonts w:ascii="Arial" w:cs="Arial" w:eastAsia="Arial" w:hAnsi="Arial"/>
                <w:sz w:val="13"/>
                <w:szCs w:val="13"/>
                <w:b w:val="1"/>
                <w:bCs w:val="1"/>
                <w:color w:val="FFFFFF"/>
                <w:w w:val="97"/>
              </w:rPr>
              <w:t>M. Miranda</w:t>
            </w:r>
          </w:p>
        </w:tc>
        <w:tc>
          <w:tcPr>
            <w:tcW w:w="220" w:type="dxa"/>
            <w:vAlign w:val="bottom"/>
            <w:textDirection w:val="btLr"/>
          </w:tcPr>
          <w:p>
            <w:pPr>
              <w:ind w:left="61"/>
              <w:spacing w:after="0"/>
              <w:rPr>
                <w:sz w:val="20"/>
                <w:szCs w:val="20"/>
                <w:color w:val="auto"/>
              </w:rPr>
            </w:pPr>
            <w:r>
              <w:rPr>
                <w:rFonts w:ascii="Arial" w:cs="Arial" w:eastAsia="Arial" w:hAnsi="Arial"/>
                <w:sz w:val="13"/>
                <w:szCs w:val="13"/>
                <w:b w:val="1"/>
                <w:bCs w:val="1"/>
                <w:color w:val="FFFFFF"/>
                <w:w w:val="93"/>
              </w:rPr>
              <w:t>T. Pound</w:t>
            </w:r>
          </w:p>
        </w:tc>
        <w:tc>
          <w:tcPr>
            <w:tcW w:w="380" w:type="dxa"/>
            <w:vAlign w:val="bottom"/>
            <w:textDirection w:val="btLr"/>
          </w:tcPr>
          <w:p>
            <w:pPr>
              <w:ind w:left="231"/>
              <w:spacing w:after="0"/>
              <w:rPr>
                <w:sz w:val="20"/>
                <w:szCs w:val="20"/>
                <w:color w:val="auto"/>
              </w:rPr>
            </w:pPr>
            <w:r>
              <w:rPr>
                <w:rFonts w:ascii="Arial" w:cs="Arial" w:eastAsia="Arial" w:hAnsi="Arial"/>
                <w:sz w:val="13"/>
                <w:szCs w:val="13"/>
                <w:b w:val="1"/>
                <w:bCs w:val="1"/>
                <w:color w:val="FFFFFF"/>
                <w:w w:val="96"/>
              </w:rPr>
              <w:t>D. Seavers</w:t>
            </w:r>
          </w:p>
        </w:tc>
        <w:tc>
          <w:tcPr>
            <w:tcW w:w="20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 ​</w:t>
            </w:r>
          </w:p>
        </w:tc>
        <w:tc>
          <w:tcPr>
            <w:tcW w:w="380" w:type="dxa"/>
            <w:vAlign w:val="bottom"/>
            <w:textDirection w:val="btLr"/>
          </w:tcPr>
          <w:p>
            <w:pPr>
              <w:ind w:left="44"/>
              <w:spacing w:after="0"/>
              <w:rPr>
                <w:sz w:val="20"/>
                <w:szCs w:val="20"/>
                <w:color w:val="auto"/>
              </w:rPr>
            </w:pPr>
            <w:r>
              <w:rPr>
                <w:rFonts w:ascii="Arial" w:cs="Arial" w:eastAsia="Arial" w:hAnsi="Arial"/>
                <w:sz w:val="13"/>
                <w:szCs w:val="13"/>
                <w:b w:val="1"/>
                <w:bCs w:val="1"/>
                <w:color w:val="FFFFFF"/>
                <w:w w:val="92"/>
              </w:rPr>
              <w:t>P. Smith</w:t>
            </w:r>
          </w:p>
        </w:tc>
        <w:tc>
          <w:tcPr>
            <w:tcW w:w="300" w:type="dxa"/>
            <w:vAlign w:val="bottom"/>
            <w:textDirection w:val="btLr"/>
          </w:tcPr>
          <w:p>
            <w:pPr>
              <w:ind w:left="55"/>
              <w:spacing w:after="0"/>
              <w:rPr>
                <w:sz w:val="20"/>
                <w:szCs w:val="20"/>
                <w:color w:val="auto"/>
              </w:rPr>
            </w:pPr>
            <w:r>
              <w:rPr>
                <w:rFonts w:ascii="Arial" w:cs="Arial" w:eastAsia="Arial" w:hAnsi="Arial"/>
                <w:sz w:val="13"/>
                <w:szCs w:val="13"/>
                <w:b w:val="1"/>
                <w:bCs w:val="1"/>
                <w:color w:val="FFFFFF"/>
                <w:w w:val="94"/>
              </w:rPr>
              <w:t>J. Wells</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20"/>
                <w:szCs w:val="20"/>
                <w:color w:val="auto"/>
              </w:rPr>
            </w:pPr>
            <w:r>
              <w:rPr>
                <w:rFonts w:ascii="Arial" w:cs="Arial" w:eastAsia="Arial" w:hAnsi="Arial"/>
                <w:sz w:val="13"/>
                <w:szCs w:val="13"/>
                <w:b w:val="1"/>
                <w:bCs w:val="1"/>
                <w:color w:val="FFFFFF"/>
              </w:rPr>
              <w:t>​ ​</w:t>
            </w:r>
          </w:p>
        </w:tc>
        <w:tc>
          <w:tcPr>
            <w:tcW w:w="180" w:type="dxa"/>
            <w:vAlign w:val="bottom"/>
            <w:vMerge w:val="continue"/>
          </w:tcPr>
          <w:p>
            <w:pPr>
              <w:spacing w:after="0"/>
              <w:rPr>
                <w:sz w:val="12"/>
                <w:szCs w:val="12"/>
                <w:color w:val="auto"/>
              </w:rPr>
            </w:pP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220" w:type="dxa"/>
            <w:vAlign w:val="bottom"/>
          </w:tcPr>
          <w:p>
            <w:pPr>
              <w:spacing w:after="0"/>
              <w:rPr>
                <w:sz w:val="12"/>
                <w:szCs w:val="12"/>
                <w:color w:val="auto"/>
              </w:rPr>
            </w:pPr>
          </w:p>
        </w:tc>
        <w:tc>
          <w:tcPr>
            <w:tcW w:w="380" w:type="dxa"/>
            <w:vAlign w:val="bottom"/>
          </w:tcPr>
          <w:p>
            <w:pPr>
              <w:ind w:left="40"/>
              <w:spacing w:after="0"/>
              <w:rPr>
                <w:sz w:val="20"/>
                <w:szCs w:val="20"/>
                <w:color w:val="auto"/>
              </w:rPr>
            </w:pPr>
            <w:r>
              <w:rPr>
                <w:rFonts w:ascii="Arial" w:cs="Arial" w:eastAsia="Arial" w:hAnsi="Arial"/>
                <w:sz w:val="13"/>
                <w:szCs w:val="13"/>
                <w:b w:val="1"/>
                <w:bCs w:val="1"/>
                <w:color w:val="FFFFFF"/>
              </w:rPr>
              <w:t>​ ​</w:t>
            </w:r>
          </w:p>
        </w:tc>
        <w:tc>
          <w:tcPr>
            <w:tcW w:w="200" w:type="dxa"/>
            <w:vAlign w:val="bottom"/>
            <w:vMerge w:val="continue"/>
          </w:tcPr>
          <w:p>
            <w:pPr>
              <w:spacing w:after="0"/>
              <w:rPr>
                <w:sz w:val="12"/>
                <w:szCs w:val="12"/>
                <w:color w:val="auto"/>
              </w:rPr>
            </w:pP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00" w:type="dxa"/>
            <w:vAlign w:val="bottom"/>
          </w:tcPr>
          <w:p>
            <w:pPr>
              <w:ind w:left="2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0</wp:posOffset>
            </wp:positionV>
            <wp:extent cx="274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320" cy="24003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0</wp:posOffset>
            </wp:positionV>
            <wp:extent cx="248285" cy="6746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285" cy="674624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0</wp:posOffset>
            </wp:positionV>
            <wp:extent cx="248285" cy="6746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285" cy="674624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0</wp:posOffset>
            </wp:positionV>
            <wp:extent cx="248285" cy="6746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285" cy="674624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0</wp:posOffset>
            </wp:positionV>
            <wp:extent cx="248285" cy="6746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285" cy="674624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0</wp:posOffset>
            </wp:positionV>
            <wp:extent cx="282575" cy="6746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575" cy="67462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60" w:space="720"/>
            <w:col w:w="4540"/>
          </w:cols>
          <w:pgMar w:left="580" w:top="97" w:right="1299" w:bottom="1440" w:gutter="0" w:footer="0" w:header="0"/>
          <w:type w:val="continuous"/>
        </w:sectPr>
      </w:pPr>
    </w:p>
    <w:tbl>
      <w:tblPr>
        <w:tblLayout w:type="fixed"/>
        <w:tblInd w:w="740" w:type="dxa"/>
        <w:tblCellMar>
          <w:top w:w="0" w:type="dxa"/>
          <w:left w:w="0" w:type="dxa"/>
          <w:bottom w:w="0" w:type="dxa"/>
          <w:right w:w="0" w:type="dxa"/>
        </w:tblCellMar>
      </w:tblPr>
      <w:tr>
        <w:trPr>
          <w:trHeight w:val="275"/>
        </w:trPr>
        <w:tc>
          <w:tcPr>
            <w:tcW w:w="47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Age (as of March 5, 2025)</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 66</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 59</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54</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 58</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64</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 70</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64</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 73</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47</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83"/>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380" w:type="dxa"/>
            <w:vAlign w:val="bottom"/>
            <w:tcBorders>
              <w:bottom w:val="single" w:sz="8" w:color="CCCCCC"/>
            </w:tcBorders>
            <w:gridSpan w:val="2"/>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380" w:type="dxa"/>
            <w:vAlign w:val="bottom"/>
            <w:tcBorders>
              <w:bottom w:val="single" w:sz="8" w:color="CCCCCC"/>
            </w:tcBorders>
            <w:gridSpan w:val="2"/>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r>
      <w:tr>
        <w:trPr>
          <w:trHeight w:val="288"/>
        </w:trPr>
        <w:tc>
          <w:tcPr>
            <w:tcW w:w="47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CNP Tenure (in years)</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0</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0</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 10</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 11</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83"/>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Current / Former CEO of Public Company or Large Organization: </w:t>
            </w:r>
            <w:r>
              <w:rPr>
                <w:rFonts w:ascii="Arial" w:cs="Arial" w:eastAsia="Arial" w:hAnsi="Arial"/>
                <w:sz w:val="14"/>
                <w:szCs w:val="14"/>
                <w:color w:val="auto"/>
              </w:rPr>
              <w:t>An</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6"/>
        </w:trPr>
        <w:tc>
          <w:tcPr>
            <w:tcW w:w="4760" w:type="dxa"/>
            <w:vAlign w:val="bottom"/>
          </w:tcPr>
          <w:p>
            <w:pPr>
              <w:ind w:left="120"/>
              <w:spacing w:after="0"/>
              <w:rPr>
                <w:sz w:val="20"/>
                <w:szCs w:val="20"/>
                <w:color w:val="auto"/>
              </w:rPr>
            </w:pPr>
            <w:r>
              <w:rPr>
                <w:rFonts w:ascii="Arial" w:cs="Arial" w:eastAsia="Arial" w:hAnsi="Arial"/>
                <w:sz w:val="14"/>
                <w:szCs w:val="14"/>
                <w:color w:val="auto"/>
              </w:rPr>
              <w:t>understanding of the complexities inherent in running a public company</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44"/>
        </w:trPr>
        <w:tc>
          <w:tcPr>
            <w:tcW w:w="4760" w:type="dxa"/>
            <w:vAlign w:val="bottom"/>
          </w:tcPr>
          <w:p>
            <w:pPr>
              <w:ind w:left="120"/>
              <w:spacing w:after="0" w:line="145" w:lineRule="exact"/>
              <w:rPr>
                <w:sz w:val="20"/>
                <w:szCs w:val="20"/>
                <w:color w:val="auto"/>
              </w:rPr>
            </w:pPr>
            <w:r>
              <w:rPr>
                <w:rFonts w:ascii="Arial" w:cs="Arial" w:eastAsia="Arial" w:hAnsi="Arial"/>
                <w:sz w:val="14"/>
                <w:szCs w:val="14"/>
                <w:color w:val="auto"/>
              </w:rPr>
              <w:t>or large organization provides a unique perspective that helps the Board</w:t>
            </w:r>
          </w:p>
        </w:tc>
        <w:tc>
          <w:tcPr>
            <w:tcW w:w="100" w:type="dxa"/>
            <w:vAlign w:val="bottom"/>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r>
      <w:tr>
        <w:trPr>
          <w:trHeight w:val="193"/>
        </w:trPr>
        <w:tc>
          <w:tcPr>
            <w:tcW w:w="4760" w:type="dxa"/>
            <w:vAlign w:val="bottom"/>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oversee the Company’s management, long-term strategic planning,</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shareholder value creation, human capital management, risk oversight,</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6"/>
        </w:trPr>
        <w:tc>
          <w:tcPr>
            <w:tcW w:w="4760" w:type="dxa"/>
            <w:vAlign w:val="bottom"/>
          </w:tcPr>
          <w:p>
            <w:pPr>
              <w:ind w:left="120"/>
              <w:spacing w:after="0"/>
              <w:rPr>
                <w:sz w:val="20"/>
                <w:szCs w:val="20"/>
                <w:color w:val="auto"/>
              </w:rPr>
            </w:pPr>
            <w:r>
              <w:rPr>
                <w:rFonts w:ascii="Arial" w:cs="Arial" w:eastAsia="Arial" w:hAnsi="Arial"/>
                <w:sz w:val="14"/>
                <w:szCs w:val="14"/>
                <w:color w:val="auto"/>
              </w:rPr>
              <w:t>governance, and shareholder engagement</w:t>
            </w: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r>
      <w:tr>
        <w:trPr>
          <w:trHeight w:val="70"/>
        </w:trPr>
        <w:tc>
          <w:tcPr>
            <w:tcW w:w="4760" w:type="dxa"/>
            <w:vAlign w:val="bottom"/>
            <w:tcBorders>
              <w:bottom w:val="single" w:sz="8" w:color="CCCCCC"/>
            </w:tcBorders>
          </w:tcPr>
          <w:p>
            <w:pPr>
              <w:spacing w:after="0"/>
              <w:rPr>
                <w:sz w:val="6"/>
                <w:szCs w:val="6"/>
                <w:color w:val="auto"/>
              </w:rPr>
            </w:pPr>
          </w:p>
        </w:tc>
        <w:tc>
          <w:tcPr>
            <w:tcW w:w="100" w:type="dxa"/>
            <w:vAlign w:val="bottom"/>
            <w:tcBorders>
              <w:bottom w:val="single" w:sz="8" w:color="CCCCCC"/>
            </w:tcBorders>
          </w:tcPr>
          <w:p>
            <w:pPr>
              <w:spacing w:after="0"/>
              <w:rPr>
                <w:sz w:val="6"/>
                <w:szCs w:val="6"/>
                <w:color w:val="auto"/>
              </w:rPr>
            </w:pPr>
          </w:p>
        </w:tc>
        <w:tc>
          <w:tcPr>
            <w:tcW w:w="80" w:type="dxa"/>
            <w:vAlign w:val="bottom"/>
            <w:tcBorders>
              <w:bottom w:val="single" w:sz="8" w:color="CCCCCC"/>
            </w:tcBorders>
            <w:shd w:val="clear" w:color="auto" w:fill="F2F2F2"/>
          </w:tcPr>
          <w:p>
            <w:pPr>
              <w:spacing w:after="0"/>
              <w:rPr>
                <w:sz w:val="6"/>
                <w:szCs w:val="6"/>
                <w:color w:val="auto"/>
              </w:rPr>
            </w:pPr>
          </w:p>
        </w:tc>
        <w:tc>
          <w:tcPr>
            <w:tcW w:w="30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2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2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20" w:type="dxa"/>
            <w:vAlign w:val="bottom"/>
            <w:tcBorders>
              <w:bottom w:val="single" w:sz="8" w:color="CCCCCC"/>
            </w:tcBorders>
            <w:shd w:val="clear" w:color="auto" w:fill="F2F2F2"/>
          </w:tcPr>
          <w:p>
            <w:pPr>
              <w:spacing w:after="0"/>
              <w:rPr>
                <w:sz w:val="6"/>
                <w:szCs w:val="6"/>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Risk Management: </w:t>
            </w:r>
            <w:r>
              <w:rPr>
                <w:rFonts w:ascii="Arial" w:cs="Arial" w:eastAsia="Arial" w:hAnsi="Arial"/>
                <w:sz w:val="14"/>
                <w:szCs w:val="14"/>
                <w:color w:val="auto"/>
              </w:rPr>
              <w:t>Overseeing risk in a rapidly changing environment is</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44"/>
        </w:trPr>
        <w:tc>
          <w:tcPr>
            <w:tcW w:w="4760" w:type="dxa"/>
            <w:vAlign w:val="bottom"/>
          </w:tcPr>
          <w:p>
            <w:pPr>
              <w:ind w:left="120"/>
              <w:spacing w:after="0" w:line="145" w:lineRule="exact"/>
              <w:rPr>
                <w:sz w:val="20"/>
                <w:szCs w:val="20"/>
                <w:color w:val="auto"/>
              </w:rPr>
            </w:pPr>
            <w:r>
              <w:rPr>
                <w:rFonts w:ascii="Arial" w:cs="Arial" w:eastAsia="Arial" w:hAnsi="Arial"/>
                <w:sz w:val="14"/>
                <w:szCs w:val="14"/>
                <w:color w:val="auto"/>
              </w:rPr>
              <w:t>critical. We seek directors with experience managing or overseeing</w:t>
            </w:r>
          </w:p>
        </w:tc>
        <w:tc>
          <w:tcPr>
            <w:tcW w:w="100" w:type="dxa"/>
            <w:vAlign w:val="bottom"/>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r>
      <w:tr>
        <w:trPr>
          <w:trHeight w:val="193"/>
        </w:trPr>
        <w:tc>
          <w:tcPr>
            <w:tcW w:w="4760" w:type="dxa"/>
            <w:vAlign w:val="bottom"/>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business, financial, environmental, and other risks relevant to the</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Utility Industry Experience: </w:t>
            </w:r>
            <w:r>
              <w:rPr>
                <w:rFonts w:ascii="Arial" w:cs="Arial" w:eastAsia="Arial" w:hAnsi="Arial"/>
                <w:sz w:val="14"/>
                <w:szCs w:val="14"/>
                <w:color w:val="auto"/>
              </w:rPr>
              <w:t>Due to the highly regulated nature of our</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60" w:type="dxa"/>
            <w:vAlign w:val="bottom"/>
          </w:tcPr>
          <w:p>
            <w:pPr>
              <w:ind w:left="40"/>
              <w:spacing w:after="0"/>
              <w:rPr>
                <w:sz w:val="20"/>
                <w:szCs w:val="20"/>
                <w:color w:val="auto"/>
              </w:rPr>
            </w:pPr>
            <w:r>
              <w:rPr>
                <w:rFonts w:ascii="Arial" w:cs="Arial" w:eastAsia="Arial" w:hAnsi="Arial"/>
                <w:sz w:val="14"/>
                <w:szCs w:val="14"/>
                <w:color w:val="auto"/>
              </w:rPr>
              <w:t>​ business, we believe it is important to seek directors with experience in</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the regulated utility industry.</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75"/>
        </w:trPr>
        <w:tc>
          <w:tcPr>
            <w:tcW w:w="4760" w:type="dxa"/>
            <w:vAlign w:val="bottom"/>
            <w:tcBorders>
              <w:bottom w:val="single" w:sz="8" w:color="CCCCCC"/>
            </w:tcBorders>
          </w:tcPr>
          <w:p>
            <w:pPr>
              <w:spacing w:after="0"/>
              <w:rPr>
                <w:sz w:val="6"/>
                <w:szCs w:val="6"/>
                <w:color w:val="auto"/>
              </w:rPr>
            </w:pPr>
          </w:p>
        </w:tc>
        <w:tc>
          <w:tcPr>
            <w:tcW w:w="100" w:type="dxa"/>
            <w:vAlign w:val="bottom"/>
            <w:tcBorders>
              <w:bottom w:val="single" w:sz="8" w:color="CCCCCC"/>
            </w:tcBorders>
          </w:tcPr>
          <w:p>
            <w:pPr>
              <w:spacing w:after="0"/>
              <w:rPr>
                <w:sz w:val="6"/>
                <w:szCs w:val="6"/>
                <w:color w:val="auto"/>
              </w:rPr>
            </w:pPr>
          </w:p>
        </w:tc>
        <w:tc>
          <w:tcPr>
            <w:tcW w:w="80" w:type="dxa"/>
            <w:vAlign w:val="bottom"/>
            <w:tcBorders>
              <w:bottom w:val="single" w:sz="8" w:color="CCCCCC"/>
            </w:tcBorders>
            <w:shd w:val="clear" w:color="auto" w:fill="F2F2F2"/>
          </w:tcPr>
          <w:p>
            <w:pPr>
              <w:spacing w:after="0"/>
              <w:rPr>
                <w:sz w:val="6"/>
                <w:szCs w:val="6"/>
                <w:color w:val="auto"/>
              </w:rPr>
            </w:pPr>
          </w:p>
        </w:tc>
        <w:tc>
          <w:tcPr>
            <w:tcW w:w="30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2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12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20" w:type="dxa"/>
            <w:vAlign w:val="bottom"/>
            <w:tcBorders>
              <w:bottom w:val="single" w:sz="8" w:color="CCCCCC"/>
            </w:tcBorders>
            <w:shd w:val="clear" w:color="auto" w:fill="F2F2F2"/>
          </w:tcPr>
          <w:p>
            <w:pPr>
              <w:spacing w:after="0"/>
              <w:rPr>
                <w:sz w:val="6"/>
                <w:szCs w:val="6"/>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Operations and Safety Experience: </w:t>
            </w:r>
            <w:r>
              <w:rPr>
                <w:rFonts w:ascii="Arial" w:cs="Arial" w:eastAsia="Arial" w:hAnsi="Arial"/>
                <w:sz w:val="14"/>
                <w:szCs w:val="14"/>
                <w:color w:val="auto"/>
              </w:rPr>
              <w:t>To help the Company develop and</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implement its capital plan and business strategy and continuously</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60" w:type="dxa"/>
            <w:vAlign w:val="bottom"/>
          </w:tcPr>
          <w:p>
            <w:pPr>
              <w:ind w:left="40"/>
              <w:spacing w:after="0"/>
              <w:rPr>
                <w:sz w:val="20"/>
                <w:szCs w:val="20"/>
                <w:color w:val="auto"/>
              </w:rPr>
            </w:pPr>
            <w:r>
              <w:rPr>
                <w:rFonts w:ascii="Arial" w:cs="Arial" w:eastAsia="Arial" w:hAnsi="Arial"/>
                <w:sz w:val="14"/>
                <w:szCs w:val="14"/>
                <w:color w:val="auto"/>
              </w:rPr>
              <w:t>​ improve our operations, we seek directors with experience in operational</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roles at businesses with capital intensive infrastructure projects that must</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ensure the safety of employees and the public.</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A deep understanding of finance and</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financial reporting processes is essential to the Board’s oversight of our</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60" w:type="dxa"/>
            <w:vAlign w:val="bottom"/>
          </w:tcPr>
          <w:p>
            <w:pPr>
              <w:ind w:left="120"/>
              <w:spacing w:after="0"/>
              <w:rPr>
                <w:sz w:val="20"/>
                <w:szCs w:val="20"/>
                <w:color w:val="auto"/>
              </w:rPr>
            </w:pPr>
            <w:r>
              <w:rPr>
                <w:rFonts w:ascii="Arial" w:cs="Arial" w:eastAsia="Arial" w:hAnsi="Arial"/>
                <w:sz w:val="14"/>
                <w:szCs w:val="14"/>
                <w:color w:val="auto"/>
              </w:rPr>
              <w:t>strategic performance, capital allocation, financial reporting, and internal</w:t>
            </w:r>
          </w:p>
        </w:tc>
        <w:tc>
          <w:tcPr>
            <w:tcW w:w="100" w:type="dxa"/>
            <w:vAlign w:val="bottom"/>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r>
      <w:tr>
        <w:trPr>
          <w:trHeight w:val="175"/>
        </w:trPr>
        <w:tc>
          <w:tcPr>
            <w:tcW w:w="4760" w:type="dxa"/>
            <w:vAlign w:val="bottom"/>
          </w:tcPr>
          <w:p>
            <w:pPr>
              <w:ind w:left="40"/>
              <w:spacing w:after="0"/>
              <w:rPr>
                <w:sz w:val="20"/>
                <w:szCs w:val="20"/>
                <w:color w:val="auto"/>
              </w:rPr>
            </w:pPr>
            <w:r>
              <w:rPr>
                <w:rFonts w:ascii="Arial" w:cs="Arial" w:eastAsia="Arial" w:hAnsi="Arial"/>
                <w:sz w:val="14"/>
                <w:szCs w:val="14"/>
                <w:color w:val="auto"/>
              </w:rPr>
              <w:t>​ controls. We seek directors with knowledge and experience in corporate</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6"/>
        </w:trPr>
        <w:tc>
          <w:tcPr>
            <w:tcW w:w="4760" w:type="dxa"/>
            <w:vAlign w:val="bottom"/>
          </w:tcPr>
          <w:p>
            <w:pPr>
              <w:ind w:left="120"/>
              <w:spacing w:after="0"/>
              <w:rPr>
                <w:sz w:val="20"/>
                <w:szCs w:val="20"/>
                <w:color w:val="auto"/>
              </w:rPr>
            </w:pPr>
            <w:r>
              <w:rPr>
                <w:rFonts w:ascii="Arial" w:cs="Arial" w:eastAsia="Arial" w:hAnsi="Arial"/>
                <w:sz w:val="14"/>
                <w:szCs w:val="14"/>
                <w:color w:val="auto"/>
              </w:rPr>
              <w:t>finance, accounting, and financial reporting as well as directors with</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60" w:type="dxa"/>
            <w:vAlign w:val="bottom"/>
          </w:tcPr>
          <w:p>
            <w:pPr>
              <w:ind w:left="120"/>
              <w:spacing w:after="0"/>
              <w:rPr>
                <w:sz w:val="20"/>
                <w:szCs w:val="20"/>
                <w:color w:val="auto"/>
              </w:rPr>
            </w:pPr>
            <w:r>
              <w:rPr>
                <w:rFonts w:ascii="Arial" w:cs="Arial" w:eastAsia="Arial" w:hAnsi="Arial"/>
                <w:sz w:val="14"/>
                <w:szCs w:val="14"/>
                <w:color w:val="auto"/>
              </w:rPr>
              <w:t>“accounting or related financial management expertise” as required by</w:t>
            </w:r>
          </w:p>
        </w:tc>
        <w:tc>
          <w:tcPr>
            <w:tcW w:w="100" w:type="dxa"/>
            <w:vAlign w:val="bottom"/>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the NYSE listing standards.</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Community Involvement: </w:t>
            </w:r>
            <w:r>
              <w:rPr>
                <w:rFonts w:ascii="Arial" w:cs="Arial" w:eastAsia="Arial" w:hAnsi="Arial"/>
                <w:sz w:val="14"/>
                <w:szCs w:val="14"/>
                <w:color w:val="auto"/>
              </w:rPr>
              <w:t>As a utility that provides the energy</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necessary to fuel the business, innovation, and lives of the communities</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60" w:type="dxa"/>
            <w:vAlign w:val="bottom"/>
          </w:tcPr>
          <w:p>
            <w:pPr>
              <w:ind w:left="40"/>
              <w:spacing w:after="0"/>
              <w:rPr>
                <w:sz w:val="20"/>
                <w:szCs w:val="20"/>
                <w:color w:val="auto"/>
              </w:rPr>
            </w:pPr>
            <w:r>
              <w:rPr>
                <w:rFonts w:ascii="Arial" w:cs="Arial" w:eastAsia="Arial" w:hAnsi="Arial"/>
                <w:sz w:val="14"/>
                <w:szCs w:val="14"/>
                <w:color w:val="auto"/>
              </w:rPr>
              <w:t>​ we serve, we seek directors with strong ties to and engagement with the</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communities we serve through, among other things, participation in local</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non-profit organizations, schools, and community service.</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308"/>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Government, Legal, and Regulatory: </w:t>
            </w:r>
            <w:r>
              <w:rPr>
                <w:rFonts w:ascii="Arial" w:cs="Arial" w:eastAsia="Arial" w:hAnsi="Arial"/>
                <w:sz w:val="14"/>
                <w:szCs w:val="14"/>
                <w:color w:val="auto"/>
              </w:rPr>
              <w:t>Our business is heavily regulated</w:t>
            </w:r>
          </w:p>
        </w:tc>
        <w:tc>
          <w:tcPr>
            <w:tcW w:w="100" w:type="dxa"/>
            <w:vAlign w:val="bottom"/>
          </w:tcPr>
          <w:p>
            <w:pPr>
              <w:spacing w:after="0"/>
              <w:rPr>
                <w:sz w:val="24"/>
                <w:szCs w:val="24"/>
                <w:color w:val="auto"/>
              </w:rPr>
            </w:pPr>
          </w:p>
        </w:tc>
        <w:tc>
          <w:tcPr>
            <w:tcW w:w="80" w:type="dxa"/>
            <w:vAlign w:val="bottom"/>
            <w:shd w:val="clear" w:color="auto" w:fill="F2F2F2"/>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and is directly impacted by governmental actions. Further, the success of</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44"/>
        </w:trPr>
        <w:tc>
          <w:tcPr>
            <w:tcW w:w="4760" w:type="dxa"/>
            <w:vAlign w:val="bottom"/>
          </w:tcPr>
          <w:p>
            <w:pPr>
              <w:ind w:left="120"/>
              <w:spacing w:after="0" w:line="145" w:lineRule="exact"/>
              <w:rPr>
                <w:sz w:val="20"/>
                <w:szCs w:val="20"/>
                <w:color w:val="auto"/>
              </w:rPr>
            </w:pPr>
            <w:r>
              <w:rPr>
                <w:rFonts w:ascii="Arial" w:cs="Arial" w:eastAsia="Arial" w:hAnsi="Arial"/>
                <w:sz w:val="14"/>
                <w:szCs w:val="14"/>
                <w:color w:val="auto"/>
              </w:rPr>
              <w:t>our long-term plan may be impacted by certain regulatory, legal, or</w:t>
            </w:r>
          </w:p>
        </w:tc>
        <w:tc>
          <w:tcPr>
            <w:tcW w:w="100" w:type="dxa"/>
            <w:vAlign w:val="bottom"/>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r>
      <w:tr>
        <w:trPr>
          <w:trHeight w:val="193"/>
        </w:trPr>
        <w:tc>
          <w:tcPr>
            <w:tcW w:w="4760" w:type="dxa"/>
            <w:vAlign w:val="bottom"/>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governmental decisions. We seek to have directors with experience in</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law, public policy, and regulatory matters to provide insight and develop</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strategies that incorporate current and potential changes in these areas.</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170"/>
        </w:trPr>
        <w:tc>
          <w:tcPr>
            <w:tcW w:w="4760" w:type="dxa"/>
            <w:vAlign w:val="bottom"/>
            <w:tcBorders>
              <w:bottom w:val="single" w:sz="8" w:color="CCCCCC"/>
            </w:tcBorders>
          </w:tcPr>
          <w:p>
            <w:pPr>
              <w:spacing w:after="0"/>
              <w:rPr>
                <w:sz w:val="14"/>
                <w:szCs w:val="14"/>
                <w:color w:val="auto"/>
              </w:rPr>
            </w:pPr>
          </w:p>
        </w:tc>
        <w:tc>
          <w:tcPr>
            <w:tcW w:w="100" w:type="dxa"/>
            <w:vAlign w:val="bottom"/>
            <w:tcBorders>
              <w:bottom w:val="single" w:sz="8" w:color="CCCCCC"/>
            </w:tcBorders>
          </w:tcPr>
          <w:p>
            <w:pPr>
              <w:spacing w:after="0"/>
              <w:rPr>
                <w:sz w:val="14"/>
                <w:szCs w:val="14"/>
                <w:color w:val="auto"/>
              </w:rPr>
            </w:pPr>
          </w:p>
        </w:tc>
        <w:tc>
          <w:tcPr>
            <w:tcW w:w="80" w:type="dxa"/>
            <w:vAlign w:val="bottom"/>
            <w:tcBorders>
              <w:bottom w:val="single" w:sz="8" w:color="CCCCCC"/>
            </w:tcBorders>
            <w:shd w:val="clear" w:color="auto" w:fill="F2F2F2"/>
          </w:tcPr>
          <w:p>
            <w:pPr>
              <w:spacing w:after="0"/>
              <w:rPr>
                <w:sz w:val="14"/>
                <w:szCs w:val="14"/>
                <w:color w:val="auto"/>
              </w:rPr>
            </w:pPr>
          </w:p>
        </w:tc>
        <w:tc>
          <w:tcPr>
            <w:tcW w:w="300" w:type="dxa"/>
            <w:vAlign w:val="bottom"/>
            <w:tcBorders>
              <w:bottom w:val="single" w:sz="8" w:color="CCCCCC"/>
            </w:tcBorders>
            <w:shd w:val="clear" w:color="auto" w:fill="F2F2F2"/>
          </w:tcPr>
          <w:p>
            <w:pPr>
              <w:spacing w:after="0"/>
              <w:rPr>
                <w:sz w:val="14"/>
                <w:szCs w:val="14"/>
                <w:color w:val="auto"/>
              </w:rPr>
            </w:pPr>
          </w:p>
        </w:tc>
        <w:tc>
          <w:tcPr>
            <w:tcW w:w="160" w:type="dxa"/>
            <w:vAlign w:val="bottom"/>
            <w:tcBorders>
              <w:bottom w:val="single" w:sz="8" w:color="CCCCCC"/>
            </w:tcBorders>
          </w:tcPr>
          <w:p>
            <w:pPr>
              <w:spacing w:after="0"/>
              <w:rPr>
                <w:sz w:val="14"/>
                <w:szCs w:val="14"/>
                <w:color w:val="auto"/>
              </w:rPr>
            </w:pPr>
          </w:p>
        </w:tc>
        <w:tc>
          <w:tcPr>
            <w:tcW w:w="200" w:type="dxa"/>
            <w:vAlign w:val="bottom"/>
            <w:tcBorders>
              <w:bottom w:val="single" w:sz="8" w:color="CCCCCC"/>
            </w:tcBorders>
          </w:tcPr>
          <w:p>
            <w:pPr>
              <w:spacing w:after="0"/>
              <w:rPr>
                <w:sz w:val="14"/>
                <w:szCs w:val="14"/>
                <w:color w:val="auto"/>
              </w:rPr>
            </w:pPr>
          </w:p>
        </w:tc>
        <w:tc>
          <w:tcPr>
            <w:tcW w:w="14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shd w:val="clear" w:color="auto" w:fill="F2F2F2"/>
          </w:tcPr>
          <w:p>
            <w:pPr>
              <w:spacing w:after="0"/>
              <w:rPr>
                <w:sz w:val="14"/>
                <w:szCs w:val="14"/>
                <w:color w:val="auto"/>
              </w:rPr>
            </w:pPr>
          </w:p>
        </w:tc>
        <w:tc>
          <w:tcPr>
            <w:tcW w:w="160" w:type="dxa"/>
            <w:vAlign w:val="bottom"/>
            <w:tcBorders>
              <w:bottom w:val="single" w:sz="8" w:color="CCCCCC"/>
            </w:tcBorders>
          </w:tcPr>
          <w:p>
            <w:pPr>
              <w:spacing w:after="0"/>
              <w:rPr>
                <w:sz w:val="14"/>
                <w:szCs w:val="14"/>
                <w:color w:val="auto"/>
              </w:rPr>
            </w:pPr>
          </w:p>
        </w:tc>
        <w:tc>
          <w:tcPr>
            <w:tcW w:w="200" w:type="dxa"/>
            <w:vAlign w:val="bottom"/>
            <w:tcBorders>
              <w:bottom w:val="single" w:sz="8" w:color="CCCCCC"/>
            </w:tcBorders>
          </w:tcPr>
          <w:p>
            <w:pPr>
              <w:spacing w:after="0"/>
              <w:rPr>
                <w:sz w:val="14"/>
                <w:szCs w:val="14"/>
                <w:color w:val="auto"/>
              </w:rPr>
            </w:pPr>
          </w:p>
        </w:tc>
        <w:tc>
          <w:tcPr>
            <w:tcW w:w="14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shd w:val="clear" w:color="auto" w:fill="F2F2F2"/>
          </w:tcPr>
          <w:p>
            <w:pPr>
              <w:spacing w:after="0"/>
              <w:rPr>
                <w:sz w:val="14"/>
                <w:szCs w:val="14"/>
                <w:color w:val="auto"/>
              </w:rPr>
            </w:pPr>
          </w:p>
        </w:tc>
        <w:tc>
          <w:tcPr>
            <w:tcW w:w="160" w:type="dxa"/>
            <w:vAlign w:val="bottom"/>
            <w:tcBorders>
              <w:bottom w:val="single" w:sz="8" w:color="CCCCCC"/>
            </w:tcBorders>
          </w:tcPr>
          <w:p>
            <w:pPr>
              <w:spacing w:after="0"/>
              <w:rPr>
                <w:sz w:val="14"/>
                <w:szCs w:val="14"/>
                <w:color w:val="auto"/>
              </w:rPr>
            </w:pPr>
          </w:p>
        </w:tc>
        <w:tc>
          <w:tcPr>
            <w:tcW w:w="200" w:type="dxa"/>
            <w:vAlign w:val="bottom"/>
            <w:tcBorders>
              <w:bottom w:val="single" w:sz="8" w:color="CCCCCC"/>
            </w:tcBorders>
          </w:tcPr>
          <w:p>
            <w:pPr>
              <w:spacing w:after="0"/>
              <w:rPr>
                <w:sz w:val="14"/>
                <w:szCs w:val="14"/>
                <w:color w:val="auto"/>
              </w:rPr>
            </w:pPr>
          </w:p>
        </w:tc>
        <w:tc>
          <w:tcPr>
            <w:tcW w:w="14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shd w:val="clear" w:color="auto" w:fill="F2F2F2"/>
          </w:tcPr>
          <w:p>
            <w:pPr>
              <w:spacing w:after="0"/>
              <w:rPr>
                <w:sz w:val="14"/>
                <w:szCs w:val="14"/>
                <w:color w:val="auto"/>
              </w:rPr>
            </w:pPr>
          </w:p>
        </w:tc>
        <w:tc>
          <w:tcPr>
            <w:tcW w:w="160" w:type="dxa"/>
            <w:vAlign w:val="bottom"/>
            <w:tcBorders>
              <w:bottom w:val="single" w:sz="8" w:color="CCCCCC"/>
            </w:tcBorders>
          </w:tcPr>
          <w:p>
            <w:pPr>
              <w:spacing w:after="0"/>
              <w:rPr>
                <w:sz w:val="14"/>
                <w:szCs w:val="14"/>
                <w:color w:val="auto"/>
              </w:rPr>
            </w:pPr>
          </w:p>
        </w:tc>
        <w:tc>
          <w:tcPr>
            <w:tcW w:w="220" w:type="dxa"/>
            <w:vAlign w:val="bottom"/>
            <w:tcBorders>
              <w:bottom w:val="single" w:sz="8" w:color="CCCCCC"/>
            </w:tcBorders>
          </w:tcPr>
          <w:p>
            <w:pPr>
              <w:spacing w:after="0"/>
              <w:rPr>
                <w:sz w:val="14"/>
                <w:szCs w:val="14"/>
                <w:color w:val="auto"/>
              </w:rPr>
            </w:pPr>
          </w:p>
        </w:tc>
        <w:tc>
          <w:tcPr>
            <w:tcW w:w="12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shd w:val="clear" w:color="auto" w:fill="F2F2F2"/>
          </w:tcPr>
          <w:p>
            <w:pPr>
              <w:spacing w:after="0"/>
              <w:rPr>
                <w:sz w:val="14"/>
                <w:szCs w:val="14"/>
                <w:color w:val="auto"/>
              </w:rPr>
            </w:pPr>
          </w:p>
        </w:tc>
        <w:tc>
          <w:tcPr>
            <w:tcW w:w="160" w:type="dxa"/>
            <w:vAlign w:val="bottom"/>
            <w:tcBorders>
              <w:bottom w:val="single" w:sz="8" w:color="CCCCCC"/>
            </w:tcBorders>
          </w:tcPr>
          <w:p>
            <w:pPr>
              <w:spacing w:after="0"/>
              <w:rPr>
                <w:sz w:val="14"/>
                <w:szCs w:val="14"/>
                <w:color w:val="auto"/>
              </w:rPr>
            </w:pPr>
          </w:p>
        </w:tc>
        <w:tc>
          <w:tcPr>
            <w:tcW w:w="220" w:type="dxa"/>
            <w:vAlign w:val="bottom"/>
            <w:tcBorders>
              <w:bottom w:val="single" w:sz="8" w:color="CCCCCC"/>
            </w:tcBorders>
          </w:tcPr>
          <w:p>
            <w:pPr>
              <w:spacing w:after="0"/>
              <w:rPr>
                <w:sz w:val="14"/>
                <w:szCs w:val="14"/>
                <w:color w:val="auto"/>
              </w:rPr>
            </w:pPr>
          </w:p>
        </w:tc>
        <w:tc>
          <w:tcPr>
            <w:tcW w:w="120" w:type="dxa"/>
            <w:vAlign w:val="bottom"/>
            <w:tcBorders>
              <w:bottom w:val="single" w:sz="8" w:color="CCCCCC"/>
            </w:tcBorders>
          </w:tcPr>
          <w:p>
            <w:pPr>
              <w:spacing w:after="0"/>
              <w:rPr>
                <w:sz w:val="14"/>
                <w:szCs w:val="14"/>
                <w:color w:val="auto"/>
              </w:rPr>
            </w:pPr>
          </w:p>
        </w:tc>
        <w:tc>
          <w:tcPr>
            <w:tcW w:w="280" w:type="dxa"/>
            <w:vAlign w:val="bottom"/>
            <w:tcBorders>
              <w:bottom w:val="single" w:sz="8" w:color="CCCCCC"/>
            </w:tcBorders>
            <w:shd w:val="clear" w:color="auto" w:fill="F2F2F2"/>
          </w:tcPr>
          <w:p>
            <w:pPr>
              <w:spacing w:after="0"/>
              <w:rPr>
                <w:sz w:val="14"/>
                <w:szCs w:val="14"/>
                <w:color w:val="auto"/>
              </w:rPr>
            </w:pPr>
          </w:p>
        </w:tc>
        <w:tc>
          <w:tcPr>
            <w:tcW w:w="120" w:type="dxa"/>
            <w:vAlign w:val="bottom"/>
            <w:tcBorders>
              <w:bottom w:val="single" w:sz="8" w:color="CCCCCC"/>
            </w:tcBorders>
            <w:shd w:val="clear" w:color="auto" w:fill="F2F2F2"/>
          </w:tcPr>
          <w:p>
            <w:pPr>
              <w:spacing w:after="0"/>
              <w:rPr>
                <w:sz w:val="14"/>
                <w:szCs w:val="14"/>
                <w:color w:val="auto"/>
              </w:rPr>
            </w:pPr>
          </w:p>
        </w:tc>
      </w:tr>
      <w:tr>
        <w:trPr>
          <w:trHeight w:val="227"/>
        </w:trPr>
        <w:tc>
          <w:tcPr>
            <w:tcW w:w="4760" w:type="dxa"/>
            <w:vAlign w:val="bottom"/>
          </w:tcPr>
          <w:p>
            <w:pPr>
              <w:ind w:left="120"/>
              <w:spacing w:after="0"/>
              <w:rPr>
                <w:sz w:val="20"/>
                <w:szCs w:val="20"/>
                <w:color w:val="auto"/>
              </w:rPr>
            </w:pPr>
            <w:r>
              <w:rPr>
                <w:rFonts w:ascii="Arial" w:cs="Arial" w:eastAsia="Arial" w:hAnsi="Arial"/>
                <w:sz w:val="14"/>
                <w:szCs w:val="14"/>
                <w:b w:val="1"/>
                <w:bCs w:val="1"/>
                <w:color w:val="auto"/>
              </w:rPr>
              <w:t xml:space="preserve">Public Company Governance Experience: </w:t>
            </w:r>
            <w:r>
              <w:rPr>
                <w:rFonts w:ascii="Arial" w:cs="Arial" w:eastAsia="Arial" w:hAnsi="Arial"/>
                <w:sz w:val="14"/>
                <w:szCs w:val="14"/>
                <w:color w:val="auto"/>
              </w:rPr>
              <w:t>Directors with strong public</w:t>
            </w:r>
          </w:p>
        </w:tc>
        <w:tc>
          <w:tcPr>
            <w:tcW w:w="10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60" w:type="dxa"/>
            <w:vAlign w:val="bottom"/>
          </w:tcPr>
          <w:p>
            <w:pPr>
              <w:ind w:left="120"/>
              <w:spacing w:after="0"/>
              <w:rPr>
                <w:sz w:val="20"/>
                <w:szCs w:val="20"/>
                <w:color w:val="auto"/>
              </w:rPr>
            </w:pPr>
            <w:r>
              <w:rPr>
                <w:rFonts w:ascii="Arial" w:cs="Arial" w:eastAsia="Arial" w:hAnsi="Arial"/>
                <w:sz w:val="14"/>
                <w:szCs w:val="14"/>
                <w:color w:val="auto"/>
              </w:rPr>
              <w:t>company governance experience, including serving on other public</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60" w:type="dxa"/>
            <w:vAlign w:val="bottom"/>
          </w:tcPr>
          <w:p>
            <w:pPr>
              <w:ind w:left="40"/>
              <w:spacing w:after="0"/>
              <w:rPr>
                <w:sz w:val="20"/>
                <w:szCs w:val="20"/>
                <w:color w:val="auto"/>
              </w:rPr>
            </w:pPr>
            <w:r>
              <w:rPr>
                <w:rFonts w:ascii="Arial" w:cs="Arial" w:eastAsia="Arial" w:hAnsi="Arial"/>
                <w:sz w:val="14"/>
                <w:szCs w:val="14"/>
                <w:color w:val="auto"/>
              </w:rPr>
              <w:t>​ company boards, are able to help the Board focus on appropriate matters</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6"/>
        </w:trPr>
        <w:tc>
          <w:tcPr>
            <w:tcW w:w="4760" w:type="dxa"/>
            <w:vAlign w:val="bottom"/>
          </w:tcPr>
          <w:p>
            <w:pPr>
              <w:ind w:left="120"/>
              <w:spacing w:after="0"/>
              <w:rPr>
                <w:sz w:val="20"/>
                <w:szCs w:val="20"/>
                <w:color w:val="auto"/>
              </w:rPr>
            </w:pPr>
            <w:r>
              <w:rPr>
                <w:rFonts w:ascii="Arial" w:cs="Arial" w:eastAsia="Arial" w:hAnsi="Arial"/>
                <w:sz w:val="14"/>
                <w:szCs w:val="14"/>
                <w:color w:val="auto"/>
              </w:rPr>
              <w:t>and function effectively in the development and oversight of our long-term</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60" w:type="dxa"/>
            <w:vAlign w:val="bottom"/>
          </w:tcPr>
          <w:p>
            <w:pPr>
              <w:ind w:left="120"/>
              <w:spacing w:after="0"/>
              <w:rPr>
                <w:sz w:val="20"/>
                <w:szCs w:val="20"/>
                <w:color w:val="auto"/>
              </w:rPr>
            </w:pPr>
            <w:r>
              <w:rPr>
                <w:rFonts w:ascii="Arial" w:cs="Arial" w:eastAsia="Arial" w:hAnsi="Arial"/>
                <w:sz w:val="14"/>
                <w:szCs w:val="14"/>
                <w:color w:val="auto"/>
              </w:rPr>
              <w:t>plan and implementation of best practices for the Company.</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41"/>
        </w:trPr>
        <w:tc>
          <w:tcPr>
            <w:tcW w:w="4760" w:type="dxa"/>
            <w:vAlign w:val="bottom"/>
          </w:tcPr>
          <w:p>
            <w:pPr>
              <w:ind w:left="100"/>
              <w:spacing w:after="0"/>
              <w:rPr>
                <w:sz w:val="20"/>
                <w:szCs w:val="20"/>
                <w:color w:val="auto"/>
              </w:rPr>
            </w:pPr>
            <w:r>
              <w:rPr>
                <w:rFonts w:ascii="Arial" w:cs="Arial" w:eastAsia="Arial" w:hAnsi="Arial"/>
                <w:sz w:val="14"/>
                <w:szCs w:val="14"/>
                <w:b w:val="1"/>
                <w:bCs w:val="1"/>
                <w:color w:val="auto"/>
              </w:rPr>
              <w:t xml:space="preserve">Human Capital Management: </w:t>
            </w:r>
            <w:r>
              <w:rPr>
                <w:rFonts w:ascii="Arial" w:cs="Arial" w:eastAsia="Arial" w:hAnsi="Arial"/>
                <w:sz w:val="14"/>
                <w:szCs w:val="14"/>
                <w:color w:val="auto"/>
              </w:rPr>
              <w:t>Building and maintaining a talented and</w:t>
            </w:r>
          </w:p>
        </w:tc>
        <w:tc>
          <w:tcPr>
            <w:tcW w:w="100" w:type="dxa"/>
            <w:vAlign w:val="bottom"/>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30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r>
      <w:tr>
        <w:trPr>
          <w:trHeight w:val="175"/>
        </w:trPr>
        <w:tc>
          <w:tcPr>
            <w:tcW w:w="4760" w:type="dxa"/>
            <w:vAlign w:val="bottom"/>
          </w:tcPr>
          <w:p>
            <w:pPr>
              <w:ind w:left="100"/>
              <w:spacing w:after="0"/>
              <w:rPr>
                <w:sz w:val="20"/>
                <w:szCs w:val="20"/>
                <w:color w:val="auto"/>
              </w:rPr>
            </w:pPr>
            <w:r>
              <w:rPr>
                <w:rFonts w:ascii="Arial" w:cs="Arial" w:eastAsia="Arial" w:hAnsi="Arial"/>
                <w:sz w:val="14"/>
                <w:szCs w:val="14"/>
                <w:color w:val="auto"/>
              </w:rPr>
              <w:t>engaged workforce is a critical part of who we are and our long-term</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44"/>
        </w:trPr>
        <w:tc>
          <w:tcPr>
            <w:tcW w:w="4760" w:type="dxa"/>
            <w:vAlign w:val="bottom"/>
          </w:tcPr>
          <w:p>
            <w:pPr>
              <w:ind w:left="100"/>
              <w:spacing w:after="0" w:line="145" w:lineRule="exact"/>
              <w:rPr>
                <w:sz w:val="20"/>
                <w:szCs w:val="20"/>
                <w:color w:val="auto"/>
              </w:rPr>
            </w:pPr>
            <w:r>
              <w:rPr>
                <w:rFonts w:ascii="Arial" w:cs="Arial" w:eastAsia="Arial" w:hAnsi="Arial"/>
                <w:sz w:val="14"/>
                <w:szCs w:val="14"/>
                <w:color w:val="auto"/>
              </w:rPr>
              <w:t>strategy. We seek directors who understand key drivers of culture,</w:t>
            </w:r>
          </w:p>
        </w:tc>
        <w:tc>
          <w:tcPr>
            <w:tcW w:w="100" w:type="dxa"/>
            <w:vAlign w:val="bottom"/>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r>
      <w:tr>
        <w:trPr>
          <w:trHeight w:val="193"/>
        </w:trPr>
        <w:tc>
          <w:tcPr>
            <w:tcW w:w="4760" w:type="dxa"/>
            <w:vAlign w:val="bottom"/>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employee health and safety, organizational health, and talent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14"/>
                <w:szCs w:val="14"/>
                <w:color w:val="003763"/>
                <w:w w:val="94"/>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60" w:type="dxa"/>
            <w:vAlign w:val="bottom"/>
          </w:tcPr>
          <w:p>
            <w:pPr>
              <w:ind w:left="100"/>
              <w:spacing w:after="0"/>
              <w:rPr>
                <w:sz w:val="20"/>
                <w:szCs w:val="20"/>
                <w:color w:val="auto"/>
              </w:rPr>
            </w:pPr>
            <w:r>
              <w:rPr>
                <w:rFonts w:ascii="Arial" w:cs="Arial" w:eastAsia="Arial" w:hAnsi="Arial"/>
                <w:sz w:val="14"/>
                <w:szCs w:val="14"/>
                <w:color w:val="auto"/>
              </w:rPr>
              <w:t>management and have the knowledge and skills necessary to oversee</w:t>
            </w:r>
          </w:p>
        </w:tc>
        <w:tc>
          <w:tcPr>
            <w:tcW w:w="10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60" w:type="dxa"/>
            <w:vAlign w:val="bottom"/>
          </w:tcPr>
          <w:p>
            <w:pPr>
              <w:ind w:left="100"/>
              <w:spacing w:after="0"/>
              <w:rPr>
                <w:sz w:val="20"/>
                <w:szCs w:val="20"/>
                <w:color w:val="auto"/>
              </w:rPr>
            </w:pPr>
            <w:r>
              <w:rPr>
                <w:rFonts w:ascii="Arial" w:cs="Arial" w:eastAsia="Arial" w:hAnsi="Arial"/>
                <w:sz w:val="14"/>
                <w:szCs w:val="14"/>
                <w:color w:val="auto"/>
              </w:rPr>
              <w:t>our workforce development and strategies.</w:t>
            </w:r>
          </w:p>
        </w:tc>
        <w:tc>
          <w:tcPr>
            <w:tcW w:w="10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60" w:type="dxa"/>
            <w:vAlign w:val="bottom"/>
            <w:tcBorders>
              <w:bottom w:val="single" w:sz="8" w:color="CCCCCC"/>
            </w:tcBorders>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-6514465</wp:posOffset>
            </wp:positionV>
            <wp:extent cx="214630" cy="6506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650621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39" w:lineRule="exact"/>
        <w:rPr>
          <w:sz w:val="20"/>
          <w:szCs w:val="20"/>
          <w:color w:val="auto"/>
        </w:rPr>
      </w:pPr>
    </w:p>
    <w:p>
      <w:pPr>
        <w:ind w:left="740"/>
        <w:spacing w:after="0"/>
        <w:tabs>
          <w:tab w:leader="none" w:pos="6760" w:val="left"/>
          <w:tab w:leader="none" w:pos="99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48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4"/>
        </w:trPr>
        <w:tc>
          <w:tcPr>
            <w:tcW w:w="440" w:type="dxa"/>
            <w:vAlign w:val="bottom"/>
            <w:textDirection w:val="btLr"/>
          </w:tcPr>
          <w:p>
            <w:pPr>
              <w:ind w:left="280"/>
              <w:spacing w:after="0"/>
              <w:rPr>
                <w:sz w:val="20"/>
                <w:szCs w:val="20"/>
                <w:color w:val="auto"/>
              </w:rPr>
            </w:pPr>
            <w:r>
              <w:rPr>
                <w:rFonts w:ascii="Arial" w:cs="Arial" w:eastAsia="Arial" w:hAnsi="Arial"/>
                <w:sz w:val="13"/>
                <w:szCs w:val="13"/>
                <w:b w:val="1"/>
                <w:bCs w:val="1"/>
                <w:color w:val="FFFFFF"/>
                <w:w w:val="95"/>
              </w:rPr>
              <w:t>W. Cloonan</w:t>
            </w:r>
          </w:p>
        </w:tc>
        <w:tc>
          <w:tcPr>
            <w:tcW w:w="180" w:type="dxa"/>
            <w:vAlign w:val="bottom"/>
            <w:vMerge w:val="restart"/>
          </w:tcPr>
          <w:p>
            <w:pPr>
              <w:ind w:left="40"/>
              <w:spacing w:after="0"/>
              <w:rPr>
                <w:sz w:val="20"/>
                <w:szCs w:val="20"/>
                <w:color w:val="auto"/>
              </w:rPr>
            </w:pPr>
            <w:r>
              <w:rPr>
                <w:rFonts w:ascii="Arial" w:cs="Arial" w:eastAsia="Arial" w:hAnsi="Arial"/>
                <w:sz w:val="13"/>
                <w:szCs w:val="13"/>
                <w:b w:val="1"/>
                <w:bCs w:val="1"/>
                <w:color w:val="FFFFFF"/>
              </w:rPr>
              <w:t>​ ​</w:t>
            </w:r>
          </w:p>
        </w:tc>
        <w:tc>
          <w:tcPr>
            <w:tcW w:w="400" w:type="dxa"/>
            <w:vAlign w:val="bottom"/>
            <w:textDirection w:val="btLr"/>
          </w:tcPr>
          <w:p>
            <w:pPr>
              <w:ind w:left="52"/>
              <w:spacing w:after="0"/>
              <w:rPr>
                <w:sz w:val="20"/>
                <w:szCs w:val="20"/>
                <w:color w:val="auto"/>
              </w:rPr>
            </w:pPr>
            <w:r>
              <w:rPr>
                <w:rFonts w:ascii="Arial" w:cs="Arial" w:eastAsia="Arial" w:hAnsi="Arial"/>
                <w:sz w:val="13"/>
                <w:szCs w:val="13"/>
                <w:b w:val="1"/>
                <w:bCs w:val="1"/>
                <w:color w:val="FFFFFF"/>
                <w:w w:val="95"/>
              </w:rPr>
              <w:t>B. Duganier</w:t>
            </w:r>
          </w:p>
        </w:tc>
        <w:tc>
          <w:tcPr>
            <w:tcW w:w="380" w:type="dxa"/>
            <w:vAlign w:val="bottom"/>
            <w:textDirection w:val="btLr"/>
          </w:tcPr>
          <w:p>
            <w:pPr>
              <w:ind w:left="43"/>
              <w:spacing w:after="0"/>
              <w:rPr>
                <w:sz w:val="20"/>
                <w:szCs w:val="20"/>
                <w:color w:val="auto"/>
              </w:rPr>
            </w:pPr>
            <w:r>
              <w:rPr>
                <w:rFonts w:ascii="Arial" w:cs="Arial" w:eastAsia="Arial" w:hAnsi="Arial"/>
                <w:sz w:val="13"/>
                <w:szCs w:val="13"/>
                <w:b w:val="1"/>
                <w:bCs w:val="1"/>
                <w:color w:val="FFFFFF"/>
                <w:w w:val="95"/>
              </w:rPr>
              <w:t>L. Fitch</w:t>
            </w:r>
          </w:p>
        </w:tc>
        <w:tc>
          <w:tcPr>
            <w:tcW w:w="400" w:type="dxa"/>
            <w:vAlign w:val="bottom"/>
            <w:textDirection w:val="btLr"/>
          </w:tcPr>
          <w:p>
            <w:pPr>
              <w:ind w:left="55"/>
              <w:spacing w:after="0"/>
              <w:rPr>
                <w:sz w:val="20"/>
                <w:szCs w:val="20"/>
                <w:color w:val="auto"/>
              </w:rPr>
            </w:pPr>
            <w:r>
              <w:rPr>
                <w:rFonts w:ascii="Arial" w:cs="Arial" w:eastAsia="Arial" w:hAnsi="Arial"/>
                <w:sz w:val="13"/>
                <w:szCs w:val="13"/>
                <w:b w:val="1"/>
                <w:bCs w:val="1"/>
                <w:color w:val="FFFFFF"/>
                <w:w w:val="95"/>
              </w:rPr>
              <w:t>C. Franklin</w:t>
            </w:r>
          </w:p>
        </w:tc>
        <w:tc>
          <w:tcPr>
            <w:tcW w:w="380" w:type="dxa"/>
            <w:vAlign w:val="bottom"/>
            <w:textDirection w:val="btLr"/>
          </w:tcPr>
          <w:p>
            <w:pPr>
              <w:ind w:left="46"/>
              <w:spacing w:after="0"/>
              <w:rPr>
                <w:sz w:val="20"/>
                <w:szCs w:val="20"/>
                <w:color w:val="auto"/>
              </w:rPr>
            </w:pPr>
            <w:r>
              <w:rPr>
                <w:rFonts w:ascii="Arial" w:cs="Arial" w:eastAsia="Arial" w:hAnsi="Arial"/>
                <w:sz w:val="13"/>
                <w:szCs w:val="13"/>
                <w:b w:val="1"/>
                <w:bCs w:val="1"/>
                <w:color w:val="FFFFFF"/>
                <w:w w:val="94"/>
              </w:rPr>
              <w:t>R. Lewis</w:t>
            </w:r>
          </w:p>
        </w:tc>
        <w:tc>
          <w:tcPr>
            <w:tcW w:w="400" w:type="dxa"/>
            <w:vAlign w:val="bottom"/>
            <w:textDirection w:val="btLr"/>
          </w:tcPr>
          <w:p>
            <w:pPr>
              <w:ind w:left="58"/>
              <w:spacing w:after="0"/>
              <w:rPr>
                <w:sz w:val="20"/>
                <w:szCs w:val="20"/>
                <w:color w:val="auto"/>
              </w:rPr>
            </w:pPr>
            <w:r>
              <w:rPr>
                <w:rFonts w:ascii="Arial" w:cs="Arial" w:eastAsia="Arial" w:hAnsi="Arial"/>
                <w:sz w:val="13"/>
                <w:szCs w:val="13"/>
                <w:b w:val="1"/>
                <w:bCs w:val="1"/>
                <w:color w:val="FFFFFF"/>
                <w:w w:val="92"/>
              </w:rPr>
              <w:t>T. Malik</w:t>
            </w:r>
          </w:p>
        </w:tc>
        <w:tc>
          <w:tcPr>
            <w:tcW w:w="380" w:type="dxa"/>
            <w:vAlign w:val="bottom"/>
            <w:textDirection w:val="btLr"/>
          </w:tcPr>
          <w:p>
            <w:pPr>
              <w:ind w:left="49"/>
              <w:spacing w:after="0"/>
              <w:rPr>
                <w:sz w:val="20"/>
                <w:szCs w:val="20"/>
                <w:color w:val="auto"/>
              </w:rPr>
            </w:pPr>
            <w:r>
              <w:rPr>
                <w:rFonts w:ascii="Arial" w:cs="Arial" w:eastAsia="Arial" w:hAnsi="Arial"/>
                <w:sz w:val="13"/>
                <w:szCs w:val="13"/>
                <w:b w:val="1"/>
                <w:bCs w:val="1"/>
                <w:color w:val="FFFFFF"/>
                <w:w w:val="97"/>
              </w:rPr>
              <w:t>M. Miranda</w:t>
            </w:r>
          </w:p>
        </w:tc>
        <w:tc>
          <w:tcPr>
            <w:tcW w:w="220" w:type="dxa"/>
            <w:vAlign w:val="bottom"/>
            <w:textDirection w:val="btLr"/>
          </w:tcPr>
          <w:p>
            <w:pPr>
              <w:ind w:left="61"/>
              <w:spacing w:after="0"/>
              <w:rPr>
                <w:sz w:val="20"/>
                <w:szCs w:val="20"/>
                <w:color w:val="auto"/>
              </w:rPr>
            </w:pPr>
            <w:r>
              <w:rPr>
                <w:rFonts w:ascii="Arial" w:cs="Arial" w:eastAsia="Arial" w:hAnsi="Arial"/>
                <w:sz w:val="13"/>
                <w:szCs w:val="13"/>
                <w:b w:val="1"/>
                <w:bCs w:val="1"/>
                <w:color w:val="FFFFFF"/>
                <w:w w:val="93"/>
              </w:rPr>
              <w:t>T. Pound</w:t>
            </w:r>
          </w:p>
        </w:tc>
        <w:tc>
          <w:tcPr>
            <w:tcW w:w="380" w:type="dxa"/>
            <w:vAlign w:val="bottom"/>
            <w:textDirection w:val="btLr"/>
          </w:tcPr>
          <w:p>
            <w:pPr>
              <w:ind w:left="231"/>
              <w:spacing w:after="0"/>
              <w:rPr>
                <w:sz w:val="20"/>
                <w:szCs w:val="20"/>
                <w:color w:val="auto"/>
              </w:rPr>
            </w:pPr>
            <w:r>
              <w:rPr>
                <w:rFonts w:ascii="Arial" w:cs="Arial" w:eastAsia="Arial" w:hAnsi="Arial"/>
                <w:sz w:val="13"/>
                <w:szCs w:val="13"/>
                <w:b w:val="1"/>
                <w:bCs w:val="1"/>
                <w:color w:val="FFFFFF"/>
                <w:w w:val="96"/>
              </w:rPr>
              <w:t>D. Seavers</w:t>
            </w:r>
          </w:p>
        </w:tc>
        <w:tc>
          <w:tcPr>
            <w:tcW w:w="20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 ​</w:t>
            </w:r>
          </w:p>
        </w:tc>
        <w:tc>
          <w:tcPr>
            <w:tcW w:w="380" w:type="dxa"/>
            <w:vAlign w:val="bottom"/>
            <w:textDirection w:val="btLr"/>
          </w:tcPr>
          <w:p>
            <w:pPr>
              <w:ind w:left="44"/>
              <w:spacing w:after="0"/>
              <w:rPr>
                <w:sz w:val="20"/>
                <w:szCs w:val="20"/>
                <w:color w:val="auto"/>
              </w:rPr>
            </w:pPr>
            <w:r>
              <w:rPr>
                <w:rFonts w:ascii="Arial" w:cs="Arial" w:eastAsia="Arial" w:hAnsi="Arial"/>
                <w:sz w:val="13"/>
                <w:szCs w:val="13"/>
                <w:b w:val="1"/>
                <w:bCs w:val="1"/>
                <w:color w:val="FFFFFF"/>
                <w:w w:val="92"/>
              </w:rPr>
              <w:t>P. Smith</w:t>
            </w:r>
          </w:p>
        </w:tc>
        <w:tc>
          <w:tcPr>
            <w:tcW w:w="300" w:type="dxa"/>
            <w:vAlign w:val="bottom"/>
            <w:textDirection w:val="btLr"/>
          </w:tcPr>
          <w:p>
            <w:pPr>
              <w:ind w:left="55"/>
              <w:spacing w:after="0"/>
              <w:rPr>
                <w:sz w:val="20"/>
                <w:szCs w:val="20"/>
                <w:color w:val="auto"/>
              </w:rPr>
            </w:pPr>
            <w:r>
              <w:rPr>
                <w:rFonts w:ascii="Arial" w:cs="Arial" w:eastAsia="Arial" w:hAnsi="Arial"/>
                <w:sz w:val="13"/>
                <w:szCs w:val="13"/>
                <w:b w:val="1"/>
                <w:bCs w:val="1"/>
                <w:color w:val="FFFFFF"/>
                <w:w w:val="94"/>
              </w:rPr>
              <w:t>J. Wells</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20"/>
                <w:szCs w:val="20"/>
                <w:color w:val="auto"/>
              </w:rPr>
            </w:pPr>
            <w:r>
              <w:rPr>
                <w:rFonts w:ascii="Arial" w:cs="Arial" w:eastAsia="Arial" w:hAnsi="Arial"/>
                <w:sz w:val="13"/>
                <w:szCs w:val="13"/>
                <w:b w:val="1"/>
                <w:bCs w:val="1"/>
                <w:color w:val="FFFFFF"/>
              </w:rPr>
              <w:t>​ ​</w:t>
            </w:r>
          </w:p>
        </w:tc>
        <w:tc>
          <w:tcPr>
            <w:tcW w:w="180" w:type="dxa"/>
            <w:vAlign w:val="bottom"/>
            <w:vMerge w:val="continue"/>
          </w:tcPr>
          <w:p>
            <w:pPr>
              <w:spacing w:after="0"/>
              <w:rPr>
                <w:sz w:val="12"/>
                <w:szCs w:val="12"/>
                <w:color w:val="auto"/>
              </w:rPr>
            </w:pP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40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220" w:type="dxa"/>
            <w:vAlign w:val="bottom"/>
          </w:tcPr>
          <w:p>
            <w:pPr>
              <w:spacing w:after="0"/>
              <w:rPr>
                <w:sz w:val="12"/>
                <w:szCs w:val="12"/>
                <w:color w:val="auto"/>
              </w:rPr>
            </w:pPr>
          </w:p>
        </w:tc>
        <w:tc>
          <w:tcPr>
            <w:tcW w:w="380" w:type="dxa"/>
            <w:vAlign w:val="bottom"/>
          </w:tcPr>
          <w:p>
            <w:pPr>
              <w:ind w:left="40"/>
              <w:spacing w:after="0"/>
              <w:rPr>
                <w:sz w:val="20"/>
                <w:szCs w:val="20"/>
                <w:color w:val="auto"/>
              </w:rPr>
            </w:pPr>
            <w:r>
              <w:rPr>
                <w:rFonts w:ascii="Arial" w:cs="Arial" w:eastAsia="Arial" w:hAnsi="Arial"/>
                <w:sz w:val="13"/>
                <w:szCs w:val="13"/>
                <w:b w:val="1"/>
                <w:bCs w:val="1"/>
                <w:color w:val="FFFFFF"/>
              </w:rPr>
              <w:t>​ ​</w:t>
            </w:r>
          </w:p>
        </w:tc>
        <w:tc>
          <w:tcPr>
            <w:tcW w:w="200" w:type="dxa"/>
            <w:vAlign w:val="bottom"/>
            <w:vMerge w:val="continue"/>
          </w:tcPr>
          <w:p>
            <w:pPr>
              <w:spacing w:after="0"/>
              <w:rPr>
                <w:sz w:val="12"/>
                <w:szCs w:val="12"/>
                <w:color w:val="auto"/>
              </w:rPr>
            </w:pPr>
          </w:p>
        </w:tc>
        <w:tc>
          <w:tcPr>
            <w:tcW w:w="380" w:type="dxa"/>
            <w:vAlign w:val="bottom"/>
          </w:tcPr>
          <w:p>
            <w:pPr>
              <w:ind w:left="260"/>
              <w:spacing w:after="0"/>
              <w:rPr>
                <w:sz w:val="20"/>
                <w:szCs w:val="20"/>
                <w:color w:val="auto"/>
              </w:rPr>
            </w:pPr>
            <w:r>
              <w:rPr>
                <w:rFonts w:ascii="Arial" w:cs="Arial" w:eastAsia="Arial" w:hAnsi="Arial"/>
                <w:sz w:val="13"/>
                <w:szCs w:val="13"/>
                <w:b w:val="1"/>
                <w:bCs w:val="1"/>
                <w:color w:val="FFFFFF"/>
              </w:rPr>
              <w:t>​ ​</w:t>
            </w:r>
          </w:p>
        </w:tc>
        <w:tc>
          <w:tcPr>
            <w:tcW w:w="300" w:type="dxa"/>
            <w:vAlign w:val="bottom"/>
          </w:tcPr>
          <w:p>
            <w:pPr>
              <w:ind w:left="2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-685165</wp:posOffset>
            </wp:positionV>
            <wp:extent cx="5880735" cy="3437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3437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60" w:space="720"/>
            <w:col w:w="4540"/>
          </w:cols>
          <w:pgMar w:left="580" w:top="97" w:right="1299" w:bottom="1440" w:gutter="0" w:footer="0" w:header="0"/>
        </w:sectPr>
      </w:pPr>
    </w:p>
    <w:tbl>
      <w:tblPr>
        <w:tblLayout w:type="fixed"/>
        <w:tblInd w:w="740" w:type="dxa"/>
        <w:tblCellMar>
          <w:top w:w="0" w:type="dxa"/>
          <w:left w:w="0" w:type="dxa"/>
          <w:bottom w:w="0" w:type="dxa"/>
          <w:right w:w="0" w:type="dxa"/>
        </w:tblCellMar>
      </w:tblPr>
      <w:tr>
        <w:trPr>
          <w:trHeight w:val="214"/>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 xml:space="preserve">Technology and Customer Experience: </w:t>
            </w:r>
            <w:r>
              <w:rPr>
                <w:rFonts w:ascii="Arial" w:cs="Arial" w:eastAsia="Arial" w:hAnsi="Arial"/>
                <w:sz w:val="14"/>
                <w:szCs w:val="14"/>
                <w:color w:val="auto"/>
              </w:rPr>
              <w:t>Our industry is undergoing</w:t>
            </w:r>
          </w:p>
        </w:tc>
        <w:tc>
          <w:tcPr>
            <w:tcW w:w="120" w:type="dxa"/>
            <w:vAlign w:val="bottom"/>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4740" w:type="dxa"/>
            <w:vAlign w:val="bottom"/>
          </w:tcPr>
          <w:p>
            <w:pPr>
              <w:ind w:left="120"/>
              <w:spacing w:after="0"/>
              <w:rPr>
                <w:sz w:val="20"/>
                <w:szCs w:val="20"/>
                <w:color w:val="auto"/>
              </w:rPr>
            </w:pPr>
            <w:r>
              <w:rPr>
                <w:rFonts w:ascii="Arial" w:cs="Arial" w:eastAsia="Arial" w:hAnsi="Arial"/>
                <w:sz w:val="14"/>
                <w:szCs w:val="14"/>
                <w:color w:val="auto"/>
              </w:rPr>
              <w:t>transformational change as a result of advances in technology and</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740" w:type="dxa"/>
            <w:vAlign w:val="bottom"/>
          </w:tcPr>
          <w:p>
            <w:pPr>
              <w:ind w:left="120"/>
              <w:spacing w:after="0"/>
              <w:rPr>
                <w:sz w:val="20"/>
                <w:szCs w:val="20"/>
                <w:color w:val="auto"/>
              </w:rPr>
            </w:pPr>
            <w:r>
              <w:rPr>
                <w:rFonts w:ascii="Arial" w:cs="Arial" w:eastAsia="Arial" w:hAnsi="Arial"/>
                <w:sz w:val="14"/>
                <w:szCs w:val="14"/>
                <w:color w:val="auto"/>
              </w:rPr>
              <w:t>changing customer expectations about products and services. Directors</w:t>
            </w:r>
          </w:p>
        </w:tc>
        <w:tc>
          <w:tcPr>
            <w:tcW w:w="120" w:type="dxa"/>
            <w:vAlign w:val="bottom"/>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4740" w:type="dxa"/>
            <w:vAlign w:val="bottom"/>
          </w:tcPr>
          <w:p>
            <w:pPr>
              <w:ind w:left="40"/>
              <w:spacing w:after="0"/>
              <w:rPr>
                <w:sz w:val="20"/>
                <w:szCs w:val="20"/>
                <w:color w:val="auto"/>
              </w:rPr>
            </w:pPr>
            <w:r>
              <w:rPr>
                <w:rFonts w:ascii="Arial" w:cs="Arial" w:eastAsia="Arial" w:hAnsi="Arial"/>
                <w:sz w:val="14"/>
                <w:szCs w:val="14"/>
                <w:color w:val="auto"/>
              </w:rPr>
              <w:t>​ with experience in customer-facing businesses and new technology can</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003763"/>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175"/>
        </w:trPr>
        <w:tc>
          <w:tcPr>
            <w:tcW w:w="4740" w:type="dxa"/>
            <w:vAlign w:val="bottom"/>
          </w:tcPr>
          <w:p>
            <w:pPr>
              <w:ind w:left="120"/>
              <w:spacing w:after="0"/>
              <w:rPr>
                <w:sz w:val="20"/>
                <w:szCs w:val="20"/>
                <w:color w:val="auto"/>
              </w:rPr>
            </w:pPr>
            <w:r>
              <w:rPr>
                <w:rFonts w:ascii="Arial" w:cs="Arial" w:eastAsia="Arial" w:hAnsi="Arial"/>
                <w:sz w:val="14"/>
                <w:szCs w:val="14"/>
                <w:color w:val="auto"/>
              </w:rPr>
              <w:t>provide the Board with critical insights and perspectives on adapting to</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740" w:type="dxa"/>
            <w:vAlign w:val="bottom"/>
          </w:tcPr>
          <w:p>
            <w:pPr>
              <w:ind w:left="120"/>
              <w:spacing w:after="0"/>
              <w:rPr>
                <w:sz w:val="20"/>
                <w:szCs w:val="20"/>
                <w:color w:val="auto"/>
              </w:rPr>
            </w:pPr>
            <w:r>
              <w:rPr>
                <w:rFonts w:ascii="Arial" w:cs="Arial" w:eastAsia="Arial" w:hAnsi="Arial"/>
                <w:sz w:val="14"/>
                <w:szCs w:val="14"/>
                <w:color w:val="auto"/>
              </w:rPr>
              <w:t>and implementing new technologies to enhance the experience of our</w:t>
            </w:r>
          </w:p>
        </w:tc>
        <w:tc>
          <w:tcPr>
            <w:tcW w:w="120" w:type="dxa"/>
            <w:vAlign w:val="bottom"/>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customers.</w:t>
            </w:r>
          </w:p>
        </w:tc>
        <w:tc>
          <w:tcPr>
            <w:tcW w:w="12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03"/>
        </w:trPr>
        <w:tc>
          <w:tcPr>
            <w:tcW w:w="47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shd w:val="clear" w:color="auto" w:fill="F2F2F2"/>
          </w:tcPr>
          <w:p>
            <w:pPr>
              <w:spacing w:after="0"/>
              <w:rPr>
                <w:sz w:val="8"/>
                <w:szCs w:val="8"/>
                <w:color w:val="auto"/>
              </w:rPr>
            </w:pPr>
          </w:p>
        </w:tc>
        <w:tc>
          <w:tcPr>
            <w:tcW w:w="30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r>
      <w:tr>
        <w:trPr>
          <w:trHeight w:val="227"/>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 xml:space="preserve">Cybersecurity and Physical Security: </w:t>
            </w:r>
            <w:r>
              <w:rPr>
                <w:rFonts w:ascii="Arial" w:cs="Arial" w:eastAsia="Arial" w:hAnsi="Arial"/>
                <w:sz w:val="14"/>
                <w:szCs w:val="14"/>
                <w:color w:val="auto"/>
              </w:rPr>
              <w:t>Maintaining the security of our</w:t>
            </w:r>
          </w:p>
        </w:tc>
        <w:tc>
          <w:tcPr>
            <w:tcW w:w="12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40" w:type="dxa"/>
            <w:vAlign w:val="bottom"/>
          </w:tcPr>
          <w:p>
            <w:pPr>
              <w:ind w:left="120"/>
              <w:spacing w:after="0"/>
              <w:rPr>
                <w:sz w:val="20"/>
                <w:szCs w:val="20"/>
                <w:color w:val="auto"/>
              </w:rPr>
            </w:pPr>
            <w:r>
              <w:rPr>
                <w:rFonts w:ascii="Arial" w:cs="Arial" w:eastAsia="Arial" w:hAnsi="Arial"/>
                <w:sz w:val="14"/>
                <w:szCs w:val="14"/>
                <w:color w:val="auto"/>
              </w:rPr>
              <w:t>assets, both physical and digital, is critical to our success. Therefore, we</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4740" w:type="dxa"/>
            <w:vAlign w:val="bottom"/>
          </w:tcPr>
          <w:p>
            <w:pPr>
              <w:ind w:left="40"/>
              <w:spacing w:after="0"/>
              <w:rPr>
                <w:sz w:val="20"/>
                <w:szCs w:val="20"/>
                <w:color w:val="auto"/>
              </w:rPr>
            </w:pPr>
            <w:r>
              <w:rPr>
                <w:rFonts w:ascii="Arial" w:cs="Arial" w:eastAsia="Arial" w:hAnsi="Arial"/>
                <w:sz w:val="14"/>
                <w:szCs w:val="14"/>
                <w:color w:val="auto"/>
              </w:rPr>
              <w:t>​ seek out directors with experience in managing or overseeing these risks</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6"/>
        </w:trPr>
        <w:tc>
          <w:tcPr>
            <w:tcW w:w="4740" w:type="dxa"/>
            <w:vAlign w:val="bottom"/>
          </w:tcPr>
          <w:p>
            <w:pPr>
              <w:ind w:left="120"/>
              <w:spacing w:after="0"/>
              <w:rPr>
                <w:sz w:val="20"/>
                <w:szCs w:val="20"/>
                <w:color w:val="auto"/>
              </w:rPr>
            </w:pPr>
            <w:r>
              <w:rPr>
                <w:rFonts w:ascii="Arial" w:cs="Arial" w:eastAsia="Arial" w:hAnsi="Arial"/>
                <w:sz w:val="14"/>
                <w:szCs w:val="14"/>
                <w:color w:val="auto"/>
              </w:rPr>
              <w:t>and who can provide valuable insight to the Board in connection with its</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oversight of these matters.</w:t>
            </w:r>
          </w:p>
        </w:tc>
        <w:tc>
          <w:tcPr>
            <w:tcW w:w="12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4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1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1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r>
        <w:trPr>
          <w:trHeight w:val="227"/>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 xml:space="preserve">Strategic Planning: </w:t>
            </w:r>
            <w:r>
              <w:rPr>
                <w:rFonts w:ascii="Arial" w:cs="Arial" w:eastAsia="Arial" w:hAnsi="Arial"/>
                <w:sz w:val="14"/>
                <w:szCs w:val="14"/>
                <w:color w:val="auto"/>
              </w:rPr>
              <w:t>As CenterPoint Energy continues to execute on its</w:t>
            </w:r>
          </w:p>
        </w:tc>
        <w:tc>
          <w:tcPr>
            <w:tcW w:w="120" w:type="dxa"/>
            <w:vAlign w:val="bottom"/>
          </w:tcPr>
          <w:p>
            <w:pPr>
              <w:spacing w:after="0"/>
              <w:rPr>
                <w:sz w:val="19"/>
                <w:szCs w:val="19"/>
                <w:color w:val="auto"/>
              </w:rPr>
            </w:pPr>
          </w:p>
        </w:tc>
        <w:tc>
          <w:tcPr>
            <w:tcW w:w="8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r>
      <w:tr>
        <w:trPr>
          <w:trHeight w:val="175"/>
        </w:trPr>
        <w:tc>
          <w:tcPr>
            <w:tcW w:w="4740" w:type="dxa"/>
            <w:vAlign w:val="bottom"/>
          </w:tcPr>
          <w:p>
            <w:pPr>
              <w:ind w:left="120"/>
              <w:spacing w:after="0"/>
              <w:rPr>
                <w:sz w:val="20"/>
                <w:szCs w:val="20"/>
                <w:color w:val="auto"/>
              </w:rPr>
            </w:pPr>
            <w:r>
              <w:rPr>
                <w:rFonts w:ascii="Arial" w:cs="Arial" w:eastAsia="Arial" w:hAnsi="Arial"/>
                <w:sz w:val="14"/>
                <w:szCs w:val="14"/>
                <w:color w:val="auto"/>
              </w:rPr>
              <w:t>long-term strategy, including the transition to a pure-play utility, we seek</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44"/>
        </w:trPr>
        <w:tc>
          <w:tcPr>
            <w:tcW w:w="4740" w:type="dxa"/>
            <w:vAlign w:val="bottom"/>
          </w:tcPr>
          <w:p>
            <w:pPr>
              <w:ind w:left="120"/>
              <w:spacing w:after="0" w:line="145" w:lineRule="exact"/>
              <w:rPr>
                <w:sz w:val="20"/>
                <w:szCs w:val="20"/>
                <w:color w:val="auto"/>
              </w:rPr>
            </w:pPr>
            <w:r>
              <w:rPr>
                <w:rFonts w:ascii="Arial" w:cs="Arial" w:eastAsia="Arial" w:hAnsi="Arial"/>
                <w:sz w:val="14"/>
                <w:szCs w:val="14"/>
                <w:color w:val="auto"/>
              </w:rPr>
              <w:t>directors who have experience with strategic transactions and strategic</w:t>
            </w:r>
          </w:p>
        </w:tc>
        <w:tc>
          <w:tcPr>
            <w:tcW w:w="120" w:type="dxa"/>
            <w:vAlign w:val="bottom"/>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r>
      <w:tr>
        <w:trPr>
          <w:trHeight w:val="193"/>
        </w:trPr>
        <w:tc>
          <w:tcPr>
            <w:tcW w:w="4740" w:type="dxa"/>
            <w:vAlign w:val="bottom"/>
          </w:tcPr>
          <w:p>
            <w:pPr>
              <w:ind w:left="4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planning in overseeing the Company’s continued execution of its long-</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76"/>
        </w:trPr>
        <w:tc>
          <w:tcPr>
            <w:tcW w:w="4740" w:type="dxa"/>
            <w:vAlign w:val="bottom"/>
          </w:tcPr>
          <w:p>
            <w:pPr>
              <w:ind w:left="120"/>
              <w:spacing w:after="0"/>
              <w:rPr>
                <w:sz w:val="20"/>
                <w:szCs w:val="20"/>
                <w:color w:val="auto"/>
              </w:rPr>
            </w:pPr>
            <w:r>
              <w:rPr>
                <w:rFonts w:ascii="Arial" w:cs="Arial" w:eastAsia="Arial" w:hAnsi="Arial"/>
                <w:sz w:val="14"/>
                <w:szCs w:val="14"/>
                <w:color w:val="auto"/>
              </w:rPr>
              <w:t>term strategy as well as development of future plans and strategies for</w:t>
            </w:r>
          </w:p>
        </w:tc>
        <w:tc>
          <w:tcPr>
            <w:tcW w:w="120" w:type="dxa"/>
            <w:vAlign w:val="bottom"/>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90"/>
        </w:trPr>
        <w:tc>
          <w:tcPr>
            <w:tcW w:w="4740" w:type="dxa"/>
            <w:vAlign w:val="bottom"/>
          </w:tcPr>
          <w:p>
            <w:pPr>
              <w:ind w:left="120"/>
              <w:spacing w:after="0"/>
              <w:rPr>
                <w:sz w:val="20"/>
                <w:szCs w:val="20"/>
                <w:color w:val="auto"/>
              </w:rPr>
            </w:pPr>
            <w:r>
              <w:rPr>
                <w:rFonts w:ascii="Arial" w:cs="Arial" w:eastAsia="Arial" w:hAnsi="Arial"/>
                <w:sz w:val="14"/>
                <w:szCs w:val="14"/>
                <w:color w:val="auto"/>
              </w:rPr>
              <w:t>the Company.</w:t>
            </w:r>
          </w:p>
        </w:tc>
        <w:tc>
          <w:tcPr>
            <w:tcW w:w="12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76"/>
        </w:trPr>
        <w:tc>
          <w:tcPr>
            <w:tcW w:w="4740" w:type="dxa"/>
            <w:vAlign w:val="bottom"/>
            <w:tcBorders>
              <w:bottom w:val="single" w:sz="8" w:color="CCCCCC"/>
            </w:tcBorders>
          </w:tcPr>
          <w:p>
            <w:pPr>
              <w:spacing w:after="0"/>
              <w:rPr>
                <w:sz w:val="6"/>
                <w:szCs w:val="6"/>
                <w:color w:val="auto"/>
              </w:rPr>
            </w:pPr>
          </w:p>
        </w:tc>
        <w:tc>
          <w:tcPr>
            <w:tcW w:w="120" w:type="dxa"/>
            <w:vAlign w:val="bottom"/>
            <w:tcBorders>
              <w:bottom w:val="single" w:sz="8" w:color="CCCCCC"/>
            </w:tcBorders>
          </w:tcPr>
          <w:p>
            <w:pPr>
              <w:spacing w:after="0"/>
              <w:rPr>
                <w:sz w:val="6"/>
                <w:szCs w:val="6"/>
                <w:color w:val="auto"/>
              </w:rPr>
            </w:pPr>
          </w:p>
        </w:tc>
        <w:tc>
          <w:tcPr>
            <w:tcW w:w="80" w:type="dxa"/>
            <w:vAlign w:val="bottom"/>
            <w:tcBorders>
              <w:bottom w:val="single" w:sz="8" w:color="CCCCCC"/>
            </w:tcBorders>
            <w:shd w:val="clear" w:color="auto" w:fill="F2F2F2"/>
          </w:tcPr>
          <w:p>
            <w:pPr>
              <w:spacing w:after="0"/>
              <w:rPr>
                <w:sz w:val="6"/>
                <w:szCs w:val="6"/>
                <w:color w:val="auto"/>
              </w:rPr>
            </w:pPr>
          </w:p>
        </w:tc>
        <w:tc>
          <w:tcPr>
            <w:tcW w:w="30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180" w:type="dxa"/>
            <w:vAlign w:val="bottom"/>
            <w:tcBorders>
              <w:bottom w:val="single" w:sz="8" w:color="CCCCCC"/>
            </w:tcBorders>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180" w:type="dxa"/>
            <w:vAlign w:val="bottom"/>
            <w:tcBorders>
              <w:bottom w:val="single" w:sz="8" w:color="CCCCCC"/>
            </w:tcBorders>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60" w:type="dxa"/>
            <w:vAlign w:val="bottom"/>
            <w:tcBorders>
              <w:bottom w:val="single" w:sz="8" w:color="CCCCCC"/>
            </w:tcBorders>
          </w:tcPr>
          <w:p>
            <w:pPr>
              <w:spacing w:after="0"/>
              <w:rPr>
                <w:sz w:val="6"/>
                <w:szCs w:val="6"/>
                <w:color w:val="auto"/>
              </w:rPr>
            </w:pPr>
          </w:p>
        </w:tc>
        <w:tc>
          <w:tcPr>
            <w:tcW w:w="200" w:type="dxa"/>
            <w:vAlign w:val="bottom"/>
            <w:tcBorders>
              <w:bottom w:val="single" w:sz="8" w:color="CCCCCC"/>
            </w:tcBorders>
          </w:tcPr>
          <w:p>
            <w:pPr>
              <w:spacing w:after="0"/>
              <w:rPr>
                <w:sz w:val="6"/>
                <w:szCs w:val="6"/>
                <w:color w:val="auto"/>
              </w:rPr>
            </w:pPr>
          </w:p>
        </w:tc>
        <w:tc>
          <w:tcPr>
            <w:tcW w:w="140" w:type="dxa"/>
            <w:vAlign w:val="bottom"/>
            <w:tcBorders>
              <w:bottom w:val="single" w:sz="8" w:color="CCCCCC"/>
            </w:tcBorders>
          </w:tcPr>
          <w:p>
            <w:pPr>
              <w:spacing w:after="0"/>
              <w:rPr>
                <w:sz w:val="6"/>
                <w:szCs w:val="6"/>
                <w:color w:val="auto"/>
              </w:rPr>
            </w:pPr>
          </w:p>
        </w:tc>
        <w:tc>
          <w:tcPr>
            <w:tcW w:w="280" w:type="dxa"/>
            <w:vAlign w:val="bottom"/>
            <w:tcBorders>
              <w:bottom w:val="single" w:sz="8" w:color="CCCCCC"/>
            </w:tcBorders>
            <w:shd w:val="clear" w:color="auto" w:fill="F2F2F2"/>
          </w:tcPr>
          <w:p>
            <w:pPr>
              <w:spacing w:after="0"/>
              <w:rPr>
                <w:sz w:val="6"/>
                <w:szCs w:val="6"/>
                <w:color w:val="auto"/>
              </w:rPr>
            </w:pPr>
          </w:p>
        </w:tc>
        <w:tc>
          <w:tcPr>
            <w:tcW w:w="120" w:type="dxa"/>
            <w:vAlign w:val="bottom"/>
            <w:tcBorders>
              <w:bottom w:val="single" w:sz="8" w:color="CCCCCC"/>
            </w:tcBorders>
            <w:shd w:val="clear" w:color="auto" w:fill="F2F2F2"/>
          </w:tcPr>
          <w:p>
            <w:pPr>
              <w:spacing w:after="0"/>
              <w:rPr>
                <w:sz w:val="6"/>
                <w:szCs w:val="6"/>
                <w:color w:val="auto"/>
              </w:rPr>
            </w:pPr>
          </w:p>
        </w:tc>
      </w:tr>
      <w:tr>
        <w:trPr>
          <w:trHeight w:val="241"/>
        </w:trPr>
        <w:tc>
          <w:tcPr>
            <w:tcW w:w="4740" w:type="dxa"/>
            <w:vAlign w:val="bottom"/>
          </w:tcPr>
          <w:p>
            <w:pPr>
              <w:ind w:left="100"/>
              <w:spacing w:after="0"/>
              <w:rPr>
                <w:sz w:val="20"/>
                <w:szCs w:val="20"/>
                <w:color w:val="auto"/>
              </w:rPr>
            </w:pPr>
            <w:r>
              <w:rPr>
                <w:rFonts w:ascii="Arial" w:cs="Arial" w:eastAsia="Arial" w:hAnsi="Arial"/>
                <w:sz w:val="14"/>
                <w:szCs w:val="14"/>
                <w:b w:val="1"/>
                <w:bCs w:val="1"/>
                <w:color w:val="auto"/>
              </w:rPr>
              <w:t xml:space="preserve">Energy Transition: </w:t>
            </w:r>
            <w:r>
              <w:rPr>
                <w:rFonts w:ascii="Arial" w:cs="Arial" w:eastAsia="Arial" w:hAnsi="Arial"/>
                <w:sz w:val="14"/>
                <w:szCs w:val="14"/>
                <w:color w:val="auto"/>
              </w:rPr>
              <w:t>Directors with experience overseeing or advising on</w:t>
            </w:r>
          </w:p>
        </w:tc>
        <w:tc>
          <w:tcPr>
            <w:tcW w:w="120" w:type="dxa"/>
            <w:vAlign w:val="bottom"/>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30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r>
      <w:tr>
        <w:trPr>
          <w:trHeight w:val="175"/>
        </w:trPr>
        <w:tc>
          <w:tcPr>
            <w:tcW w:w="4740" w:type="dxa"/>
            <w:vAlign w:val="bottom"/>
          </w:tcPr>
          <w:p>
            <w:pPr>
              <w:ind w:left="40"/>
              <w:spacing w:after="0"/>
              <w:rPr>
                <w:sz w:val="20"/>
                <w:szCs w:val="20"/>
                <w:color w:val="auto"/>
              </w:rPr>
            </w:pPr>
            <w:r>
              <w:rPr>
                <w:rFonts w:ascii="Arial" w:cs="Arial" w:eastAsia="Arial" w:hAnsi="Arial"/>
                <w:sz w:val="14"/>
                <w:szCs w:val="14"/>
                <w:color w:val="auto"/>
              </w:rPr>
              <w:t>​energy transition matters will help to ensure that we understand and</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003763"/>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003763"/>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003763"/>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003763"/>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r>
      <w:tr>
        <w:trPr>
          <w:trHeight w:val="190"/>
        </w:trPr>
        <w:tc>
          <w:tcPr>
            <w:tcW w:w="4740" w:type="dxa"/>
            <w:vAlign w:val="bottom"/>
          </w:tcPr>
          <w:p>
            <w:pPr>
              <w:ind w:left="100"/>
              <w:spacing w:after="0"/>
              <w:rPr>
                <w:sz w:val="20"/>
                <w:szCs w:val="20"/>
                <w:color w:val="auto"/>
              </w:rPr>
            </w:pPr>
            <w:r>
              <w:rPr>
                <w:rFonts w:ascii="Arial" w:cs="Arial" w:eastAsia="Arial" w:hAnsi="Arial"/>
                <w:sz w:val="14"/>
                <w:szCs w:val="14"/>
                <w:color w:val="auto"/>
              </w:rPr>
              <w:t>manage the related risks and opportunities effectively.</w:t>
            </w:r>
          </w:p>
        </w:tc>
        <w:tc>
          <w:tcPr>
            <w:tcW w:w="120" w:type="dxa"/>
            <w:vAlign w:val="bottom"/>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r>
      <w:tr>
        <w:trPr>
          <w:trHeight w:val="89"/>
        </w:trPr>
        <w:tc>
          <w:tcPr>
            <w:tcW w:w="4740" w:type="dxa"/>
            <w:vAlign w:val="bottom"/>
            <w:tcBorders>
              <w:bottom w:val="single" w:sz="8" w:color="CCCCCC"/>
            </w:tcBorders>
          </w:tcPr>
          <w:p>
            <w:pPr>
              <w:spacing w:after="0"/>
              <w:rPr>
                <w:sz w:val="7"/>
                <w:szCs w:val="7"/>
                <w:color w:val="auto"/>
              </w:rPr>
            </w:pPr>
          </w:p>
        </w:tc>
        <w:tc>
          <w:tcPr>
            <w:tcW w:w="12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1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180" w:type="dxa"/>
            <w:vAlign w:val="bottom"/>
            <w:tcBorders>
              <w:bottom w:val="single" w:sz="8" w:color="CCCCCC"/>
            </w:tcBorders>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60" w:type="dxa"/>
            <w:vAlign w:val="bottom"/>
            <w:tcBorders>
              <w:bottom w:val="single" w:sz="8" w:color="CCCCCC"/>
            </w:tcBorders>
          </w:tcPr>
          <w:p>
            <w:pPr>
              <w:spacing w:after="0"/>
              <w:rPr>
                <w:sz w:val="7"/>
                <w:szCs w:val="7"/>
                <w:color w:val="auto"/>
              </w:rPr>
            </w:pPr>
          </w:p>
        </w:tc>
        <w:tc>
          <w:tcPr>
            <w:tcW w:w="2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120" w:type="dxa"/>
            <w:vAlign w:val="bottom"/>
            <w:tcBorders>
              <w:bottom w:val="single" w:sz="8" w:color="CCCCCC"/>
            </w:tcBorders>
            <w:shd w:val="clear" w:color="auto" w:fill="F2F2F2"/>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-1885315</wp:posOffset>
            </wp:positionV>
            <wp:extent cx="214630" cy="1877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630" cy="187769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80"/>
        <w:spacing w:after="0" w:line="278" w:lineRule="auto"/>
        <w:rPr>
          <w:sz w:val="20"/>
          <w:szCs w:val="20"/>
          <w:color w:val="auto"/>
        </w:rPr>
      </w:pPr>
      <w:r>
        <w:rPr>
          <w:rFonts w:ascii="Arial" w:cs="Arial" w:eastAsia="Arial" w:hAnsi="Arial"/>
          <w:sz w:val="16"/>
          <w:szCs w:val="16"/>
          <w:color w:val="auto"/>
        </w:rPr>
        <w:t>Listed below are the biographies of each director nominee. The biographies include information regarding each individual’s service as a director of the Company, business and public company board experience for at least the past five years, and the experiences, qualifications, attributes, or skills that led the Governance Committee and the Board to determine that the person was supportive to the oversight and execution of the Company’s near- and long-term strategy and therefore should serve as a director for the Company.</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eleven nominees for election at the Annual Meeting are: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spacing w:after="0"/>
        <w:tabs>
          <w:tab w:leader="none" w:pos="6760" w:val="left"/>
          <w:tab w:leader="none" w:pos="99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7458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745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FFFFFF"/>
              </w:rPr>
              <w:t>Wendy Montoya Cloonan</w:t>
            </w:r>
          </w:p>
        </w:tc>
        <w:tc>
          <w:tcPr>
            <w:tcW w:w="2780" w:type="dxa"/>
            <w:vAlign w:val="bottom"/>
            <w:vMerge w:val="restart"/>
          </w:tcPr>
          <w:p>
            <w:pPr>
              <w:ind w:left="27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6240" w:type="dxa"/>
            <w:vAlign w:val="bottom"/>
            <w:vMerge w:val="restart"/>
          </w:tcPr>
          <w:p>
            <w:pPr>
              <w:spacing w:after="0"/>
              <w:rPr>
                <w:sz w:val="20"/>
                <w:szCs w:val="20"/>
                <w:color w:val="auto"/>
              </w:rPr>
            </w:pPr>
            <w:r>
              <w:rPr>
                <w:rFonts w:ascii="Arial" w:cs="Arial" w:eastAsia="Arial" w:hAnsi="Arial"/>
                <w:sz w:val="16"/>
                <w:szCs w:val="16"/>
                <w:color w:val="FFFFFF"/>
              </w:rPr>
              <w:t>Managing Partner at Cantu Harden Montoya LLP</w:t>
            </w:r>
            <w:r>
              <w:rPr>
                <w:rFonts w:ascii="Arial" w:cs="Arial" w:eastAsia="Arial" w:hAnsi="Arial"/>
                <w:sz w:val="17"/>
                <w:szCs w:val="17"/>
                <w:color w:val="FFFFFF"/>
              </w:rPr>
              <w:t>​</w:t>
            </w: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45</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2021</w:t>
      </w:r>
    </w:p>
    <w:p>
      <w:pPr>
        <w:spacing w:after="0" w:line="192"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1060" w:hanging="167"/>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Governance (Chair)</w:t>
      </w:r>
    </w:p>
    <w:p>
      <w:pPr>
        <w:spacing w:after="0" w:line="36" w:lineRule="exact"/>
        <w:rPr>
          <w:rFonts w:ascii="Arial" w:cs="Arial" w:eastAsia="Arial" w:hAnsi="Arial"/>
          <w:sz w:val="15"/>
          <w:szCs w:val="15"/>
          <w:color w:val="auto"/>
        </w:rPr>
      </w:pPr>
    </w:p>
    <w:p>
      <w:pPr>
        <w:ind w:left="1060" w:right="40" w:hanging="167"/>
        <w:spacing w:after="0" w:line="286"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Human Capital and Compensation</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320" w:hanging="156"/>
        <w:spacing w:after="0" w:line="258" w:lineRule="auto"/>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Government, Legal, and Regulatory—</w:t>
      </w:r>
      <w:r>
        <w:rPr>
          <w:rFonts w:ascii="Arial" w:cs="Arial" w:eastAsia="Arial" w:hAnsi="Arial"/>
          <w:sz w:val="15"/>
          <w:szCs w:val="15"/>
          <w:i w:val="1"/>
          <w:iCs w:val="1"/>
          <w:color w:val="auto"/>
        </w:rPr>
        <w:t>As a public law attorney and a Commissioner of the Port</w:t>
      </w:r>
      <w:r>
        <w:rPr>
          <w:rFonts w:ascii="Arial" w:cs="Arial" w:eastAsia="Arial" w:hAnsi="Arial"/>
          <w:sz w:val="15"/>
          <w:szCs w:val="15"/>
          <w:color w:val="auto"/>
        </w:rPr>
        <w:t xml:space="preserve"> </w:t>
      </w:r>
      <w:r>
        <w:rPr>
          <w:rFonts w:ascii="Arial" w:cs="Arial" w:eastAsia="Arial" w:hAnsi="Arial"/>
          <w:sz w:val="15"/>
          <w:szCs w:val="15"/>
          <w:i w:val="1"/>
          <w:iCs w:val="1"/>
          <w:color w:val="auto"/>
        </w:rPr>
        <w:t>Authority of Houston, Ms. Cloonan brings beneficial experience addressing the relationship among national, state, and local governments and businesses and individuals in our service territory. This experience helps the Board oversee and support the relationship between the Company and its various regulators as the Company continues to execute on its ten-year capital plan.</w:t>
      </w:r>
    </w:p>
    <w:p>
      <w:pPr>
        <w:spacing w:after="0" w:line="17" w:lineRule="exact"/>
        <w:rPr>
          <w:rFonts w:ascii="Arial" w:cs="Arial" w:eastAsia="Arial" w:hAnsi="Arial"/>
          <w:sz w:val="15"/>
          <w:szCs w:val="15"/>
          <w:color w:val="auto"/>
        </w:rPr>
      </w:pPr>
    </w:p>
    <w:p>
      <w:pPr>
        <w:ind w:left="320" w:right="320" w:hanging="156"/>
        <w:spacing w:after="0" w:line="273" w:lineRule="auto"/>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Community Involvement—</w:t>
      </w:r>
      <w:r>
        <w:rPr>
          <w:rFonts w:ascii="Arial" w:cs="Arial" w:eastAsia="Arial" w:hAnsi="Arial"/>
          <w:sz w:val="15"/>
          <w:szCs w:val="15"/>
          <w:i w:val="1"/>
          <w:iCs w:val="1"/>
          <w:color w:val="auto"/>
        </w:rPr>
        <w:t>As someone who has deep ties to the Houston community, Ms. Cloonan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provides valuable insights regarding how the Company’s policies, and short- and long-term plans, impact our communities.</w:t>
      </w:r>
    </w:p>
    <w:p>
      <w:pPr>
        <w:spacing w:after="0" w:line="5" w:lineRule="exact"/>
        <w:rPr>
          <w:rFonts w:ascii="Arial" w:cs="Arial" w:eastAsia="Arial" w:hAnsi="Arial"/>
          <w:sz w:val="15"/>
          <w:szCs w:val="15"/>
          <w:color w:val="auto"/>
        </w:rPr>
      </w:pPr>
    </w:p>
    <w:p>
      <w:pPr>
        <w:ind w:left="320" w:right="240" w:hanging="156"/>
        <w:spacing w:after="0" w:line="256" w:lineRule="auto"/>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Risk Management—</w:t>
      </w:r>
      <w:r>
        <w:rPr>
          <w:rFonts w:ascii="Arial" w:cs="Arial" w:eastAsia="Arial" w:hAnsi="Arial"/>
          <w:sz w:val="15"/>
          <w:szCs w:val="15"/>
          <w:i w:val="1"/>
          <w:iCs w:val="1"/>
          <w:color w:val="auto"/>
        </w:rPr>
        <w:t>As a Commissioner of the Port Authority of Houston, the largest port in tonnage</w:t>
      </w:r>
      <w:r>
        <w:rPr>
          <w:rFonts w:ascii="Arial" w:cs="Arial" w:eastAsia="Arial" w:hAnsi="Arial"/>
          <w:sz w:val="15"/>
          <w:szCs w:val="15"/>
          <w:color w:val="auto"/>
        </w:rPr>
        <w:t xml:space="preserve"> </w:t>
      </w:r>
      <w:r>
        <w:rPr>
          <w:rFonts w:ascii="Arial" w:cs="Arial" w:eastAsia="Arial" w:hAnsi="Arial"/>
          <w:sz w:val="15"/>
          <w:szCs w:val="15"/>
          <w:i w:val="1"/>
          <w:iCs w:val="1"/>
          <w:color w:val="auto"/>
        </w:rPr>
        <w:t>and busiest waterway in the nation, Ms. Cloonan sets policies and guides the port in a constantly evolving environment balancing leading-edge technologies, including billion-dollar improvements in productivity, reliability, and resiliency, with environmental compliance and community initiatives. In addition, Ms. Cloonan’s experience advising clients on capital projects within legal, compliance, and regulatory frameworks brings a critical perspective to the Board’s enterprise risk management oversight role.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right="200" w:hanging="156"/>
        <w:spacing w:after="0" w:line="283"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Managing Partner (2025 – Present) and previously Houston Managing Partner (2023 – 2024) at Cantu Harden Montoya LLP, a public law and public finance firm</w:t>
      </w:r>
    </w:p>
    <w:p>
      <w:pPr>
        <w:spacing w:after="0" w:line="11" w:lineRule="exact"/>
        <w:rPr>
          <w:rFonts w:ascii="Arial" w:cs="Arial" w:eastAsia="Arial" w:hAnsi="Arial"/>
          <w:sz w:val="15"/>
          <w:szCs w:val="15"/>
          <w:color w:val="auto"/>
        </w:rPr>
      </w:pPr>
    </w:p>
    <w:p>
      <w:pPr>
        <w:ind w:left="320" w:right="740" w:hanging="156"/>
        <w:spacing w:after="0" w:line="281"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Founder and Sole Shareholder (Aug. 2019 – Dec. 2022) of The Law Office of Wendy Montoya Cloonan, PLLC, a public law and public finance firm based in Houston, Texas</w:t>
      </w:r>
    </w:p>
    <w:p>
      <w:pPr>
        <w:spacing w:after="0" w:line="1" w:lineRule="exact"/>
        <w:rPr>
          <w:rFonts w:ascii="Arial" w:cs="Arial" w:eastAsia="Arial" w:hAnsi="Arial"/>
          <w:sz w:val="15"/>
          <w:szCs w:val="15"/>
          <w:color w:val="auto"/>
        </w:rPr>
      </w:pPr>
    </w:p>
    <w:p>
      <w:pPr>
        <w:ind w:left="320" w:right="160" w:hanging="156"/>
        <w:spacing w:after="0" w:line="263"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Senior Program Officer in Education, Assistant General Counsel and Director of Legal (Feb. 2015 –  July 2019) at the Houston Endowment, Inc., a private foundation that partners with other organizations in the non-profit, public, and private sectors to improve quality of life for the residents of greater Houston</w:t>
      </w:r>
    </w:p>
    <w:p>
      <w:pPr>
        <w:spacing w:after="0" w:line="26" w:lineRule="exact"/>
        <w:rPr>
          <w:rFonts w:ascii="Arial" w:cs="Arial" w:eastAsia="Arial" w:hAnsi="Arial"/>
          <w:sz w:val="15"/>
          <w:szCs w:val="15"/>
          <w:color w:val="auto"/>
        </w:rPr>
      </w:pPr>
    </w:p>
    <w:p>
      <w:pPr>
        <w:ind w:left="320" w:right="240" w:hanging="156"/>
        <w:spacing w:after="0" w:line="283" w:lineRule="auto"/>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Public law and finance attorney at Hunton Andrews Kurth LLP (formerly Andrews Kurth LLP) (2013 –  2015), Schwartz, Page &amp; Harding, L.L.P. (2011 – 2013) and Vinson &amp; Elkins L.L.P. (2006 – 2011)</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86" w:lineRule="exact"/>
        <w:rPr>
          <w:sz w:val="20"/>
          <w:szCs w:val="20"/>
          <w:color w:val="auto"/>
        </w:rPr>
      </w:pPr>
    </w:p>
    <w:p>
      <w:pPr>
        <w:ind w:left="320" w:right="640" w:hanging="156"/>
        <w:spacing w:after="0" w:line="263"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Commissioner—Port Authority of Houston and Chair Business Equity/Procurement Committee, Community Relations Committee, Governance Committee, Audit Committee, Compensation Committee, Dredge Task Force Committee (2019 – Present)</w:t>
      </w:r>
    </w:p>
    <w:p>
      <w:pPr>
        <w:spacing w:after="0" w:line="26" w:lineRule="exact"/>
        <w:rPr>
          <w:rFonts w:ascii="Arial" w:cs="Arial" w:eastAsia="Arial" w:hAnsi="Arial"/>
          <w:sz w:val="15"/>
          <w:szCs w:val="15"/>
          <w:color w:val="auto"/>
        </w:rPr>
      </w:pPr>
    </w:p>
    <w:p>
      <w:pPr>
        <w:ind w:left="320" w:right="500" w:hanging="156"/>
        <w:spacing w:after="0" w:line="281"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Vice Chair (2024 – Present) and Board Member (2021 – Present)—Harris County Hospital District Foundation</w:t>
      </w:r>
    </w:p>
    <w:p>
      <w:pPr>
        <w:spacing w:after="0" w:line="1" w:lineRule="exact"/>
        <w:rPr>
          <w:rFonts w:ascii="Arial" w:cs="Arial" w:eastAsia="Arial" w:hAnsi="Arial"/>
          <w:sz w:val="15"/>
          <w:szCs w:val="15"/>
          <w:color w:val="auto"/>
        </w:rPr>
      </w:pPr>
    </w:p>
    <w:p>
      <w:pPr>
        <w:ind w:left="320" w:right="220" w:hanging="156"/>
        <w:spacing w:after="0" w:line="300"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Secretary (2023 – Present) and Board Member (2021 – Present)—ALMAAHH—Advocates of a Latino Museum of Art &amp; Architecture Houston/Harris County</w:t>
      </w:r>
    </w:p>
    <w:p>
      <w:pPr>
        <w:ind w:left="320" w:hanging="156"/>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Board Member—Houston Parks Board (2023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Chair (2024 – Present) and Board Member (2023 – Present), Harris County One For All Foundation</w:t>
      </w:r>
    </w:p>
    <w:p>
      <w:pPr>
        <w:spacing w:after="0" w:line="57" w:lineRule="exact"/>
        <w:rPr>
          <w:rFonts w:ascii="Arial" w:cs="Arial" w:eastAsia="Arial" w:hAnsi="Arial"/>
          <w:sz w:val="15"/>
          <w:szCs w:val="15"/>
          <w:color w:val="auto"/>
        </w:rPr>
      </w:pPr>
    </w:p>
    <w:p>
      <w:pPr>
        <w:ind w:left="320" w:right="360" w:hanging="156"/>
        <w:spacing w:after="0" w:line="283"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Chapter President-Elect (2023 – 2024) and Chapter President (2024 – Present)—Young Men’s (and Mothers) Service League</w:t>
      </w:r>
    </w:p>
    <w:p>
      <w:pPr>
        <w:spacing w:after="0" w:line="11" w:lineRule="exact"/>
        <w:rPr>
          <w:rFonts w:ascii="Arial" w:cs="Arial" w:eastAsia="Arial" w:hAnsi="Arial"/>
          <w:sz w:val="15"/>
          <w:szCs w:val="15"/>
          <w:color w:val="auto"/>
        </w:rPr>
      </w:pPr>
    </w:p>
    <w:p>
      <w:pPr>
        <w:ind w:left="320" w:hanging="156"/>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Board Member—Kinder High School for the Performing &amp; Visual Arts (2024 – Present)</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 Yale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M.P.P., John F. Kennedy School of Government, Harvard University</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J.D., with Honors, The University of Texas School of Law</w:t>
      </w:r>
    </w:p>
    <w:p>
      <w:pPr>
        <w:spacing w:after="0" w:line="44"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National Association of Corporate Directors (NACD) Directorship Certified</w:t>
      </w:r>
      <w:r>
        <w:rPr>
          <w:rFonts w:ascii="Arial" w:cs="Arial" w:eastAsia="Arial" w:hAnsi="Arial"/>
          <w:sz w:val="19"/>
          <w:szCs w:val="19"/>
          <w:color w:val="auto"/>
          <w:vertAlign w:val="superscript"/>
        </w:rPr>
        <w:t>®</w:t>
      </w:r>
    </w:p>
    <w:p>
      <w:pPr>
        <w:spacing w:after="0" w:line="45"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Harvard Business School Corporate Director Certificate (Governance, Audit, Compensation)</w:t>
      </w:r>
    </w:p>
    <w:p>
      <w:pPr>
        <w:spacing w:after="0" w:line="62"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Harvard Business School, Certificate in Financial Accounting</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CERT Certificate: Cybersecurity Oversight, Carnegie Mellon University Software Engineering</w:t>
      </w:r>
    </w:p>
    <w:p>
      <w:pPr>
        <w:spacing w:after="0" w:line="43" w:lineRule="exact"/>
        <w:rPr>
          <w:rFonts w:ascii="Arial" w:cs="Arial" w:eastAsia="Arial" w:hAnsi="Arial"/>
          <w:sz w:val="15"/>
          <w:szCs w:val="15"/>
          <w:color w:val="auto"/>
        </w:rPr>
      </w:pPr>
    </w:p>
    <w:p>
      <w:pPr>
        <w:ind w:left="320" w:right="400" w:hanging="156"/>
        <w:spacing w:after="0" w:line="301" w:lineRule="auto"/>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Digital Directors Network, Certificate in Systemic Cyber Risk Governance for U.S. Public Company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53340</wp:posOffset>
            </wp:positionV>
            <wp:extent cx="58807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80"/>
            <w:col w:w="7280"/>
          </w:cols>
          <w:pgMar w:left="580" w:top="97" w:right="1299" w:bottom="1440" w:gutter="0" w:footer="0" w:header="0"/>
          <w:type w:val="continuous"/>
        </w:sectPr>
      </w:pPr>
    </w:p>
    <w:p>
      <w:pPr>
        <w:spacing w:after="0" w:line="136"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0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8240" w:type="dxa"/>
            <w:vAlign w:val="bottom"/>
          </w:tcPr>
          <w:p>
            <w:pPr>
              <w:spacing w:after="0"/>
              <w:rPr>
                <w:sz w:val="20"/>
                <w:szCs w:val="20"/>
                <w:color w:val="auto"/>
              </w:rPr>
            </w:pPr>
            <w:r>
              <w:rPr>
                <w:rFonts w:ascii="Arial" w:cs="Arial" w:eastAsia="Arial" w:hAnsi="Arial"/>
                <w:sz w:val="18"/>
                <w:szCs w:val="18"/>
                <w:b w:val="1"/>
                <w:bCs w:val="1"/>
                <w:color w:val="FFFFFF"/>
              </w:rPr>
              <w:t>Barbara J. Duganier</w:t>
            </w:r>
          </w:p>
        </w:tc>
        <w:tc>
          <w:tcPr>
            <w:tcW w:w="780" w:type="dxa"/>
            <w:vAlign w:val="bottom"/>
            <w:vMerge w:val="restart"/>
          </w:tcPr>
          <w:p>
            <w:pPr>
              <w:ind w:left="7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8240" w:type="dxa"/>
            <w:vAlign w:val="bottom"/>
            <w:vMerge w:val="restart"/>
          </w:tcPr>
          <w:p>
            <w:pPr>
              <w:spacing w:after="0"/>
              <w:rPr>
                <w:sz w:val="20"/>
                <w:szCs w:val="20"/>
                <w:color w:val="auto"/>
              </w:rPr>
            </w:pPr>
            <w:r>
              <w:rPr>
                <w:rFonts w:ascii="Arial" w:cs="Arial" w:eastAsia="Arial" w:hAnsi="Arial"/>
                <w:sz w:val="16"/>
                <w:szCs w:val="16"/>
                <w:color w:val="FFFFFF"/>
              </w:rPr>
              <w:t>Former Managing Director and Global Chief Strategy Officer of the Outsourcing Business at Accenture plc</w:t>
            </w:r>
            <w:r>
              <w:rPr>
                <w:rFonts w:ascii="Arial" w:cs="Arial" w:eastAsia="Arial" w:hAnsi="Arial"/>
                <w:sz w:val="17"/>
                <w:szCs w:val="17"/>
                <w:color w:val="FFFFFF"/>
              </w:rPr>
              <w:t>​</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-1607185</wp:posOffset>
            </wp:positionV>
            <wp:extent cx="1242695" cy="7123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42695" cy="7123430"/>
                    </a:xfrm>
                    <a:prstGeom prst="rect">
                      <a:avLst/>
                    </a:prstGeom>
                    <a:noFill/>
                  </pic:spPr>
                </pic:pic>
              </a:graphicData>
            </a:graphic>
          </wp:anchor>
        </w:drawing>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Director Since</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Apr. 2024</w:t>
      </w:r>
    </w:p>
    <w:p>
      <w:pPr>
        <w:spacing w:after="0" w:line="192" w:lineRule="exact"/>
        <w:rPr>
          <w:sz w:val="20"/>
          <w:szCs w:val="20"/>
          <w:color w:val="auto"/>
        </w:rPr>
      </w:pPr>
    </w:p>
    <w:p>
      <w:pPr>
        <w:jc w:val="center"/>
        <w:ind w:left="76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1060" w:hanging="167"/>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38" w:lineRule="exact"/>
        <w:rPr>
          <w:rFonts w:ascii="Arial" w:cs="Arial" w:eastAsia="Arial" w:hAnsi="Arial"/>
          <w:sz w:val="16"/>
          <w:szCs w:val="16"/>
          <w:color w:val="auto"/>
        </w:rPr>
      </w:pPr>
    </w:p>
    <w:p>
      <w:pPr>
        <w:ind w:left="1060" w:hanging="167"/>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180" w:hanging="156"/>
        <w:spacing w:after="0" w:line="258"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Finance and Accounting—</w:t>
      </w:r>
      <w:r>
        <w:rPr>
          <w:rFonts w:ascii="Arial" w:cs="Arial" w:eastAsia="Arial" w:hAnsi="Arial"/>
          <w:sz w:val="15"/>
          <w:szCs w:val="15"/>
          <w:i w:val="1"/>
          <w:iCs w:val="1"/>
          <w:color w:val="auto"/>
        </w:rPr>
        <w:t>Ms. Duganier has extensive experience serving on public and private</w:t>
      </w:r>
      <w:r>
        <w:rPr>
          <w:rFonts w:ascii="Arial" w:cs="Arial" w:eastAsia="Arial" w:hAnsi="Arial"/>
          <w:sz w:val="15"/>
          <w:szCs w:val="15"/>
          <w:color w:val="auto"/>
        </w:rPr>
        <w:t xml:space="preserve"> </w:t>
      </w:r>
      <w:r>
        <w:rPr>
          <w:rFonts w:ascii="Arial" w:cs="Arial" w:eastAsia="Arial" w:hAnsi="Arial"/>
          <w:sz w:val="15"/>
          <w:szCs w:val="15"/>
          <w:i w:val="1"/>
          <w:iCs w:val="1"/>
          <w:color w:val="auto"/>
        </w:rPr>
        <w:t>company audit committees, including as chair of audit committees as well as a “financial expert” pursuant to SEC rules. Further, Ms. Duganier has extensive experience advising public companies on financial and accounting matters. The Board finds this experience critical to the Board’s and Audit Committee’s oversight of the Company’s financial statements and filings with the SEC.</w:t>
      </w:r>
    </w:p>
    <w:p>
      <w:pPr>
        <w:spacing w:after="0" w:line="17" w:lineRule="exact"/>
        <w:rPr>
          <w:rFonts w:ascii="Arial" w:cs="Arial" w:eastAsia="Arial" w:hAnsi="Arial"/>
          <w:sz w:val="15"/>
          <w:szCs w:val="15"/>
          <w:color w:val="auto"/>
        </w:rPr>
      </w:pPr>
    </w:p>
    <w:p>
      <w:pPr>
        <w:ind w:left="320" w:right="140" w:hanging="156"/>
        <w:spacing w:after="0" w:line="260"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Strategic Planning—</w:t>
      </w:r>
      <w:r>
        <w:rPr>
          <w:rFonts w:ascii="Arial" w:cs="Arial" w:eastAsia="Arial" w:hAnsi="Arial"/>
          <w:sz w:val="15"/>
          <w:szCs w:val="15"/>
          <w:i w:val="1"/>
          <w:iCs w:val="1"/>
          <w:color w:val="auto"/>
        </w:rPr>
        <w:t>As a Managing Director at Accenture plc, a leading provider of strategy,</w:t>
      </w:r>
      <w:r>
        <w:rPr>
          <w:rFonts w:ascii="Arial" w:cs="Arial" w:eastAsia="Arial" w:hAnsi="Arial"/>
          <w:sz w:val="15"/>
          <w:szCs w:val="15"/>
          <w:color w:val="auto"/>
        </w:rPr>
        <w:t xml:space="preserve"> </w:t>
      </w:r>
      <w:r>
        <w:rPr>
          <w:rFonts w:ascii="Arial" w:cs="Arial" w:eastAsia="Arial" w:hAnsi="Arial"/>
          <w:sz w:val="15"/>
          <w:szCs w:val="15"/>
          <w:i w:val="1"/>
          <w:iCs w:val="1"/>
          <w:color w:val="auto"/>
        </w:rPr>
        <w:t>consulting, technology, and operations services to companies in various industries, Ms. Duganier has extensive experience in strategic planning. Additionally, Ms. Duganier has served on both private and public company boards in a diversity of industries. This experience provides a unique perspective to the Board as it develops and oversees the Company’s short- and long-term strategic plans.</w:t>
      </w:r>
    </w:p>
    <w:p>
      <w:pPr>
        <w:spacing w:after="0" w:line="199" w:lineRule="exact"/>
        <w:rPr>
          <w:rFonts w:ascii="Arial" w:cs="Arial" w:eastAsia="Arial" w:hAnsi="Arial"/>
          <w:sz w:val="15"/>
          <w:szCs w:val="15"/>
          <w:color w:val="auto"/>
        </w:rPr>
      </w:pPr>
    </w:p>
    <w:p>
      <w:pPr>
        <w:ind w:left="320" w:right="240" w:hanging="156"/>
        <w:spacing w:after="0" w:line="263"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Cybersecurity and Physical Security—</w:t>
      </w:r>
      <w:r>
        <w:rPr>
          <w:rFonts w:ascii="Arial" w:cs="Arial" w:eastAsia="Arial" w:hAnsi="Arial"/>
          <w:sz w:val="15"/>
          <w:szCs w:val="15"/>
          <w:i w:val="1"/>
          <w:iCs w:val="1"/>
          <w:color w:val="auto"/>
        </w:rPr>
        <w:t>Ms. Duganier has extensive experience serving on public and</w:t>
      </w:r>
      <w:r>
        <w:rPr>
          <w:rFonts w:ascii="Arial" w:cs="Arial" w:eastAsia="Arial" w:hAnsi="Arial"/>
          <w:sz w:val="15"/>
          <w:szCs w:val="15"/>
          <w:color w:val="auto"/>
        </w:rPr>
        <w:t xml:space="preserve"> </w:t>
      </w:r>
      <w:r>
        <w:rPr>
          <w:rFonts w:ascii="Arial" w:cs="Arial" w:eastAsia="Arial" w:hAnsi="Arial"/>
          <w:sz w:val="15"/>
          <w:szCs w:val="15"/>
          <w:i w:val="1"/>
          <w:iCs w:val="1"/>
          <w:color w:val="auto"/>
        </w:rPr>
        <w:t>private company board committees responsible for overseeing cybersecurity matters, including cybersecurity risks. Ms. Duganier therefore brings important experience to the Board’s and Audit Committee’s oversight of cybersecurity matters and their evolving risks.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jc w:val="both"/>
        <w:ind w:left="320" w:right="220" w:hanging="156"/>
        <w:spacing w:after="0" w:line="286"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Held various positions (2004 – 2013) of increasing responsibility as a Managing Director including the position of Global Chief Strategy Officer of the Outsourcing Business and Global Growth and Offering Development Lead of the Global Business Process Outsourcing Business at Accenture plc, a leading provider of strategy, consulting, technology, and operations services to various industries and sectors.</w:t>
      </w:r>
    </w:p>
    <w:p>
      <w:pPr>
        <w:spacing w:after="0" w:line="2" w:lineRule="exact"/>
        <w:rPr>
          <w:rFonts w:ascii="Arial" w:cs="Arial" w:eastAsia="Arial" w:hAnsi="Arial"/>
          <w:sz w:val="14"/>
          <w:szCs w:val="14"/>
          <w:color w:val="auto"/>
        </w:rPr>
      </w:pPr>
    </w:p>
    <w:p>
      <w:pPr>
        <w:jc w:val="both"/>
        <w:ind w:left="320" w:right="640" w:hanging="156"/>
        <w:spacing w:after="0" w:line="273" w:lineRule="auto"/>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Independent Consultant, Finance Transformation Program (2002 – 2003) at Duke Energy North America, a subsidiary of Duke Energy, one of America’s largest energy holding companies that provides electric utility and natural gas services.</w:t>
      </w:r>
    </w:p>
    <w:p>
      <w:pPr>
        <w:spacing w:after="0" w:line="5" w:lineRule="exact"/>
        <w:rPr>
          <w:rFonts w:ascii="Arial" w:cs="Arial" w:eastAsia="Arial" w:hAnsi="Arial"/>
          <w:sz w:val="15"/>
          <w:szCs w:val="15"/>
          <w:color w:val="auto"/>
        </w:rPr>
      </w:pPr>
    </w:p>
    <w:p>
      <w:pPr>
        <w:ind w:left="320" w:right="160" w:hanging="156"/>
        <w:spacing w:after="0" w:line="263" w:lineRule="auto"/>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Held various positions (1979 – 2002) of increasing responsibility at Arthur Andersen LLP, an accounting firm that provided auditing, tax advising, consulting and other professional services to large public corporations, including as an equity Partner and as the Global Chief Financial Officer of Andersen Worldwide.</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U.S. Public Company</w:t>
      </w:r>
    </w:p>
    <w:p>
      <w:pPr>
        <w:spacing w:after="0" w:line="57" w:lineRule="exact"/>
        <w:rPr>
          <w:sz w:val="20"/>
          <w:szCs w:val="20"/>
          <w:color w:val="auto"/>
        </w:rPr>
      </w:pPr>
    </w:p>
    <w:p>
      <w:pPr>
        <w:ind w:left="320" w:hanging="156"/>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Texas Pacific Land Corporation (2021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MRC Global Inc. (2015 – 2024)</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Noble Energy, Inc. (2018 – 2020)</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Buckeye Partners, L.P. (2013 – 2019)</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HCC Insurance (2015 – 2015)</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Other Public Company</w:t>
      </w:r>
    </w:p>
    <w:p>
      <w:pPr>
        <w:spacing w:after="0" w:line="57" w:lineRule="exact"/>
        <w:rPr>
          <w:sz w:val="20"/>
          <w:szCs w:val="20"/>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Arcadis NV (EURONEXT) (2023 – Present)</w:t>
      </w:r>
    </w:p>
    <w:p>
      <w:pPr>
        <w:spacing w:after="0" w:line="70" w:lineRule="exact"/>
        <w:rPr>
          <w:rFonts w:ascii="Arial" w:cs="Arial" w:eastAsia="Arial" w:hAnsi="Arial"/>
          <w:sz w:val="15"/>
          <w:szCs w:val="15"/>
          <w:color w:val="auto"/>
        </w:rPr>
      </w:pPr>
    </w:p>
    <w:p>
      <w:pPr>
        <w:ind w:left="160"/>
        <w:spacing w:after="0"/>
        <w:rPr>
          <w:rFonts w:ascii="Arial" w:cs="Arial" w:eastAsia="Arial" w:hAnsi="Arial"/>
          <w:sz w:val="15"/>
          <w:szCs w:val="15"/>
          <w:color w:val="auto"/>
        </w:rPr>
      </w:pPr>
      <w:r>
        <w:rPr>
          <w:rFonts w:ascii="Arial" w:cs="Arial" w:eastAsia="Arial" w:hAnsi="Arial"/>
          <w:sz w:val="15"/>
          <w:szCs w:val="15"/>
          <w:b w:val="1"/>
          <w:bCs w:val="1"/>
          <w:i w:val="1"/>
          <w:iCs w:val="1"/>
          <w:color w:val="6EC4E8"/>
        </w:rPr>
        <w:t>Other</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McDermott International (2020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Pattern Energy (2021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West Monroe Partners (2018 – 2021)</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John Carroll University (2019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National Association of Corporate Directors (NACD) Texas Tri-Cities Chapter (2015 – 2024)</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B.B.A., John Carroll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Licensed CPA—Texas</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National Association of Corporate Directors (NACD) Directorship Certified</w:t>
      </w:r>
      <w:r>
        <w:rPr>
          <w:rFonts w:ascii="Arial" w:cs="Arial" w:eastAsia="Arial" w:hAnsi="Arial"/>
          <w:sz w:val="19"/>
          <w:szCs w:val="19"/>
          <w:color w:val="auto"/>
          <w:vertAlign w:val="superscript"/>
        </w:rPr>
        <w:t>®</w:t>
      </w:r>
    </w:p>
    <w:p>
      <w:pPr>
        <w:spacing w:after="0" w:line="37" w:lineRule="exact"/>
        <w:rPr>
          <w:rFonts w:ascii="Arial" w:cs="Arial" w:eastAsia="Arial" w:hAnsi="Arial"/>
          <w:sz w:val="15"/>
          <w:szCs w:val="15"/>
          <w:color w:val="auto"/>
        </w:rPr>
      </w:pPr>
    </w:p>
    <w:p>
      <w:pPr>
        <w:ind w:left="320" w:hanging="156"/>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CERT Certificate: Cybersecurity Oversight, Carnegie Mellon University Software Engineering Institute</w:t>
      </w:r>
    </w:p>
    <w:p>
      <w:pPr>
        <w:spacing w:after="0" w:line="56" w:lineRule="exact"/>
        <w:rPr>
          <w:rFonts w:ascii="Arial" w:cs="Arial" w:eastAsia="Arial" w:hAnsi="Arial"/>
          <w:sz w:val="15"/>
          <w:szCs w:val="15"/>
          <w:color w:val="auto"/>
        </w:rPr>
      </w:pPr>
    </w:p>
    <w:p>
      <w:pPr>
        <w:ind w:left="320" w:hanging="156"/>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National Association of Corporate Directors (NACD)—Master Class on Cyber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7280"/>
          </w:cols>
          <w:pgMar w:left="580" w:top="97" w:right="1299" w:bottom="1440" w:gutter="0" w:footer="0" w:header="0"/>
          <w:type w:val="continuous"/>
        </w:sectPr>
      </w:pPr>
    </w:p>
    <w:p>
      <w:pPr>
        <w:spacing w:after="0" w:line="194" w:lineRule="exact"/>
        <w:rPr>
          <w:sz w:val="20"/>
          <w:szCs w:val="20"/>
          <w:color w:val="auto"/>
        </w:rPr>
      </w:pPr>
    </w:p>
    <w:p>
      <w:pPr>
        <w:ind w:left="740"/>
        <w:spacing w:after="0"/>
        <w:tabs>
          <w:tab w:leader="none" w:pos="6760" w:val="left"/>
          <w:tab w:leader="none" w:pos="98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0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600" w:type="dxa"/>
            <w:vAlign w:val="bottom"/>
          </w:tcPr>
          <w:p>
            <w:pPr>
              <w:spacing w:after="0"/>
              <w:rPr>
                <w:sz w:val="20"/>
                <w:szCs w:val="20"/>
                <w:color w:val="auto"/>
              </w:rPr>
            </w:pPr>
            <w:r>
              <w:rPr>
                <w:rFonts w:ascii="Arial" w:cs="Arial" w:eastAsia="Arial" w:hAnsi="Arial"/>
                <w:sz w:val="18"/>
                <w:szCs w:val="18"/>
                <w:b w:val="1"/>
                <w:bCs w:val="1"/>
                <w:color w:val="FFFFFF"/>
              </w:rPr>
              <w:t>Laurie L. Fitch</w:t>
            </w:r>
          </w:p>
        </w:tc>
        <w:tc>
          <w:tcPr>
            <w:tcW w:w="3420" w:type="dxa"/>
            <w:vAlign w:val="bottom"/>
            <w:vMerge w:val="restart"/>
          </w:tcPr>
          <w:p>
            <w:pPr>
              <w:ind w:left="336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5600" w:type="dxa"/>
            <w:vAlign w:val="bottom"/>
            <w:vMerge w:val="restart"/>
          </w:tcPr>
          <w:p>
            <w:pPr>
              <w:spacing w:after="0"/>
              <w:rPr>
                <w:sz w:val="20"/>
                <w:szCs w:val="20"/>
                <w:color w:val="auto"/>
              </w:rPr>
            </w:pPr>
            <w:r>
              <w:rPr>
                <w:rFonts w:ascii="Arial" w:cs="Arial" w:eastAsia="Arial" w:hAnsi="Arial"/>
                <w:sz w:val="16"/>
                <w:szCs w:val="16"/>
                <w:color w:val="FFFFFF"/>
              </w:rPr>
              <w:t>Senior Advisor at PJT Partners</w:t>
            </w:r>
            <w:r>
              <w:rPr>
                <w:rFonts w:ascii="Arial" w:cs="Arial" w:eastAsia="Arial" w:hAnsi="Arial"/>
                <w:sz w:val="17"/>
                <w:szCs w:val="17"/>
                <w:color w:val="FFFFFF"/>
              </w:rPr>
              <w:t>​</w:t>
            </w: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-1607185</wp:posOffset>
            </wp:positionV>
            <wp:extent cx="1242695" cy="6574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6574790"/>
                    </a:xfrm>
                    <a:prstGeom prst="rect">
                      <a:avLst/>
                    </a:prstGeom>
                    <a:noFill/>
                  </pic:spPr>
                </pic:pic>
              </a:graphicData>
            </a:graphic>
          </wp:anchor>
        </w:drawing>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Nominee</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240" w:hanging="156"/>
        <w:spacing w:after="0" w:line="255"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Finance and Accounting—</w:t>
      </w:r>
      <w:r>
        <w:rPr>
          <w:rFonts w:ascii="Arial" w:cs="Arial" w:eastAsia="Arial" w:hAnsi="Arial"/>
          <w:sz w:val="15"/>
          <w:szCs w:val="15"/>
          <w:i w:val="1"/>
          <w:iCs w:val="1"/>
          <w:color w:val="auto"/>
        </w:rPr>
        <w:t>As an institutional equity investor and investment banker, Ms. Fitch has</w:t>
      </w:r>
      <w:r>
        <w:rPr>
          <w:rFonts w:ascii="Arial" w:cs="Arial" w:eastAsia="Arial" w:hAnsi="Arial"/>
          <w:sz w:val="15"/>
          <w:szCs w:val="15"/>
          <w:color w:val="auto"/>
        </w:rPr>
        <w:t xml:space="preserve"> </w:t>
      </w:r>
      <w:r>
        <w:rPr>
          <w:rFonts w:ascii="Arial" w:cs="Arial" w:eastAsia="Arial" w:hAnsi="Arial"/>
          <w:sz w:val="15"/>
          <w:szCs w:val="15"/>
          <w:i w:val="1"/>
          <w:iCs w:val="1"/>
          <w:color w:val="auto"/>
        </w:rPr>
        <w:t>over 25 years of experience focusing on corporate finance, capital markets, debt and equity financing, and financial strategy. Additionally, Ms. Fitch serves as a director on the board of Man Group plc, an active investment management business, and has experience serving on public company and non-profit institution audit committees. The Board believes that this experience will be important to the Board’s oversight of the Company’s plans to make significant capital investments focused on additional system resiliency, reliability, and grid modernization, including the associated financing of such investments.</w:t>
      </w:r>
    </w:p>
    <w:p>
      <w:pPr>
        <w:spacing w:after="0" w:line="45" w:lineRule="exact"/>
        <w:rPr>
          <w:rFonts w:ascii="Arial" w:cs="Arial" w:eastAsia="Arial" w:hAnsi="Arial"/>
          <w:sz w:val="15"/>
          <w:szCs w:val="15"/>
          <w:color w:val="auto"/>
        </w:rPr>
      </w:pPr>
    </w:p>
    <w:p>
      <w:pPr>
        <w:ind w:left="320" w:right="200" w:hanging="156"/>
        <w:spacing w:after="0" w:line="26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Utility Industry Experience—</w:t>
      </w:r>
      <w:r>
        <w:rPr>
          <w:rFonts w:ascii="Arial" w:cs="Arial" w:eastAsia="Arial" w:hAnsi="Arial"/>
          <w:sz w:val="15"/>
          <w:szCs w:val="15"/>
          <w:i w:val="1"/>
          <w:iCs w:val="1"/>
          <w:color w:val="auto"/>
        </w:rPr>
        <w:t>Ms. Fitch has vast experience advising companies in the utility industry</w:t>
      </w:r>
      <w:r>
        <w:rPr>
          <w:rFonts w:ascii="Arial" w:cs="Arial" w:eastAsia="Arial" w:hAnsi="Arial"/>
          <w:sz w:val="15"/>
          <w:szCs w:val="15"/>
          <w:color w:val="auto"/>
        </w:rPr>
        <w:t xml:space="preserve"> </w:t>
      </w:r>
      <w:r>
        <w:rPr>
          <w:rFonts w:ascii="Arial" w:cs="Arial" w:eastAsia="Arial" w:hAnsi="Arial"/>
          <w:sz w:val="15"/>
          <w:szCs w:val="15"/>
          <w:i w:val="1"/>
          <w:iCs w:val="1"/>
          <w:color w:val="auto"/>
        </w:rPr>
        <w:t>on strategy, corporate finance, and transactions as an equity investor and investment banker. Further, Ms. Fitch previously served as a non-executive director on the board of EDP, SA, a global integrated utility company. Ms. Fitch’s utility industry experience will provide important insights to the Board as the Board oversees the Company’s continued execution of our ten-year capital plan.</w:t>
      </w:r>
    </w:p>
    <w:p>
      <w:pPr>
        <w:spacing w:after="0" w:line="40" w:lineRule="exact"/>
        <w:rPr>
          <w:rFonts w:ascii="Arial" w:cs="Arial" w:eastAsia="Arial" w:hAnsi="Arial"/>
          <w:sz w:val="15"/>
          <w:szCs w:val="15"/>
          <w:color w:val="auto"/>
        </w:rPr>
      </w:pPr>
    </w:p>
    <w:p>
      <w:pPr>
        <w:ind w:left="320" w:right="180" w:hanging="156"/>
        <w:spacing w:after="0" w:line="259"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Energy Transition—</w:t>
      </w:r>
      <w:r>
        <w:rPr>
          <w:rFonts w:ascii="Arial" w:cs="Arial" w:eastAsia="Arial" w:hAnsi="Arial"/>
          <w:sz w:val="15"/>
          <w:szCs w:val="15"/>
          <w:i w:val="1"/>
          <w:iCs w:val="1"/>
          <w:color w:val="auto"/>
        </w:rPr>
        <w:t>As a non-executive director on the board of EDP Renováveis, SA, a global</w:t>
      </w:r>
      <w:r>
        <w:rPr>
          <w:rFonts w:ascii="Arial" w:cs="Arial" w:eastAsia="Arial" w:hAnsi="Arial"/>
          <w:sz w:val="15"/>
          <w:szCs w:val="15"/>
          <w:color w:val="auto"/>
        </w:rPr>
        <w:t xml:space="preserve"> </w:t>
      </w:r>
      <w:r>
        <w:rPr>
          <w:rFonts w:ascii="Arial" w:cs="Arial" w:eastAsia="Arial" w:hAnsi="Arial"/>
          <w:sz w:val="15"/>
          <w:szCs w:val="15"/>
          <w:i w:val="1"/>
          <w:iCs w:val="1"/>
          <w:color w:val="auto"/>
        </w:rPr>
        <w:t>renewable energy company that develops, constructs, and operates wind and solar power generation facilities, Ms. Fitch can provide important insights to the Board with respect to overseeing the risks and opportunities associated with transitioning to sources of energy with lower GHG emissions profiles. The Board believes this experience will be beneficial to the Company as the Board oversees the Company’s generation transition.</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right="180" w:hanging="156"/>
        <w:spacing w:after="0" w:line="301"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Senior Advisor (2024 – Present) and former Partner, Strategic Advisory (2016 – 2023) of PJT Partners, a global advisory-focused investment bank</w:t>
      </w:r>
    </w:p>
    <w:p>
      <w:pPr>
        <w:spacing w:after="0" w:line="12" w:lineRule="exact"/>
        <w:rPr>
          <w:rFonts w:ascii="Arial" w:cs="Arial" w:eastAsia="Arial" w:hAnsi="Arial"/>
          <w:sz w:val="15"/>
          <w:szCs w:val="15"/>
          <w:color w:val="auto"/>
        </w:rPr>
      </w:pPr>
    </w:p>
    <w:p>
      <w:pPr>
        <w:ind w:left="320" w:right="180" w:hanging="156"/>
        <w:spacing w:after="0" w:line="283"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Managing Director, Co-Head Global Industrials Group (2012 – 2016) of Morgan Stanley &amp; Co, a global investment bank and financial services company</w:t>
      </w:r>
    </w:p>
    <w:p>
      <w:pPr>
        <w:spacing w:after="0" w:line="38" w:lineRule="exact"/>
        <w:rPr>
          <w:rFonts w:ascii="Arial" w:cs="Arial" w:eastAsia="Arial" w:hAnsi="Arial"/>
          <w:sz w:val="15"/>
          <w:szCs w:val="15"/>
          <w:color w:val="auto"/>
        </w:rPr>
      </w:pPr>
    </w:p>
    <w:p>
      <w:pPr>
        <w:ind w:left="320" w:right="640" w:hanging="156"/>
        <w:spacing w:after="0" w:line="283"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Senior Analyst and Partner, International Growth (2006 – 2011) of Artisan Partners LP, an asset management company</w:t>
      </w:r>
    </w:p>
    <w:p>
      <w:pPr>
        <w:spacing w:after="0" w:line="25" w:lineRule="exact"/>
        <w:rPr>
          <w:rFonts w:ascii="Arial" w:cs="Arial" w:eastAsia="Arial" w:hAnsi="Arial"/>
          <w:sz w:val="15"/>
          <w:szCs w:val="15"/>
          <w:color w:val="auto"/>
        </w:rPr>
      </w:pPr>
    </w:p>
    <w:p>
      <w:pPr>
        <w:ind w:left="320" w:right="560" w:hanging="156"/>
        <w:spacing w:after="0" w:line="301"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Managing Director and Director of International Research (2002 – 2006) of TIAA-CREF, an asset management company</w:t>
      </w:r>
    </w:p>
    <w:p>
      <w:pPr>
        <w:spacing w:after="0" w:line="12" w:lineRule="exact"/>
        <w:rPr>
          <w:rFonts w:ascii="Arial" w:cs="Arial" w:eastAsia="Arial" w:hAnsi="Arial"/>
          <w:sz w:val="15"/>
          <w:szCs w:val="15"/>
          <w:color w:val="auto"/>
        </w:rPr>
      </w:pPr>
    </w:p>
    <w:p>
      <w:pPr>
        <w:ind w:left="320" w:right="380" w:hanging="156"/>
        <w:spacing w:after="0" w:line="283"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Associate Analyst, Equity Research (1999 – 2002) of Schroder &amp; Co./UBS, global financial services companies</w:t>
      </w:r>
    </w:p>
    <w:p>
      <w:pPr>
        <w:spacing w:after="0" w:line="38" w:lineRule="exact"/>
        <w:rPr>
          <w:rFonts w:ascii="Arial" w:cs="Arial" w:eastAsia="Arial" w:hAnsi="Arial"/>
          <w:sz w:val="15"/>
          <w:szCs w:val="15"/>
          <w:color w:val="auto"/>
        </w:rPr>
      </w:pPr>
    </w:p>
    <w:p>
      <w:pPr>
        <w:ind w:left="320" w:right="180" w:hanging="156"/>
        <w:spacing w:after="0" w:line="283"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VP, Middle East and Africa Division (1994 – 1999) of The Bank of New York, a global financial services company</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Public Company</w:t>
      </w:r>
    </w:p>
    <w:p>
      <w:pPr>
        <w:spacing w:after="0" w:line="57" w:lineRule="exact"/>
        <w:rPr>
          <w:sz w:val="20"/>
          <w:szCs w:val="20"/>
          <w:color w:val="auto"/>
        </w:rPr>
      </w:pPr>
    </w:p>
    <w:p>
      <w:pPr>
        <w:ind w:left="320" w:hanging="156"/>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EDP Renováveis, SA (2024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 Group plc (2023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EDP, SA (2018 – 2024)</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Enquest plc (2018 – 2021)</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Other</w:t>
      </w:r>
    </w:p>
    <w:p>
      <w:pPr>
        <w:spacing w:after="0" w:line="71" w:lineRule="exact"/>
        <w:rPr>
          <w:sz w:val="20"/>
          <w:szCs w:val="20"/>
          <w:color w:val="auto"/>
        </w:rPr>
      </w:pPr>
    </w:p>
    <w:p>
      <w:pPr>
        <w:ind w:left="320" w:hanging="156"/>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Trustee—The American University in Cairo (2019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Member—Tate Board of Trustees Audit Subcommittee (UK) (2015 – present)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73" w:lineRule="exact"/>
        <w:rPr>
          <w:sz w:val="20"/>
          <w:szCs w:val="20"/>
          <w:color w:val="auto"/>
        </w:rPr>
      </w:pPr>
    </w:p>
    <w:p>
      <w:pPr>
        <w:ind w:left="320" w:hanging="156"/>
        <w:spacing w:after="0"/>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 Georgetown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 American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50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0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940" w:type="dxa"/>
            <w:vAlign w:val="bottom"/>
          </w:tcPr>
          <w:p>
            <w:pPr>
              <w:spacing w:after="0"/>
              <w:rPr>
                <w:sz w:val="20"/>
                <w:szCs w:val="20"/>
                <w:color w:val="auto"/>
              </w:rPr>
            </w:pPr>
            <w:r>
              <w:rPr>
                <w:rFonts w:ascii="Arial" w:cs="Arial" w:eastAsia="Arial" w:hAnsi="Arial"/>
                <w:sz w:val="18"/>
                <w:szCs w:val="18"/>
                <w:b w:val="1"/>
                <w:bCs w:val="1"/>
                <w:color w:val="FFFFFF"/>
              </w:rPr>
              <w:t>Christopher H. Franklin</w:t>
            </w:r>
          </w:p>
        </w:tc>
        <w:tc>
          <w:tcPr>
            <w:tcW w:w="2080" w:type="dxa"/>
            <w:vAlign w:val="bottom"/>
            <w:vMerge w:val="restart"/>
          </w:tcPr>
          <w:p>
            <w:pPr>
              <w:ind w:left="20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6940" w:type="dxa"/>
            <w:vAlign w:val="bottom"/>
            <w:vMerge w:val="restart"/>
          </w:tcPr>
          <w:p>
            <w:pPr>
              <w:spacing w:after="0"/>
              <w:rPr>
                <w:sz w:val="20"/>
                <w:szCs w:val="20"/>
                <w:color w:val="auto"/>
              </w:rPr>
            </w:pPr>
            <w:r>
              <w:rPr>
                <w:rFonts w:ascii="Arial" w:cs="Arial" w:eastAsia="Arial" w:hAnsi="Arial"/>
                <w:sz w:val="16"/>
                <w:szCs w:val="16"/>
                <w:color w:val="FFFFFF"/>
              </w:rPr>
              <w:t>Chairman, Chief Executive Officer and President of Essential Utilities</w:t>
            </w:r>
            <w:r>
              <w:rPr>
                <w:rFonts w:ascii="Arial" w:cs="Arial" w:eastAsia="Arial" w:hAnsi="Arial"/>
                <w:sz w:val="17"/>
                <w:szCs w:val="17"/>
                <w:color w:val="FFFFFF"/>
              </w:rPr>
              <w: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94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-1624330</wp:posOffset>
            </wp:positionV>
            <wp:extent cx="1242695" cy="4800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42695" cy="4800600"/>
                    </a:xfrm>
                    <a:prstGeom prst="rect">
                      <a:avLst/>
                    </a:prstGeom>
                    <a:noFill/>
                  </pic:spPr>
                </pic:pic>
              </a:graphicData>
            </a:graphic>
          </wp:anchor>
        </w:drawing>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2022</w:t>
      </w:r>
    </w:p>
    <w:p>
      <w:pPr>
        <w:spacing w:after="0" w:line="192"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060" w:hanging="167"/>
        <w:spacing w:after="0" w:line="300" w:lineRule="auto"/>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Safety and Operations (Chair)</w:t>
      </w:r>
    </w:p>
    <w:p>
      <w:pPr>
        <w:ind w:left="1060" w:hanging="167"/>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w:t>
      </w:r>
    </w:p>
    <w:p>
      <w:pPr>
        <w:spacing w:after="0" w:line="32" w:lineRule="exact"/>
        <w:rPr>
          <w:rFonts w:ascii="Arial" w:cs="Arial" w:eastAsia="Arial" w:hAnsi="Arial"/>
          <w:sz w:val="16"/>
          <w:szCs w:val="16"/>
          <w:color w:val="auto"/>
        </w:rPr>
      </w:pPr>
    </w:p>
    <w:p>
      <w:pPr>
        <w:ind w:left="1060" w:hanging="167"/>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220" w:hanging="156"/>
        <w:spacing w:after="0" w:line="258"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Utility Industry Experience—</w:t>
      </w:r>
      <w:r>
        <w:rPr>
          <w:rFonts w:ascii="Arial" w:cs="Arial" w:eastAsia="Arial" w:hAnsi="Arial"/>
          <w:sz w:val="15"/>
          <w:szCs w:val="15"/>
          <w:i w:val="1"/>
          <w:iCs w:val="1"/>
          <w:color w:val="auto"/>
        </w:rPr>
        <w:t>As the Chief Executive Officer of a public utility company, Mr. Franklin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provides key experience and understanding regarding the management of a public utility that provides the Board with valuable insight as the Board oversees the Company’s short- and long-term plans and oversees the Company’s regulatory and legislative priorities for the benefit of the Company’s stakeholders.</w:t>
      </w:r>
    </w:p>
    <w:p>
      <w:pPr>
        <w:spacing w:after="0" w:line="44" w:lineRule="exact"/>
        <w:rPr>
          <w:rFonts w:ascii="Arial" w:cs="Arial" w:eastAsia="Arial" w:hAnsi="Arial"/>
          <w:sz w:val="15"/>
          <w:szCs w:val="15"/>
          <w:color w:val="auto"/>
        </w:rPr>
      </w:pPr>
    </w:p>
    <w:p>
      <w:pPr>
        <w:ind w:left="320" w:right="320" w:hanging="156"/>
        <w:spacing w:after="0" w:line="263"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Technology and Customer Experience—</w:t>
      </w:r>
      <w:r>
        <w:rPr>
          <w:rFonts w:ascii="Arial" w:cs="Arial" w:eastAsia="Arial" w:hAnsi="Arial"/>
          <w:sz w:val="15"/>
          <w:szCs w:val="15"/>
          <w:i w:val="1"/>
          <w:iCs w:val="1"/>
          <w:color w:val="auto"/>
        </w:rPr>
        <w:t>As the Chief Executive Officer of a public utility company,</w:t>
      </w:r>
      <w:r>
        <w:rPr>
          <w:rFonts w:ascii="Arial" w:cs="Arial" w:eastAsia="Arial" w:hAnsi="Arial"/>
          <w:sz w:val="15"/>
          <w:szCs w:val="15"/>
          <w:color w:val="auto"/>
        </w:rPr>
        <w:t xml:space="preserve"> </w:t>
      </w:r>
      <w:r>
        <w:rPr>
          <w:rFonts w:ascii="Arial" w:cs="Arial" w:eastAsia="Arial" w:hAnsi="Arial"/>
          <w:sz w:val="15"/>
          <w:szCs w:val="15"/>
          <w:i w:val="1"/>
          <w:iCs w:val="1"/>
          <w:color w:val="auto"/>
        </w:rPr>
        <w:t>Mr. Franklin provides valuable insight regarding the relationship between a public company and its customers, including as customers continue to seek additional technological resources to improve the customer experience. This insight is critical to the Board and the Company as it continuously seeks to improve its service for the benefit of its customers and communities served.</w:t>
      </w:r>
    </w:p>
    <w:p>
      <w:pPr>
        <w:spacing w:after="0" w:line="40" w:lineRule="exact"/>
        <w:rPr>
          <w:rFonts w:ascii="Arial" w:cs="Arial" w:eastAsia="Arial" w:hAnsi="Arial"/>
          <w:sz w:val="15"/>
          <w:szCs w:val="15"/>
          <w:color w:val="auto"/>
        </w:rPr>
      </w:pPr>
    </w:p>
    <w:p>
      <w:pPr>
        <w:ind w:left="320" w:right="200" w:hanging="156"/>
        <w:spacing w:after="0" w:line="258"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Operations and Safety Experience—</w:t>
      </w:r>
      <w:r>
        <w:rPr>
          <w:rFonts w:ascii="Arial" w:cs="Arial" w:eastAsia="Arial" w:hAnsi="Arial"/>
          <w:sz w:val="15"/>
          <w:szCs w:val="15"/>
          <w:i w:val="1"/>
          <w:iCs w:val="1"/>
          <w:color w:val="auto"/>
        </w:rPr>
        <w:t>As the Chief Executive Officer of a public utility, Mr. Franklin has</w:t>
      </w:r>
      <w:r>
        <w:rPr>
          <w:rFonts w:ascii="Arial" w:cs="Arial" w:eastAsia="Arial" w:hAnsi="Arial"/>
          <w:sz w:val="15"/>
          <w:szCs w:val="15"/>
          <w:color w:val="auto"/>
        </w:rPr>
        <w:t xml:space="preserve"> </w:t>
      </w:r>
      <w:r>
        <w:rPr>
          <w:rFonts w:ascii="Arial" w:cs="Arial" w:eastAsia="Arial" w:hAnsi="Arial"/>
          <w:sz w:val="15"/>
          <w:szCs w:val="15"/>
          <w:i w:val="1"/>
          <w:iCs w:val="1"/>
          <w:color w:val="auto"/>
        </w:rPr>
        <w:t>extensive experience regarding the operations of a utility and managing the utility operations in a safe manner for the communities it operates in and its employees. This experience is critical to the Board as it oversees the Company’s operations, including the safe operation of its facilities for the benefit of the communities it serves and its employees.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right="220" w:hanging="156"/>
        <w:spacing w:after="0" w:line="263" w:lineRule="auto"/>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Chairman, Chief Executive Officer and President (2015 – Present) of Essential Utilities, Inc., a public company providing regulated utilities, including water, wastewater and natural gas, to customers in 10 states; Has served in various roles of increasing responsibilities at Essential Utilities, Inc. (f.k.a. AquaAmerica, Inc.) since 1992</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Public Company</w:t>
      </w:r>
    </w:p>
    <w:p>
      <w:pPr>
        <w:spacing w:after="0" w:line="57" w:lineRule="exact"/>
        <w:rPr>
          <w:sz w:val="20"/>
          <w:szCs w:val="20"/>
          <w:color w:val="auto"/>
        </w:rPr>
      </w:pPr>
    </w:p>
    <w:p>
      <w:pPr>
        <w:ind w:left="320" w:hanging="156"/>
        <w:spacing w:after="0"/>
        <w:tabs>
          <w:tab w:leader="none" w:pos="3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Chairman, Essential Utilities, Inc. (2015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ITC Holdings (2011 – 2016)</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Other</w:t>
      </w:r>
    </w:p>
    <w:p>
      <w:pPr>
        <w:spacing w:after="0" w:line="57" w:lineRule="exact"/>
        <w:rPr>
          <w:sz w:val="20"/>
          <w:szCs w:val="20"/>
          <w:color w:val="auto"/>
        </w:rPr>
      </w:pPr>
    </w:p>
    <w:p>
      <w:pPr>
        <w:ind w:left="320" w:hanging="156"/>
        <w:spacing w:after="0"/>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University of Pennsylvania Board of Trustees (2015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Franklin Institute of Philadelphia (2017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Independence Blue Cross (2024 – Present)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B.S., West Chester University</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M.B.A., Villanova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38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6060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0735"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8640" w:type="dxa"/>
            <w:vAlign w:val="bottom"/>
          </w:tcPr>
          <w:p>
            <w:pPr>
              <w:spacing w:after="0"/>
              <w:rPr>
                <w:sz w:val="20"/>
                <w:szCs w:val="20"/>
                <w:color w:val="auto"/>
              </w:rPr>
            </w:pPr>
            <w:r>
              <w:rPr>
                <w:rFonts w:ascii="Arial" w:cs="Arial" w:eastAsia="Arial" w:hAnsi="Arial"/>
                <w:sz w:val="18"/>
                <w:szCs w:val="18"/>
                <w:b w:val="1"/>
                <w:bCs w:val="1"/>
                <w:color w:val="FFFFFF"/>
              </w:rPr>
              <w:t>Raquelle W. Lewis</w:t>
            </w:r>
          </w:p>
        </w:tc>
        <w:tc>
          <w:tcPr>
            <w:tcW w:w="380" w:type="dxa"/>
            <w:vAlign w:val="bottom"/>
            <w:vMerge w:val="restart"/>
          </w:tcPr>
          <w:p>
            <w:pPr>
              <w:ind w:left="3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8640" w:type="dxa"/>
            <w:vAlign w:val="bottom"/>
            <w:vMerge w:val="restart"/>
          </w:tcPr>
          <w:p>
            <w:pPr>
              <w:spacing w:after="0"/>
              <w:rPr>
                <w:sz w:val="20"/>
                <w:szCs w:val="20"/>
                <w:color w:val="auto"/>
              </w:rPr>
            </w:pPr>
            <w:r>
              <w:rPr>
                <w:rFonts w:ascii="Arial" w:cs="Arial" w:eastAsia="Arial" w:hAnsi="Arial"/>
                <w:sz w:val="16"/>
                <w:szCs w:val="16"/>
                <w:color w:val="FFFFFF"/>
              </w:rPr>
              <w:t>Southeast Texas Director of Communications &amp; Public Information Offices for the Texas Department of Transportation</w:t>
            </w:r>
            <w:r>
              <w:rPr>
                <w:rFonts w:ascii="Arial" w:cs="Arial" w:eastAsia="Arial" w:hAnsi="Arial"/>
                <w:sz w:val="17"/>
                <w:szCs w:val="17"/>
                <w:color w:val="FFFFFF"/>
              </w:rPr>
              <w:t>​</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2021</w:t>
      </w:r>
    </w:p>
    <w:p>
      <w:pPr>
        <w:spacing w:after="0" w:line="192"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1060" w:hanging="167"/>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Audit</w:t>
      </w:r>
    </w:p>
    <w:p>
      <w:pPr>
        <w:spacing w:after="0" w:line="52" w:lineRule="exact"/>
        <w:rPr>
          <w:rFonts w:ascii="Arial" w:cs="Arial" w:eastAsia="Arial" w:hAnsi="Arial"/>
          <w:sz w:val="16"/>
          <w:szCs w:val="16"/>
          <w:color w:val="auto"/>
        </w:rPr>
      </w:pPr>
    </w:p>
    <w:p>
      <w:pPr>
        <w:ind w:left="1060" w:hanging="167"/>
        <w:spacing w:after="0" w:line="286"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Human Capital and Compensation</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220" w:hanging="156"/>
        <w:spacing w:after="0" w:line="258"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Government, Legal, and Regulatory—</w:t>
      </w:r>
      <w:r>
        <w:rPr>
          <w:rFonts w:ascii="Arial" w:cs="Arial" w:eastAsia="Arial" w:hAnsi="Arial"/>
          <w:sz w:val="15"/>
          <w:szCs w:val="15"/>
          <w:i w:val="1"/>
          <w:iCs w:val="1"/>
          <w:color w:val="auto"/>
        </w:rPr>
        <w:t>Ms. Lewis provides valuable government relations experience,</w:t>
      </w:r>
      <w:r>
        <w:rPr>
          <w:rFonts w:ascii="Arial" w:cs="Arial" w:eastAsia="Arial" w:hAnsi="Arial"/>
          <w:sz w:val="15"/>
          <w:szCs w:val="15"/>
          <w:color w:val="auto"/>
        </w:rPr>
        <w:t xml:space="preserve"> </w:t>
      </w:r>
      <w:r>
        <w:rPr>
          <w:rFonts w:ascii="Arial" w:cs="Arial" w:eastAsia="Arial" w:hAnsi="Arial"/>
          <w:sz w:val="15"/>
          <w:szCs w:val="15"/>
          <w:i w:val="1"/>
          <w:iCs w:val="1"/>
          <w:color w:val="auto"/>
        </w:rPr>
        <w:t>including navigating federal, state, and local regulations covering transportation projects. Ms. Lewis is able to use this experience to help the Board as it oversees the relationship of the Company with government entities and as it navigates various federal, state, and local regulations to complete infrastructures projects to better serve its stakeholders.</w:t>
      </w:r>
    </w:p>
    <w:p>
      <w:pPr>
        <w:spacing w:after="0" w:line="44" w:lineRule="exact"/>
        <w:rPr>
          <w:rFonts w:ascii="Arial" w:cs="Arial" w:eastAsia="Arial" w:hAnsi="Arial"/>
          <w:sz w:val="15"/>
          <w:szCs w:val="15"/>
          <w:color w:val="auto"/>
        </w:rPr>
      </w:pPr>
    </w:p>
    <w:p>
      <w:pPr>
        <w:ind w:left="320" w:right="460" w:hanging="156"/>
        <w:spacing w:after="0" w:line="263"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Technology and Customer Experience—</w:t>
      </w:r>
      <w:r>
        <w:rPr>
          <w:rFonts w:ascii="Arial" w:cs="Arial" w:eastAsia="Arial" w:hAnsi="Arial"/>
          <w:sz w:val="15"/>
          <w:szCs w:val="15"/>
          <w:i w:val="1"/>
          <w:iCs w:val="1"/>
          <w:color w:val="auto"/>
        </w:rPr>
        <w:t>As a Public Information Office leader at the Texas</w:t>
      </w:r>
      <w:r>
        <w:rPr>
          <w:rFonts w:ascii="Arial" w:cs="Arial" w:eastAsia="Arial" w:hAnsi="Arial"/>
          <w:sz w:val="15"/>
          <w:szCs w:val="15"/>
          <w:color w:val="auto"/>
        </w:rPr>
        <w:t xml:space="preserve"> </w:t>
      </w:r>
      <w:r>
        <w:rPr>
          <w:rFonts w:ascii="Arial" w:cs="Arial" w:eastAsia="Arial" w:hAnsi="Arial"/>
          <w:sz w:val="15"/>
          <w:szCs w:val="15"/>
          <w:i w:val="1"/>
          <w:iCs w:val="1"/>
          <w:color w:val="auto"/>
        </w:rPr>
        <w:t>Department of Transportation (TxDOT), Ms. Lewis has extensive experience receiving and facilitating communications with community leaders, businesses, and individuals, which provides valuable insight to the Board as it oversees the Company’s outreach strategy for serving its communities and stakeholders to provide critical services.</w:t>
      </w:r>
    </w:p>
    <w:p>
      <w:pPr>
        <w:spacing w:after="0" w:line="40" w:lineRule="exact"/>
        <w:rPr>
          <w:rFonts w:ascii="Arial" w:cs="Arial" w:eastAsia="Arial" w:hAnsi="Arial"/>
          <w:sz w:val="15"/>
          <w:szCs w:val="15"/>
          <w:color w:val="auto"/>
        </w:rPr>
      </w:pPr>
    </w:p>
    <w:p>
      <w:pPr>
        <w:ind w:left="320" w:right="320" w:hanging="156"/>
        <w:spacing w:after="0" w:line="263"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Community Involvement—</w:t>
      </w:r>
      <w:r>
        <w:rPr>
          <w:rFonts w:ascii="Arial" w:cs="Arial" w:eastAsia="Arial" w:hAnsi="Arial"/>
          <w:sz w:val="15"/>
          <w:szCs w:val="15"/>
          <w:i w:val="1"/>
          <w:iCs w:val="1"/>
          <w:color w:val="auto"/>
        </w:rPr>
        <w:t>As a member of multiple non-profit boards and organizations in the</w:t>
      </w:r>
      <w:r>
        <w:rPr>
          <w:rFonts w:ascii="Arial" w:cs="Arial" w:eastAsia="Arial" w:hAnsi="Arial"/>
          <w:sz w:val="15"/>
          <w:szCs w:val="15"/>
          <w:color w:val="auto"/>
        </w:rPr>
        <w:t xml:space="preserve"> </w:t>
      </w:r>
      <w:r>
        <w:rPr>
          <w:rFonts w:ascii="Arial" w:cs="Arial" w:eastAsia="Arial" w:hAnsi="Arial"/>
          <w:sz w:val="15"/>
          <w:szCs w:val="15"/>
          <w:i w:val="1"/>
          <w:iCs w:val="1"/>
          <w:color w:val="auto"/>
        </w:rPr>
        <w:t>Greater Houston area, Ms. Lewis maintains strong ties and engagement with the communities that we serve, which provides valuable insights regarding how the Company’s policies, and short- and long-term plans, impact our communities.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86" w:lineRule="exact"/>
        <w:rPr>
          <w:sz w:val="20"/>
          <w:szCs w:val="20"/>
          <w:color w:val="auto"/>
        </w:rPr>
      </w:pPr>
    </w:p>
    <w:p>
      <w:pPr>
        <w:ind w:left="320" w:right="200" w:hanging="156"/>
        <w:spacing w:after="0" w:line="263" w:lineRule="auto"/>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Held various positions (2008 – Present) of increasing responsibilities including the position of Southeast Texas Director of Communications &amp; Public Information Offices (2017 – Present) of TxDOT, a state government organization that plans, constructs, operates, and maintains Texas’ integrated transportation system including highways and multimodal programs</w:t>
      </w:r>
    </w:p>
    <w:p>
      <w:pPr>
        <w:spacing w:after="0" w:line="26" w:lineRule="exact"/>
        <w:rPr>
          <w:rFonts w:ascii="Arial" w:cs="Arial" w:eastAsia="Arial" w:hAnsi="Arial"/>
          <w:sz w:val="15"/>
          <w:szCs w:val="15"/>
          <w:color w:val="auto"/>
        </w:rPr>
      </w:pPr>
    </w:p>
    <w:p>
      <w:pPr>
        <w:ind w:left="320" w:hanging="156"/>
        <w:spacing w:after="0"/>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Served as Special Advisor to TxDOT Executive Director and the Executive Administration (2015)</w:t>
      </w:r>
    </w:p>
    <w:p>
      <w:pPr>
        <w:spacing w:after="0" w:line="70" w:lineRule="exact"/>
        <w:rPr>
          <w:rFonts w:ascii="Arial" w:cs="Arial" w:eastAsia="Arial" w:hAnsi="Arial"/>
          <w:sz w:val="15"/>
          <w:szCs w:val="15"/>
          <w:color w:val="auto"/>
        </w:rPr>
      </w:pPr>
    </w:p>
    <w:p>
      <w:pPr>
        <w:ind w:left="320" w:right="180" w:hanging="156"/>
        <w:spacing w:after="0" w:line="263" w:lineRule="auto"/>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Held various positions (1998 – 2008) of increasing responsibilities including the position of Supervising Planner/Program Manager at Parsons Brinkerhoff, Inc., a multinational engineering and design firm that specializes in strategic consulting, planning, engineering, construction management, energy, infrastructure, and community planning</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59" w:lineRule="exact"/>
        <w:rPr>
          <w:sz w:val="20"/>
          <w:szCs w:val="20"/>
          <w:color w:val="auto"/>
        </w:rPr>
      </w:pPr>
    </w:p>
    <w:p>
      <w:pPr>
        <w:ind w:left="320" w:hanging="156"/>
        <w:spacing w:after="0"/>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COMTO Houston (2024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Success House A Road to Recovery, Inc. (2023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South Main Alliance Advisory Council (2022 – Present)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Professional Experience and Community Involvement</w:t>
      </w:r>
    </w:p>
    <w:p>
      <w:pPr>
        <w:spacing w:after="0" w:line="59" w:lineRule="exact"/>
        <w:rPr>
          <w:sz w:val="20"/>
          <w:szCs w:val="20"/>
          <w:color w:val="auto"/>
        </w:rPr>
      </w:pPr>
    </w:p>
    <w:p>
      <w:pPr>
        <w:ind w:left="320" w:hanging="156"/>
        <w:spacing w:after="0"/>
        <w:tabs>
          <w:tab w:leader="none" w:pos="3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National Association for the Advancement of Colored People (NAACP)—Houston Branch</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WTS International</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Leadership Women, Inc.</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73" w:lineRule="exact"/>
        <w:rPr>
          <w:sz w:val="20"/>
          <w:szCs w:val="20"/>
          <w:color w:val="auto"/>
        </w:rPr>
      </w:pPr>
    </w:p>
    <w:p>
      <w:pPr>
        <w:ind w:left="320" w:hanging="156"/>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 University of Texas at Austin</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National Association of Corporate Directors (NACD)—Master Class on Cyber Risk Oversight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Certificate: Stanford Directors’ College—Stanford Law School</w:t>
      </w:r>
    </w:p>
    <w:p>
      <w:pPr>
        <w:spacing w:after="0" w:line="84" w:lineRule="exact"/>
        <w:rPr>
          <w:rFonts w:ascii="Arial" w:cs="Arial" w:eastAsia="Arial" w:hAnsi="Arial"/>
          <w:sz w:val="15"/>
          <w:szCs w:val="15"/>
          <w:color w:val="auto"/>
        </w:rPr>
      </w:pPr>
    </w:p>
    <w:p>
      <w:pPr>
        <w:ind w:left="320" w:hanging="156"/>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 Certificate: Cybersecurity Oversight, Carnegie Mellon University Software Engineering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32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80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900" w:type="dxa"/>
            <w:vAlign w:val="bottom"/>
          </w:tcPr>
          <w:p>
            <w:pPr>
              <w:spacing w:after="0"/>
              <w:rPr>
                <w:sz w:val="20"/>
                <w:szCs w:val="20"/>
                <w:color w:val="auto"/>
              </w:rPr>
            </w:pPr>
            <w:r>
              <w:rPr>
                <w:rFonts w:ascii="Arial" w:cs="Arial" w:eastAsia="Arial" w:hAnsi="Arial"/>
                <w:sz w:val="18"/>
                <w:szCs w:val="18"/>
                <w:b w:val="1"/>
                <w:bCs w:val="1"/>
                <w:color w:val="FFFFFF"/>
              </w:rPr>
              <w:t>Thaddeus J. Malik</w:t>
            </w:r>
          </w:p>
        </w:tc>
        <w:tc>
          <w:tcPr>
            <w:tcW w:w="3120" w:type="dxa"/>
            <w:vAlign w:val="bottom"/>
            <w:vMerge w:val="restart"/>
          </w:tcPr>
          <w:p>
            <w:pPr>
              <w:ind w:left="306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5900" w:type="dxa"/>
            <w:vAlign w:val="bottom"/>
            <w:vMerge w:val="restart"/>
          </w:tcPr>
          <w:p>
            <w:pPr>
              <w:spacing w:after="0"/>
              <w:rPr>
                <w:sz w:val="20"/>
                <w:szCs w:val="20"/>
                <w:color w:val="auto"/>
              </w:rPr>
            </w:pPr>
            <w:r>
              <w:rPr>
                <w:rFonts w:ascii="Arial" w:cs="Arial" w:eastAsia="Arial" w:hAnsi="Arial"/>
                <w:sz w:val="16"/>
                <w:szCs w:val="16"/>
                <w:color w:val="FFFFFF"/>
              </w:rPr>
              <w:t>Principal at S2T Solutions and Attorney</w:t>
            </w:r>
            <w:r>
              <w:rPr>
                <w:rFonts w:ascii="Arial" w:cs="Arial" w:eastAsia="Arial" w:hAnsi="Arial"/>
                <w:sz w:val="17"/>
                <w:szCs w:val="17"/>
                <w:color w:val="FFFFFF"/>
              </w:rPr>
              <w:t>​</w:t>
            </w:r>
          </w:p>
        </w:tc>
        <w:tc>
          <w:tcPr>
            <w:tcW w:w="3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vMerge w:val="continue"/>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-1616075</wp:posOffset>
            </wp:positionV>
            <wp:extent cx="1242695" cy="5168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42695" cy="5168900"/>
                    </a:xfrm>
                    <a:prstGeom prst="rect">
                      <a:avLst/>
                    </a:prstGeom>
                    <a:noFill/>
                  </pic:spPr>
                </pic:pic>
              </a:graphicData>
            </a:graphic>
          </wp:anchor>
        </w:drawing>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2023</w:t>
      </w:r>
    </w:p>
    <w:p>
      <w:pPr>
        <w:spacing w:after="0" w:line="192" w:lineRule="exact"/>
        <w:rPr>
          <w:sz w:val="20"/>
          <w:szCs w:val="20"/>
          <w:color w:val="auto"/>
        </w:rPr>
      </w:pPr>
    </w:p>
    <w:p>
      <w:pPr>
        <w:jc w:val="center"/>
        <w:ind w:left="14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060" w:right="220" w:hanging="167"/>
        <w:spacing w:after="0" w:line="281"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Human Capital and Compensation</w:t>
      </w:r>
    </w:p>
    <w:p>
      <w:pPr>
        <w:spacing w:after="0" w:line="1" w:lineRule="exact"/>
        <w:rPr>
          <w:rFonts w:ascii="Arial" w:cs="Arial" w:eastAsia="Arial" w:hAnsi="Arial"/>
          <w:sz w:val="16"/>
          <w:szCs w:val="16"/>
          <w:color w:val="auto"/>
        </w:rPr>
      </w:pPr>
    </w:p>
    <w:p>
      <w:pPr>
        <w:ind w:left="1060" w:hanging="167"/>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Governance</w:t>
      </w:r>
    </w:p>
    <w:p>
      <w:pPr>
        <w:spacing w:after="0" w:line="32" w:lineRule="exact"/>
        <w:rPr>
          <w:rFonts w:ascii="Arial" w:cs="Arial" w:eastAsia="Arial" w:hAnsi="Arial"/>
          <w:sz w:val="16"/>
          <w:szCs w:val="16"/>
          <w:color w:val="auto"/>
        </w:rPr>
      </w:pPr>
    </w:p>
    <w:p>
      <w:pPr>
        <w:ind w:left="1060" w:hanging="167"/>
        <w:spacing w:after="0"/>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Safety and Operations</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220" w:hanging="156"/>
        <w:spacing w:after="0" w:line="263" w:lineRule="auto"/>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Public Company Governance Experience—</w:t>
      </w:r>
      <w:r>
        <w:rPr>
          <w:rFonts w:ascii="Arial" w:cs="Arial" w:eastAsia="Arial" w:hAnsi="Arial"/>
          <w:sz w:val="15"/>
          <w:szCs w:val="15"/>
          <w:i w:val="1"/>
          <w:iCs w:val="1"/>
          <w:color w:val="auto"/>
        </w:rPr>
        <w:t>Having previously served as General Counsel of a public</w:t>
      </w:r>
      <w:r>
        <w:rPr>
          <w:rFonts w:ascii="Arial" w:cs="Arial" w:eastAsia="Arial" w:hAnsi="Arial"/>
          <w:sz w:val="15"/>
          <w:szCs w:val="15"/>
          <w:color w:val="auto"/>
        </w:rPr>
        <w:t xml:space="preserve"> </w:t>
      </w:r>
      <w:r>
        <w:rPr>
          <w:rFonts w:ascii="Arial" w:cs="Arial" w:eastAsia="Arial" w:hAnsi="Arial"/>
          <w:sz w:val="15"/>
          <w:szCs w:val="15"/>
          <w:i w:val="1"/>
          <w:iCs w:val="1"/>
          <w:color w:val="auto"/>
        </w:rPr>
        <w:t>company and through his practice advising public company clients, Mr. Malik is able to provide critical insight regarding good governance practices to strengthen the operation of the Board for the benefit of the Company’s stakeholders.</w:t>
      </w:r>
    </w:p>
    <w:p>
      <w:pPr>
        <w:spacing w:after="0" w:line="40" w:lineRule="exact"/>
        <w:rPr>
          <w:rFonts w:ascii="Arial" w:cs="Arial" w:eastAsia="Arial" w:hAnsi="Arial"/>
          <w:sz w:val="15"/>
          <w:szCs w:val="15"/>
          <w:color w:val="auto"/>
        </w:rPr>
      </w:pPr>
    </w:p>
    <w:p>
      <w:pPr>
        <w:ind w:left="320" w:right="320" w:hanging="156"/>
        <w:spacing w:after="0" w:line="263" w:lineRule="auto"/>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Cybersecurity and Physical Security—</w:t>
      </w:r>
      <w:r>
        <w:rPr>
          <w:rFonts w:ascii="Arial" w:cs="Arial" w:eastAsia="Arial" w:hAnsi="Arial"/>
          <w:sz w:val="15"/>
          <w:szCs w:val="15"/>
          <w:i w:val="1"/>
          <w:iCs w:val="1"/>
          <w:color w:val="auto"/>
        </w:rPr>
        <w:t>As part of his private legal practice, as well as serving as the</w:t>
      </w:r>
      <w:r>
        <w:rPr>
          <w:rFonts w:ascii="Arial" w:cs="Arial" w:eastAsia="Arial" w:hAnsi="Arial"/>
          <w:sz w:val="15"/>
          <w:szCs w:val="15"/>
          <w:color w:val="auto"/>
        </w:rPr>
        <w:t xml:space="preserve"> </w:t>
      </w:r>
      <w:r>
        <w:rPr>
          <w:rFonts w:ascii="Arial" w:cs="Arial" w:eastAsia="Arial" w:hAnsi="Arial"/>
          <w:sz w:val="15"/>
          <w:szCs w:val="15"/>
          <w:i w:val="1"/>
          <w:iCs w:val="1"/>
          <w:color w:val="auto"/>
        </w:rPr>
        <w:t>chair of the board committee responsible for overseeing cybersecurity matters for a health insurer serving more than 22 million customers and with a workforce of close to 30,000, Mr. Malik brings valuable experience to the Board’s oversight of cybersecurity matters and their evolving risks.</w:t>
      </w:r>
    </w:p>
    <w:p>
      <w:pPr>
        <w:spacing w:after="0" w:line="40" w:lineRule="exact"/>
        <w:rPr>
          <w:rFonts w:ascii="Arial" w:cs="Arial" w:eastAsia="Arial" w:hAnsi="Arial"/>
          <w:sz w:val="15"/>
          <w:szCs w:val="15"/>
          <w:color w:val="auto"/>
        </w:rPr>
      </w:pPr>
    </w:p>
    <w:p>
      <w:pPr>
        <w:jc w:val="both"/>
        <w:ind w:left="320" w:right="140" w:hanging="156"/>
        <w:spacing w:after="0" w:line="256" w:lineRule="auto"/>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Strategic Planning—</w:t>
      </w:r>
      <w:r>
        <w:rPr>
          <w:rFonts w:ascii="Arial" w:cs="Arial" w:eastAsia="Arial" w:hAnsi="Arial"/>
          <w:sz w:val="15"/>
          <w:szCs w:val="15"/>
          <w:i w:val="1"/>
          <w:iCs w:val="1"/>
          <w:color w:val="auto"/>
        </w:rPr>
        <w:t>As the former chair the Mergers and Acquisitions Practice Group and a member</w:t>
      </w:r>
      <w:r>
        <w:rPr>
          <w:rFonts w:ascii="Arial" w:cs="Arial" w:eastAsia="Arial" w:hAnsi="Arial"/>
          <w:sz w:val="15"/>
          <w:szCs w:val="15"/>
          <w:color w:val="auto"/>
        </w:rPr>
        <w:t xml:space="preserve"> </w:t>
      </w:r>
      <w:r>
        <w:rPr>
          <w:rFonts w:ascii="Arial" w:cs="Arial" w:eastAsia="Arial" w:hAnsi="Arial"/>
          <w:sz w:val="15"/>
          <w:szCs w:val="15"/>
          <w:i w:val="1"/>
          <w:iCs w:val="1"/>
          <w:color w:val="auto"/>
        </w:rPr>
        <w:t>of the Policy Committee for a global law firm, as well as chairing the Strategy and Risk Committee for the largest customer-owned health insurer in the U.S. with more than $55 billion in revenue,</w:t>
      </w:r>
    </w:p>
    <w:p>
      <w:pPr>
        <w:spacing w:after="0" w:line="2" w:lineRule="exact"/>
        <w:rPr>
          <w:rFonts w:ascii="Arial" w:cs="Arial" w:eastAsia="Arial" w:hAnsi="Arial"/>
          <w:sz w:val="15"/>
          <w:szCs w:val="15"/>
          <w:color w:val="auto"/>
        </w:rPr>
      </w:pPr>
    </w:p>
    <w:p>
      <w:pPr>
        <w:ind w:left="320" w:right="260"/>
        <w:spacing w:after="0" w:line="256" w:lineRule="auto"/>
        <w:rPr>
          <w:rFonts w:ascii="Arial" w:cs="Arial" w:eastAsia="Arial" w:hAnsi="Arial"/>
          <w:sz w:val="15"/>
          <w:szCs w:val="15"/>
          <w:color w:val="auto"/>
        </w:rPr>
      </w:pPr>
      <w:r>
        <w:rPr>
          <w:rFonts w:ascii="Arial" w:cs="Arial" w:eastAsia="Arial" w:hAnsi="Arial"/>
          <w:sz w:val="15"/>
          <w:szCs w:val="15"/>
          <w:i w:val="1"/>
          <w:iCs w:val="1"/>
          <w:color w:val="auto"/>
        </w:rPr>
        <w:t>Mr. Malik has extensive experience overseeing strategic planning and transactions, which experience he brings to the Board as the Company continues to develop and execute its strategic plan, including overseeing complex strategic transactions as the Company continues to focus on its core utility business.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59" w:lineRule="exact"/>
        <w:rPr>
          <w:sz w:val="20"/>
          <w:szCs w:val="20"/>
          <w:color w:val="auto"/>
        </w:rPr>
      </w:pPr>
    </w:p>
    <w:p>
      <w:pPr>
        <w:ind w:left="320" w:hanging="156"/>
        <w:spacing w:after="0"/>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Principal (2022 – Present) at S2T Solutions, LLC, a transactional advisory services company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Partner (2010 – 2022) at Paul Hastings, LLP, a global law firm</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Partner (2002 – 2010) at Jenner &amp; Block, LLP, an international law firm</w:t>
      </w:r>
    </w:p>
    <w:p>
      <w:pPr>
        <w:spacing w:after="0" w:line="70" w:lineRule="exact"/>
        <w:rPr>
          <w:rFonts w:ascii="Arial" w:cs="Arial" w:eastAsia="Arial" w:hAnsi="Arial"/>
          <w:sz w:val="15"/>
          <w:szCs w:val="15"/>
          <w:color w:val="auto"/>
        </w:rPr>
      </w:pPr>
    </w:p>
    <w:p>
      <w:pPr>
        <w:ind w:left="320" w:right="500" w:hanging="156"/>
        <w:spacing w:after="0" w:line="283" w:lineRule="auto"/>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Vice President and General Counsel (2000 – 2002) at Lante Corporation, a former publicly traded technology consulting company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59" w:lineRule="exact"/>
        <w:rPr>
          <w:sz w:val="20"/>
          <w:szCs w:val="20"/>
          <w:color w:val="auto"/>
        </w:rPr>
      </w:pPr>
    </w:p>
    <w:p>
      <w:pPr>
        <w:ind w:left="320" w:hanging="156"/>
        <w:spacing w:after="0"/>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Health Care Service Corporation (2019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President (2022 – 2024) and Board member (2009 – Present) of The First Tee of Greater Chicago</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Illinois PGA Foundation (2005 – Present)</w:t>
      </w:r>
    </w:p>
    <w:p>
      <w:pPr>
        <w:spacing w:after="0" w:line="70" w:lineRule="exact"/>
        <w:rPr>
          <w:rFonts w:ascii="Arial" w:cs="Arial" w:eastAsia="Arial" w:hAnsi="Arial"/>
          <w:sz w:val="15"/>
          <w:szCs w:val="15"/>
          <w:color w:val="auto"/>
        </w:rPr>
      </w:pPr>
    </w:p>
    <w:p>
      <w:pPr>
        <w:ind w:left="320" w:right="140" w:hanging="156"/>
        <w:spacing w:after="0" w:line="283" w:lineRule="auto"/>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President (2024 – Present) and Board member (2014 – 2020; 2023 – Present) of The TimeLine Theater Company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 With Distinction, Northwestern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J.D., Cum Laude, Harvard Law School</w:t>
      </w:r>
    </w:p>
    <w:p>
      <w:pPr>
        <w:spacing w:after="0" w:line="84" w:lineRule="exact"/>
        <w:rPr>
          <w:rFonts w:ascii="Arial" w:cs="Arial" w:eastAsia="Arial" w:hAnsi="Arial"/>
          <w:sz w:val="15"/>
          <w:szCs w:val="15"/>
          <w:color w:val="auto"/>
        </w:rPr>
      </w:pPr>
    </w:p>
    <w:p>
      <w:pPr>
        <w:ind w:left="320" w:hanging="156"/>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 Certificate: Cybersecurity Oversight, Carnegie Mellon University Software Engineering Institute</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Certificate: Corporate Director, Harvard Business School</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National Association of Corporate Directors (NACD) Directorship Certified</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78105</wp:posOffset>
            </wp:positionV>
            <wp:extent cx="58807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10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5332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80735"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FFFFFF"/>
        </w:rPr>
        <w:t>Manuel B. Miranda</w:t>
      </w:r>
    </w:p>
    <w:p>
      <w:pPr>
        <w:spacing w:after="0" w:line="40"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FFFFFF"/>
        </w:rPr>
        <w:t>Former Executive Vice President, Power Delivery of Florida Power &amp; Light Company</w:t>
      </w:r>
      <w:r>
        <w:rPr>
          <w:rFonts w:ascii="Arial" w:cs="Arial" w:eastAsia="Arial" w:hAnsi="Arial"/>
          <w:sz w:val="17"/>
          <w:szCs w:val="17"/>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FFFFFF"/>
        </w:rPr>
        <w:t>​</w:t>
      </w:r>
    </w:p>
    <w:p>
      <w:pPr>
        <w:spacing w:after="0" w:line="153" w:lineRule="exact"/>
        <w:rPr>
          <w:sz w:val="20"/>
          <w:szCs w:val="20"/>
          <w:color w:val="auto"/>
        </w:rPr>
      </w:pPr>
    </w:p>
    <w:p>
      <w:pPr>
        <w:sectPr>
          <w:pgSz w:w="11900" w:h="16838" w:orient="portrait"/>
          <w:cols w:equalWidth="0" w:num="2">
            <w:col w:w="9160" w:space="720"/>
            <w:col w:w="14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Nominee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80" w:hanging="156"/>
        <w:spacing w:after="0" w:line="255" w:lineRule="auto"/>
        <w:tabs>
          <w:tab w:leader="none" w:pos="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Operations and Safety Experience—</w:t>
      </w:r>
      <w:r>
        <w:rPr>
          <w:rFonts w:ascii="Arial" w:cs="Arial" w:eastAsia="Arial" w:hAnsi="Arial"/>
          <w:sz w:val="15"/>
          <w:szCs w:val="15"/>
          <w:i w:val="1"/>
          <w:iCs w:val="1"/>
          <w:color w:val="auto"/>
        </w:rPr>
        <w:t>As the former Executive Vice President, Power and Delivery at</w:t>
      </w:r>
      <w:r>
        <w:rPr>
          <w:rFonts w:ascii="Arial" w:cs="Arial" w:eastAsia="Arial" w:hAnsi="Arial"/>
          <w:sz w:val="15"/>
          <w:szCs w:val="15"/>
          <w:color w:val="auto"/>
        </w:rPr>
        <w:t xml:space="preserve"> </w:t>
      </w:r>
      <w:r>
        <w:rPr>
          <w:rFonts w:ascii="Arial" w:cs="Arial" w:eastAsia="Arial" w:hAnsi="Arial"/>
          <w:sz w:val="15"/>
          <w:szCs w:val="15"/>
          <w:i w:val="1"/>
          <w:iCs w:val="1"/>
          <w:color w:val="auto"/>
        </w:rPr>
        <w:t>Florida Power &amp; Light Company, Mr. Miranda was responsible for the operations of the business’ transmission, substation, and distribution facilities, including with respect to reliability, customer service, and safety. This experience will be critical to the Board as it oversees the Company’s operations and plans to significantly strengthen resiliency, reliability, and safety pursuant to its ten-year capital plan.</w:t>
      </w:r>
    </w:p>
    <w:p>
      <w:pPr>
        <w:spacing w:after="0" w:line="61" w:lineRule="exact"/>
        <w:rPr>
          <w:rFonts w:ascii="Arial" w:cs="Arial" w:eastAsia="Arial" w:hAnsi="Arial"/>
          <w:sz w:val="15"/>
          <w:szCs w:val="15"/>
          <w:color w:val="auto"/>
        </w:rPr>
      </w:pPr>
    </w:p>
    <w:p>
      <w:pPr>
        <w:ind w:left="320" w:hanging="156"/>
        <w:spacing w:after="0" w:line="258" w:lineRule="auto"/>
        <w:tabs>
          <w:tab w:leader="none" w:pos="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Utility Industry Experience—</w:t>
      </w:r>
      <w:r>
        <w:rPr>
          <w:rFonts w:ascii="Arial" w:cs="Arial" w:eastAsia="Arial" w:hAnsi="Arial"/>
          <w:sz w:val="15"/>
          <w:szCs w:val="15"/>
          <w:i w:val="1"/>
          <w:iCs w:val="1"/>
          <w:color w:val="auto"/>
        </w:rPr>
        <w:t>Mr. Miranda’s more than 40 years of experience in the utility industry,</w:t>
      </w:r>
      <w:r>
        <w:rPr>
          <w:rFonts w:ascii="Arial" w:cs="Arial" w:eastAsia="Arial" w:hAnsi="Arial"/>
          <w:sz w:val="15"/>
          <w:szCs w:val="15"/>
          <w:color w:val="auto"/>
        </w:rPr>
        <w:t xml:space="preserve"> </w:t>
      </w:r>
      <w:r>
        <w:rPr>
          <w:rFonts w:ascii="Arial" w:cs="Arial" w:eastAsia="Arial" w:hAnsi="Arial"/>
          <w:sz w:val="15"/>
          <w:szCs w:val="15"/>
          <w:i w:val="1"/>
          <w:iCs w:val="1"/>
          <w:color w:val="auto"/>
        </w:rPr>
        <w:t>including his role in changing the industry’s approach to hurricane resiliency, introducing the concept of grid hardening, and leading restoration efforts for nearly 50 tropical storms and hurricanes, will provide the Board with critical insight as the it oversees the Company’s short- and long-term plans, including with respect to the continued implementation of our GHRI and SRP.</w:t>
      </w:r>
    </w:p>
    <w:p>
      <w:pPr>
        <w:spacing w:after="0" w:line="44" w:lineRule="exact"/>
        <w:rPr>
          <w:rFonts w:ascii="Arial" w:cs="Arial" w:eastAsia="Arial" w:hAnsi="Arial"/>
          <w:sz w:val="15"/>
          <w:szCs w:val="15"/>
          <w:color w:val="auto"/>
        </w:rPr>
      </w:pPr>
    </w:p>
    <w:p>
      <w:pPr>
        <w:ind w:left="320" w:right="40" w:hanging="156"/>
        <w:spacing w:after="0" w:line="263" w:lineRule="auto"/>
        <w:tabs>
          <w:tab w:leader="none" w:pos="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Human Capital Management—</w:t>
      </w:r>
      <w:r>
        <w:rPr>
          <w:rFonts w:ascii="Arial" w:cs="Arial" w:eastAsia="Arial" w:hAnsi="Arial"/>
          <w:sz w:val="15"/>
          <w:szCs w:val="15"/>
          <w:i w:val="1"/>
          <w:iCs w:val="1"/>
          <w:color w:val="auto"/>
        </w:rPr>
        <w:t>Through his service as the former Executive Vice President, Power</w:t>
      </w:r>
      <w:r>
        <w:rPr>
          <w:rFonts w:ascii="Arial" w:cs="Arial" w:eastAsia="Arial" w:hAnsi="Arial"/>
          <w:sz w:val="15"/>
          <w:szCs w:val="15"/>
          <w:color w:val="auto"/>
        </w:rPr>
        <w:t xml:space="preserve"> </w:t>
      </w:r>
      <w:r>
        <w:rPr>
          <w:rFonts w:ascii="Arial" w:cs="Arial" w:eastAsia="Arial" w:hAnsi="Arial"/>
          <w:sz w:val="15"/>
          <w:szCs w:val="15"/>
          <w:i w:val="1"/>
          <w:iCs w:val="1"/>
          <w:color w:val="auto"/>
        </w:rPr>
        <w:t>and Delivery at Florida Power &amp; Light Company, Mr. Miranda led a workforce of over 6,000 employees and contractors and maintained a strong focus on employee engagement and safety, as well as creating a positive work culture. The Board believes that this experience will be valuable in helping the Board to oversee the Company’s workforce development and strategies.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right="40" w:hanging="156"/>
        <w:spacing w:after="0" w:line="263" w:lineRule="auto"/>
        <w:tabs>
          <w:tab w:leader="none" w:pos="3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Held various positions (1982 – 2024) of increasing responsibilities including the positions of Executive Vice President, Power Delivery (2013 – 2024), President, Florida City Gas (2022 – 2023), Vice President of Transmission &amp; Substation (2010 – 2013), and Vice President of Distribution System Performance (2006 – 2010) of Florida Power &amp; Light Co., the largest power utility in Florida and a subsidiary of NextEra Energy, Inc., the largest electric utility company in the United States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59" w:lineRule="exact"/>
        <w:rPr>
          <w:sz w:val="20"/>
          <w:szCs w:val="20"/>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Ubicquia, Inc. (2024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University of Miami College of Engineering Advisory Board (2012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Florida Electric Power Coordinating Group (2021 – 2023)</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Florida Reliability Coordinating Council (2019 – 2023)</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Southeastern Electric Exchange (2016 – 2023)</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Association of Edison Illuminating Companies (2022 – 2023)</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Southeastern Electric Reliability Council (2019 – 2022)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M.B.A., Nova Southeastern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B.S., University of Miami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7792" w:lineRule="exact"/>
        <w:rPr>
          <w:sz w:val="20"/>
          <w:szCs w:val="20"/>
          <w:color w:val="auto"/>
        </w:rPr>
      </w:pPr>
    </w:p>
    <w:p>
      <w:pPr>
        <w:sectPr>
          <w:pgSz w:w="11900" w:h="16838" w:orient="portrait"/>
          <w:cols w:equalWidth="0" w:num="3">
            <w:col w:w="2240" w:space="500"/>
            <w:col w:w="7080" w:space="120"/>
            <w:col w:w="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557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0735" cy="355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540" w:type="dxa"/>
            <w:vAlign w:val="bottom"/>
          </w:tcPr>
          <w:p>
            <w:pPr>
              <w:spacing w:after="0"/>
              <w:rPr>
                <w:sz w:val="20"/>
                <w:szCs w:val="20"/>
                <w:color w:val="auto"/>
              </w:rPr>
            </w:pPr>
            <w:r>
              <w:rPr>
                <w:rFonts w:ascii="Arial" w:cs="Arial" w:eastAsia="Arial" w:hAnsi="Arial"/>
                <w:sz w:val="18"/>
                <w:szCs w:val="18"/>
                <w:b w:val="1"/>
                <w:bCs w:val="1"/>
                <w:color w:val="FFFFFF"/>
              </w:rPr>
              <w:t>Theodore F. Pound</w:t>
            </w:r>
          </w:p>
        </w:tc>
        <w:tc>
          <w:tcPr>
            <w:tcW w:w="3480" w:type="dxa"/>
            <w:vAlign w:val="bottom"/>
            <w:vMerge w:val="restart"/>
          </w:tcPr>
          <w:p>
            <w:pPr>
              <w:ind w:left="34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5540" w:type="dxa"/>
            <w:vAlign w:val="bottom"/>
            <w:vMerge w:val="restart"/>
          </w:tcPr>
          <w:p>
            <w:pPr>
              <w:spacing w:after="0"/>
              <w:rPr>
                <w:sz w:val="20"/>
                <w:szCs w:val="20"/>
                <w:color w:val="auto"/>
              </w:rPr>
            </w:pPr>
            <w:r>
              <w:rPr>
                <w:rFonts w:ascii="Arial" w:cs="Arial" w:eastAsia="Arial" w:hAnsi="Arial"/>
                <w:sz w:val="16"/>
                <w:szCs w:val="16"/>
                <w:color w:val="FFFFFF"/>
              </w:rPr>
              <w:t>Private Investor and Attorney</w:t>
            </w:r>
            <w:r>
              <w:rPr>
                <w:rFonts w:ascii="Arial" w:cs="Arial" w:eastAsia="Arial" w:hAnsi="Arial"/>
                <w:sz w:val="17"/>
                <w:szCs w:val="17"/>
                <w:color w:val="FFFFFF"/>
              </w:rPr>
              <w:t>​</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54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2015</w:t>
      </w:r>
    </w:p>
    <w:p>
      <w:pPr>
        <w:spacing w:after="0" w:line="192"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060" w:hanging="167"/>
        <w:spacing w:after="0" w:line="300"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Human Capital and Compensation (Chair)</w:t>
      </w:r>
    </w:p>
    <w:p>
      <w:pPr>
        <w:ind w:left="1060" w:hanging="167"/>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140" w:hanging="156"/>
        <w:spacing w:after="0" w:line="258" w:lineRule="auto"/>
        <w:tabs>
          <w:tab w:leader="none" w:pos="3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Public Company Governance Experience—</w:t>
      </w:r>
      <w:r>
        <w:rPr>
          <w:rFonts w:ascii="Arial" w:cs="Arial" w:eastAsia="Arial" w:hAnsi="Arial"/>
          <w:sz w:val="15"/>
          <w:szCs w:val="15"/>
          <w:i w:val="1"/>
          <w:iCs w:val="1"/>
          <w:color w:val="auto"/>
        </w:rPr>
        <w:t>As a former General Counsel at a public company and</w:t>
      </w:r>
      <w:r>
        <w:rPr>
          <w:rFonts w:ascii="Arial" w:cs="Arial" w:eastAsia="Arial" w:hAnsi="Arial"/>
          <w:sz w:val="15"/>
          <w:szCs w:val="15"/>
          <w:color w:val="auto"/>
        </w:rPr>
        <w:t xml:space="preserve"> </w:t>
      </w:r>
      <w:r>
        <w:rPr>
          <w:rFonts w:ascii="Arial" w:cs="Arial" w:eastAsia="Arial" w:hAnsi="Arial"/>
          <w:sz w:val="15"/>
          <w:szCs w:val="15"/>
          <w:i w:val="1"/>
          <w:iCs w:val="1"/>
          <w:color w:val="auto"/>
        </w:rPr>
        <w:t>given his tenure on the Company’s Board, Mr. Pound provides valuable insights on good governance practices of public company boards as well as guidance regarding Company-specific practices to the newer members of the Company’s Board that support the efficiency of the operation of the Board to better serve its stakeholders.</w:t>
      </w:r>
    </w:p>
    <w:p>
      <w:pPr>
        <w:spacing w:after="0" w:line="44" w:lineRule="exact"/>
        <w:rPr>
          <w:rFonts w:ascii="Arial" w:cs="Arial" w:eastAsia="Arial" w:hAnsi="Arial"/>
          <w:sz w:val="15"/>
          <w:szCs w:val="15"/>
          <w:color w:val="auto"/>
        </w:rPr>
      </w:pPr>
    </w:p>
    <w:p>
      <w:pPr>
        <w:ind w:left="320" w:right="240" w:hanging="156"/>
        <w:spacing w:after="0" w:line="301" w:lineRule="auto"/>
        <w:tabs>
          <w:tab w:leader="none" w:pos="3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Human Capital Management—</w:t>
      </w:r>
      <w:r>
        <w:rPr>
          <w:rFonts w:ascii="Arial" w:cs="Arial" w:eastAsia="Arial" w:hAnsi="Arial"/>
          <w:sz w:val="15"/>
          <w:szCs w:val="15"/>
          <w:i w:val="1"/>
          <w:iCs w:val="1"/>
          <w:color w:val="auto"/>
        </w:rPr>
        <w:t>Mr. Pound provides valuable insights as a result of his experience as</w:t>
      </w:r>
      <w:r>
        <w:rPr>
          <w:rFonts w:ascii="Arial" w:cs="Arial" w:eastAsia="Arial" w:hAnsi="Arial"/>
          <w:sz w:val="15"/>
          <w:szCs w:val="15"/>
          <w:color w:val="auto"/>
        </w:rPr>
        <w:t xml:space="preserve"> </w:t>
      </w:r>
      <w:r>
        <w:rPr>
          <w:rFonts w:ascii="Arial" w:cs="Arial" w:eastAsia="Arial" w:hAnsi="Arial"/>
          <w:sz w:val="15"/>
          <w:szCs w:val="15"/>
          <w:i w:val="1"/>
          <w:iCs w:val="1"/>
          <w:color w:val="auto"/>
        </w:rPr>
        <w:t>a General Counsel reviewing various executive compensation designs and programs.</w:t>
      </w:r>
    </w:p>
    <w:p>
      <w:pPr>
        <w:spacing w:after="0" w:line="12" w:lineRule="exact"/>
        <w:rPr>
          <w:rFonts w:ascii="Arial" w:cs="Arial" w:eastAsia="Arial" w:hAnsi="Arial"/>
          <w:sz w:val="15"/>
          <w:szCs w:val="15"/>
          <w:color w:val="auto"/>
        </w:rPr>
      </w:pPr>
    </w:p>
    <w:p>
      <w:pPr>
        <w:ind w:left="320" w:right="340" w:hanging="156"/>
        <w:spacing w:after="0" w:line="263" w:lineRule="auto"/>
        <w:tabs>
          <w:tab w:leader="none" w:pos="3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Finance and Accounting—</w:t>
      </w:r>
      <w:r>
        <w:rPr>
          <w:rFonts w:ascii="Arial" w:cs="Arial" w:eastAsia="Arial" w:hAnsi="Arial"/>
          <w:sz w:val="15"/>
          <w:szCs w:val="15"/>
          <w:i w:val="1"/>
          <w:iCs w:val="1"/>
          <w:color w:val="auto"/>
        </w:rPr>
        <w:t>As a former General Counsel of a public company, Mr. Pound has</w:t>
      </w:r>
      <w:r>
        <w:rPr>
          <w:rFonts w:ascii="Arial" w:cs="Arial" w:eastAsia="Arial" w:hAnsi="Arial"/>
          <w:sz w:val="15"/>
          <w:szCs w:val="15"/>
          <w:color w:val="auto"/>
        </w:rPr>
        <w:t xml:space="preserve"> </w:t>
      </w:r>
      <w:r>
        <w:rPr>
          <w:rFonts w:ascii="Arial" w:cs="Arial" w:eastAsia="Arial" w:hAnsi="Arial"/>
          <w:sz w:val="15"/>
          <w:szCs w:val="15"/>
          <w:i w:val="1"/>
          <w:iCs w:val="1"/>
          <w:color w:val="auto"/>
        </w:rPr>
        <w:t>extensive experience with preparing and reviewing filings with the SEC, including financial results. Mr. Pound provides valuable insights with reviewing the Company’s public filings, including its financial results.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hanging="156"/>
        <w:spacing w:after="0"/>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Private Investor and Attorney (2016 – Present)</w:t>
      </w:r>
    </w:p>
    <w:p>
      <w:pPr>
        <w:spacing w:after="0" w:line="70" w:lineRule="exact"/>
        <w:rPr>
          <w:rFonts w:ascii="Arial" w:cs="Arial" w:eastAsia="Arial" w:hAnsi="Arial"/>
          <w:sz w:val="15"/>
          <w:szCs w:val="15"/>
          <w:color w:val="auto"/>
        </w:rPr>
      </w:pPr>
    </w:p>
    <w:p>
      <w:pPr>
        <w:ind w:left="320" w:right="340" w:hanging="156"/>
        <w:spacing w:after="0" w:line="283" w:lineRule="auto"/>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Vice President, General Counsel and Corporate Secretary (2013 – 2016) at Select Energy Services, LLC, a private company providing water solutions and well-site services to energy producers</w:t>
      </w:r>
    </w:p>
    <w:p>
      <w:pPr>
        <w:spacing w:after="0" w:line="38" w:lineRule="exact"/>
        <w:rPr>
          <w:rFonts w:ascii="Arial" w:cs="Arial" w:eastAsia="Arial" w:hAnsi="Arial"/>
          <w:sz w:val="15"/>
          <w:szCs w:val="15"/>
          <w:color w:val="auto"/>
        </w:rPr>
      </w:pPr>
    </w:p>
    <w:p>
      <w:pPr>
        <w:ind w:left="320" w:right="140" w:hanging="156"/>
        <w:spacing w:after="0" w:line="283" w:lineRule="auto"/>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Vice President, General Counsel and Secretary (2004 – 2011) at Allis-Chalmers Energy, Inc., a publicly traded oilfield services company</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73" w:lineRule="exact"/>
        <w:rPr>
          <w:sz w:val="20"/>
          <w:szCs w:val="20"/>
          <w:color w:val="auto"/>
        </w:rPr>
      </w:pPr>
    </w:p>
    <w:p>
      <w:pPr>
        <w:ind w:left="320" w:hanging="156"/>
        <w:spacing w:after="0"/>
        <w:tabs>
          <w:tab w:leader="none" w:pos="3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 The University of Texas at Austin</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J.D., University of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12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07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880" w:type="dxa"/>
            <w:vAlign w:val="bottom"/>
          </w:tcPr>
          <w:p>
            <w:pPr>
              <w:spacing w:after="0"/>
              <w:rPr>
                <w:sz w:val="20"/>
                <w:szCs w:val="20"/>
                <w:color w:val="auto"/>
              </w:rPr>
            </w:pPr>
            <w:r>
              <w:rPr>
                <w:rFonts w:ascii="Arial" w:cs="Arial" w:eastAsia="Arial" w:hAnsi="Arial"/>
                <w:sz w:val="18"/>
                <w:szCs w:val="18"/>
                <w:b w:val="1"/>
                <w:bCs w:val="1"/>
                <w:color w:val="FFFFFF"/>
              </w:rPr>
              <w:t>Dean L. Seavers</w:t>
            </w:r>
          </w:p>
        </w:tc>
        <w:tc>
          <w:tcPr>
            <w:tcW w:w="3140" w:type="dxa"/>
            <w:vAlign w:val="bottom"/>
            <w:vMerge w:val="restart"/>
          </w:tcPr>
          <w:p>
            <w:pPr>
              <w:ind w:left="308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5880" w:type="dxa"/>
            <w:vAlign w:val="bottom"/>
            <w:vMerge w:val="restart"/>
          </w:tcPr>
          <w:p>
            <w:pPr>
              <w:spacing w:after="0"/>
              <w:rPr>
                <w:sz w:val="20"/>
                <w:szCs w:val="20"/>
                <w:color w:val="auto"/>
              </w:rPr>
            </w:pPr>
            <w:r>
              <w:rPr>
                <w:rFonts w:ascii="Arial" w:cs="Arial" w:eastAsia="Arial" w:hAnsi="Arial"/>
                <w:sz w:val="16"/>
                <w:szCs w:val="16"/>
                <w:color w:val="FFFFFF"/>
              </w:rPr>
              <w:t>Senior Advisor at Stifel Financial Corp.</w:t>
            </w:r>
            <w:r>
              <w:rPr>
                <w:rFonts w:ascii="Arial" w:cs="Arial" w:eastAsia="Arial" w:hAnsi="Arial"/>
                <w:sz w:val="17"/>
                <w:szCs w:val="17"/>
                <w:color w:val="FFFFFF"/>
              </w:rPr>
              <w:t>​</w:t>
            </w: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8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-1616075</wp:posOffset>
            </wp:positionV>
            <wp:extent cx="1242695" cy="5623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42695" cy="5623560"/>
                    </a:xfrm>
                    <a:prstGeom prst="rect">
                      <a:avLst/>
                    </a:prstGeom>
                    <a:noFill/>
                  </pic:spPr>
                </pic:pic>
              </a:graphicData>
            </a:graphic>
          </wp:anchor>
        </w:drawing>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Director Since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2024</w:t>
      </w:r>
    </w:p>
    <w:p>
      <w:pPr>
        <w:spacing w:after="0" w:line="192" w:lineRule="exact"/>
        <w:rPr>
          <w:sz w:val="20"/>
          <w:szCs w:val="20"/>
          <w:color w:val="auto"/>
        </w:rPr>
      </w:pPr>
    </w:p>
    <w:p>
      <w:pPr>
        <w:jc w:val="center"/>
        <w:ind w:left="14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1060" w:hanging="167"/>
        <w:spacing w:after="0"/>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Governance</w:t>
      </w:r>
    </w:p>
    <w:p>
      <w:pPr>
        <w:spacing w:after="0" w:line="38" w:lineRule="exact"/>
        <w:rPr>
          <w:rFonts w:ascii="Arial" w:cs="Arial" w:eastAsia="Arial" w:hAnsi="Arial"/>
          <w:sz w:val="16"/>
          <w:szCs w:val="16"/>
          <w:color w:val="auto"/>
        </w:rPr>
      </w:pPr>
    </w:p>
    <w:p>
      <w:pPr>
        <w:ind w:left="1060" w:hanging="167"/>
        <w:spacing w:after="0"/>
        <w:tabs>
          <w:tab w:leader="none" w:pos="10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Safety and Operations</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jc w:val="both"/>
        <w:ind w:left="320" w:right="560" w:hanging="156"/>
        <w:spacing w:after="0" w:line="273" w:lineRule="auto"/>
        <w:tabs>
          <w:tab w:leader="none" w:pos="3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Utility Industry Experience—</w:t>
      </w:r>
      <w:r>
        <w:rPr>
          <w:rFonts w:ascii="Arial" w:cs="Arial" w:eastAsia="Arial" w:hAnsi="Arial"/>
          <w:sz w:val="15"/>
          <w:szCs w:val="15"/>
          <w:i w:val="1"/>
          <w:iCs w:val="1"/>
          <w:color w:val="auto"/>
        </w:rPr>
        <w:t>Mr. Seavers’s extensive utility industry experience provides critical</w:t>
      </w:r>
      <w:r>
        <w:rPr>
          <w:rFonts w:ascii="Arial" w:cs="Arial" w:eastAsia="Arial" w:hAnsi="Arial"/>
          <w:sz w:val="15"/>
          <w:szCs w:val="15"/>
          <w:color w:val="auto"/>
        </w:rPr>
        <w:t xml:space="preserve"> </w:t>
      </w:r>
      <w:r>
        <w:rPr>
          <w:rFonts w:ascii="Arial" w:cs="Arial" w:eastAsia="Arial" w:hAnsi="Arial"/>
          <w:sz w:val="15"/>
          <w:szCs w:val="15"/>
          <w:i w:val="1"/>
          <w:iCs w:val="1"/>
          <w:color w:val="auto"/>
        </w:rPr>
        <w:t>insights to the Board as the Board oversees and develops the Company’s short- and long-term strategies to effectively serve the Company’s customers and other stakeholders.</w:t>
      </w:r>
    </w:p>
    <w:p>
      <w:pPr>
        <w:spacing w:after="0" w:line="32" w:lineRule="exact"/>
        <w:rPr>
          <w:rFonts w:ascii="Arial" w:cs="Arial" w:eastAsia="Arial" w:hAnsi="Arial"/>
          <w:sz w:val="15"/>
          <w:szCs w:val="15"/>
          <w:color w:val="auto"/>
        </w:rPr>
      </w:pPr>
    </w:p>
    <w:p>
      <w:pPr>
        <w:ind w:left="320" w:right="180" w:hanging="156"/>
        <w:spacing w:after="0" w:line="258" w:lineRule="auto"/>
        <w:tabs>
          <w:tab w:leader="none" w:pos="3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Operations and Safety Experience—</w:t>
      </w:r>
      <w:r>
        <w:rPr>
          <w:rFonts w:ascii="Arial" w:cs="Arial" w:eastAsia="Arial" w:hAnsi="Arial"/>
          <w:sz w:val="15"/>
          <w:szCs w:val="15"/>
          <w:i w:val="1"/>
          <w:iCs w:val="1"/>
          <w:color w:val="auto"/>
        </w:rPr>
        <w:t>Mr. Seavers previously served as President of National Grid</w:t>
      </w:r>
      <w:r>
        <w:rPr>
          <w:rFonts w:ascii="Arial" w:cs="Arial" w:eastAsia="Arial" w:hAnsi="Arial"/>
          <w:sz w:val="15"/>
          <w:szCs w:val="15"/>
          <w:color w:val="auto"/>
        </w:rPr>
        <w:t xml:space="preserve"> </w:t>
      </w:r>
      <w:r>
        <w:rPr>
          <w:rFonts w:ascii="Arial" w:cs="Arial" w:eastAsia="Arial" w:hAnsi="Arial"/>
          <w:sz w:val="15"/>
          <w:szCs w:val="15"/>
          <w:i w:val="1"/>
          <w:iCs w:val="1"/>
          <w:color w:val="auto"/>
        </w:rPr>
        <w:t>U.S., where he oversaw the day-to-day operations of the business, including its safety and customer satisfaction programs. This experience is important to the Board as it oversees the Company’s operations, including the safe and reliable operation of its facilities for the benefit of the communities it serves and its employees.</w:t>
      </w:r>
    </w:p>
    <w:p>
      <w:pPr>
        <w:spacing w:after="0" w:line="44" w:lineRule="exact"/>
        <w:rPr>
          <w:rFonts w:ascii="Arial" w:cs="Arial" w:eastAsia="Arial" w:hAnsi="Arial"/>
          <w:sz w:val="15"/>
          <w:szCs w:val="15"/>
          <w:color w:val="auto"/>
        </w:rPr>
      </w:pPr>
    </w:p>
    <w:p>
      <w:pPr>
        <w:ind w:left="320" w:right="200" w:hanging="156"/>
        <w:spacing w:after="0" w:line="263" w:lineRule="auto"/>
        <w:tabs>
          <w:tab w:leader="none" w:pos="3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Public Company Governance—</w:t>
      </w:r>
      <w:r>
        <w:rPr>
          <w:rFonts w:ascii="Arial" w:cs="Arial" w:eastAsia="Arial" w:hAnsi="Arial"/>
          <w:sz w:val="15"/>
          <w:szCs w:val="15"/>
          <w:i w:val="1"/>
          <w:iCs w:val="1"/>
          <w:color w:val="auto"/>
        </w:rPr>
        <w:t>As a current and former member of the boards of directors of various</w:t>
      </w:r>
      <w:r>
        <w:rPr>
          <w:rFonts w:ascii="Arial" w:cs="Arial" w:eastAsia="Arial" w:hAnsi="Arial"/>
          <w:sz w:val="15"/>
          <w:szCs w:val="15"/>
          <w:color w:val="auto"/>
        </w:rPr>
        <w:t xml:space="preserve"> </w:t>
      </w:r>
      <w:r>
        <w:rPr>
          <w:rFonts w:ascii="Arial" w:cs="Arial" w:eastAsia="Arial" w:hAnsi="Arial"/>
          <w:sz w:val="15"/>
          <w:szCs w:val="15"/>
          <w:i w:val="1"/>
          <w:iCs w:val="1"/>
          <w:color w:val="auto"/>
        </w:rPr>
        <w:t>other public companies, Mr. Seavers provides valuable insights regarding good governance and efficient board management practices, which are critical to the functioning of our Board for the benefit of our stakeholders.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59" w:lineRule="exact"/>
        <w:rPr>
          <w:sz w:val="20"/>
          <w:szCs w:val="20"/>
          <w:color w:val="auto"/>
        </w:rPr>
      </w:pPr>
    </w:p>
    <w:p>
      <w:pPr>
        <w:ind w:left="320" w:hanging="156"/>
        <w:spacing w:after="0"/>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Senior Advisor (2020 – Present) of Stifel Financial Corp., a full-service financial services firm</w:t>
      </w:r>
    </w:p>
    <w:p>
      <w:pPr>
        <w:spacing w:after="0" w:line="70" w:lineRule="exact"/>
        <w:rPr>
          <w:rFonts w:ascii="Arial" w:cs="Arial" w:eastAsia="Arial" w:hAnsi="Arial"/>
          <w:sz w:val="15"/>
          <w:szCs w:val="15"/>
          <w:color w:val="auto"/>
        </w:rPr>
      </w:pPr>
    </w:p>
    <w:p>
      <w:pPr>
        <w:ind w:left="320" w:right="160" w:hanging="156"/>
        <w:spacing w:after="0" w:line="273"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President (2014 – 2019) of National Grid U.S., a U.S. supplier of consumer energy, as well as Executive Director (2014 – 2019) of National Grid plc, a publicly traded multinational electricity and gas utility company</w:t>
      </w:r>
    </w:p>
    <w:p>
      <w:pPr>
        <w:spacing w:after="0" w:line="32" w:lineRule="exact"/>
        <w:rPr>
          <w:rFonts w:ascii="Arial" w:cs="Arial" w:eastAsia="Arial" w:hAnsi="Arial"/>
          <w:sz w:val="15"/>
          <w:szCs w:val="15"/>
          <w:color w:val="auto"/>
        </w:rPr>
      </w:pPr>
    </w:p>
    <w:p>
      <w:pPr>
        <w:ind w:left="320" w:right="440" w:hanging="156"/>
        <w:spacing w:after="0" w:line="301"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Chief Executive Officer and President (2012 – 2014) of Red Hawk Fire &amp; Security, a provider of life safety and security solutions</w:t>
      </w:r>
    </w:p>
    <w:p>
      <w:pPr>
        <w:spacing w:after="0" w:line="12" w:lineRule="exact"/>
        <w:rPr>
          <w:rFonts w:ascii="Arial" w:cs="Arial" w:eastAsia="Arial" w:hAnsi="Arial"/>
          <w:sz w:val="15"/>
          <w:szCs w:val="15"/>
          <w:color w:val="auto"/>
        </w:rPr>
      </w:pPr>
    </w:p>
    <w:p>
      <w:pPr>
        <w:ind w:left="320" w:right="480" w:hanging="156"/>
        <w:spacing w:after="0" w:line="283"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President of Global Services (2010 – 2011) of the Fire &amp; Security business of United Technologies Corporation, an aerospace and defense company</w:t>
      </w:r>
    </w:p>
    <w:p>
      <w:pPr>
        <w:spacing w:after="0" w:line="38" w:lineRule="exact"/>
        <w:rPr>
          <w:rFonts w:ascii="Arial" w:cs="Arial" w:eastAsia="Arial" w:hAnsi="Arial"/>
          <w:sz w:val="15"/>
          <w:szCs w:val="15"/>
          <w:color w:val="auto"/>
        </w:rPr>
      </w:pPr>
    </w:p>
    <w:p>
      <w:pPr>
        <w:ind w:left="320" w:right="200" w:hanging="156"/>
        <w:spacing w:after="0" w:line="283" w:lineRule="auto"/>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President and Chief Executive Officer (2007 – 2010) of GE Security, a former business unit of General Electric Co. that provided security and life safety solutions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Public Company</w:t>
      </w:r>
    </w:p>
    <w:p>
      <w:pPr>
        <w:spacing w:after="0" w:line="57" w:lineRule="exact"/>
        <w:rPr>
          <w:sz w:val="20"/>
          <w:szCs w:val="20"/>
          <w:color w:val="auto"/>
        </w:rPr>
      </w:pPr>
    </w:p>
    <w:p>
      <w:pPr>
        <w:ind w:left="320" w:hanging="156"/>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Albemarle Corp. (2019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Ametek Inc. (2022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Vine Hill Capital Investment Corp. (2024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PG&amp;E Corp. (2020 – 2022)</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National Grid plc (2015 – 2020)</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6EC4E8"/>
        </w:rPr>
        <w:t>Other</w:t>
      </w:r>
    </w:p>
    <w:p>
      <w:pPr>
        <w:spacing w:after="0" w:line="57" w:lineRule="exact"/>
        <w:rPr>
          <w:sz w:val="20"/>
          <w:szCs w:val="20"/>
          <w:color w:val="auto"/>
        </w:rPr>
      </w:pPr>
    </w:p>
    <w:p>
      <w:pPr>
        <w:ind w:left="320" w:hanging="156"/>
        <w:spacing w:after="0"/>
        <w:tabs>
          <w:tab w:leader="none" w:pos="3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Asplundh Board of Directors (2022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Sciens Building Solutions Board of Directors (2021 – Present)</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 Kent State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M.B.A.,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10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4612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0735"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7800" w:type="dxa"/>
            <w:vAlign w:val="bottom"/>
          </w:tcPr>
          <w:p>
            <w:pPr>
              <w:spacing w:after="0"/>
              <w:rPr>
                <w:sz w:val="20"/>
                <w:szCs w:val="20"/>
                <w:color w:val="auto"/>
              </w:rPr>
            </w:pPr>
            <w:r>
              <w:rPr>
                <w:rFonts w:ascii="Arial" w:cs="Arial" w:eastAsia="Arial" w:hAnsi="Arial"/>
                <w:sz w:val="18"/>
                <w:szCs w:val="18"/>
                <w:b w:val="1"/>
                <w:bCs w:val="1"/>
                <w:color w:val="FFFFFF"/>
              </w:rPr>
              <w:t>Phillip R. Smith</w:t>
            </w:r>
          </w:p>
        </w:tc>
        <w:tc>
          <w:tcPr>
            <w:tcW w:w="1220" w:type="dxa"/>
            <w:vAlign w:val="bottom"/>
            <w:vMerge w:val="restart"/>
          </w:tcPr>
          <w:p>
            <w:pPr>
              <w:ind w:left="116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17"/>
        </w:trPr>
        <w:tc>
          <w:tcPr>
            <w:tcW w:w="7800" w:type="dxa"/>
            <w:vAlign w:val="bottom"/>
            <w:vMerge w:val="restart"/>
          </w:tcPr>
          <w:p>
            <w:pPr>
              <w:spacing w:after="0"/>
              <w:rPr>
                <w:sz w:val="20"/>
                <w:szCs w:val="20"/>
                <w:color w:val="auto"/>
              </w:rPr>
            </w:pPr>
            <w:r>
              <w:rPr>
                <w:rFonts w:ascii="Arial" w:cs="Arial" w:eastAsia="Arial" w:hAnsi="Arial"/>
                <w:sz w:val="16"/>
                <w:szCs w:val="16"/>
                <w:color w:val="FFFFFF"/>
              </w:rPr>
              <w:t>Independent Chair of the Board and Chief Financial Officer of Marathon-Sparta Holdings, Inc.</w:t>
            </w:r>
            <w:r>
              <w:rPr>
                <w:rFonts w:ascii="Arial" w:cs="Arial" w:eastAsia="Arial" w:hAnsi="Arial"/>
                <w:sz w:val="17"/>
                <w:szCs w:val="17"/>
                <w:color w:val="FFFFFF"/>
              </w:rPr>
              <w:t>​</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8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Independent</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Director Since</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2014</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br w:type="column"/>
      </w:r>
    </w:p>
    <w:p>
      <w:pPr>
        <w:spacing w:after="0"/>
        <w:tabs>
          <w:tab w:leader="none" w:pos="718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160" w:hanging="156"/>
        <w:spacing w:after="0" w:line="273" w:lineRule="auto"/>
        <w:tabs>
          <w:tab w:leader="none" w:pos="3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Finance and Accounting—</w:t>
      </w:r>
      <w:r>
        <w:rPr>
          <w:rFonts w:ascii="Arial" w:cs="Arial" w:eastAsia="Arial" w:hAnsi="Arial"/>
          <w:sz w:val="15"/>
          <w:szCs w:val="15"/>
          <w:i w:val="1"/>
          <w:iCs w:val="1"/>
          <w:color w:val="auto"/>
        </w:rPr>
        <w:t>Mr. Smith has over 25 years of experience with preparing, reviewing, and</w:t>
      </w:r>
      <w:r>
        <w:rPr>
          <w:rFonts w:ascii="Arial" w:cs="Arial" w:eastAsia="Arial" w:hAnsi="Arial"/>
          <w:sz w:val="15"/>
          <w:szCs w:val="15"/>
          <w:color w:val="auto"/>
        </w:rPr>
        <w:t xml:space="preserve"> </w:t>
      </w:r>
      <w:r>
        <w:rPr>
          <w:rFonts w:ascii="Arial" w:cs="Arial" w:eastAsia="Arial" w:hAnsi="Arial"/>
          <w:sz w:val="15"/>
          <w:szCs w:val="15"/>
          <w:i w:val="1"/>
          <w:iCs w:val="1"/>
          <w:color w:val="auto"/>
        </w:rPr>
        <w:t>auditing public company financial statements and is a licensed CPA. The Board finds this experience critical to the Board’s oversight of the Company’s financial statements and filings with the SEC.</w:t>
      </w:r>
    </w:p>
    <w:p>
      <w:pPr>
        <w:spacing w:after="0" w:line="32" w:lineRule="exact"/>
        <w:rPr>
          <w:rFonts w:ascii="Arial" w:cs="Arial" w:eastAsia="Arial" w:hAnsi="Arial"/>
          <w:sz w:val="15"/>
          <w:szCs w:val="15"/>
          <w:color w:val="auto"/>
        </w:rPr>
      </w:pPr>
    </w:p>
    <w:p>
      <w:pPr>
        <w:ind w:left="320" w:right="340" w:hanging="156"/>
        <w:spacing w:after="0" w:line="263" w:lineRule="auto"/>
        <w:tabs>
          <w:tab w:leader="none" w:pos="3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Cybersecurity and Physical Security—</w:t>
      </w:r>
      <w:r>
        <w:rPr>
          <w:rFonts w:ascii="Arial" w:cs="Arial" w:eastAsia="Arial" w:hAnsi="Arial"/>
          <w:sz w:val="15"/>
          <w:szCs w:val="15"/>
          <w:i w:val="1"/>
          <w:iCs w:val="1"/>
          <w:color w:val="auto"/>
        </w:rPr>
        <w:t>As part of Mr. Smith’s auditing experience and as part of</w:t>
      </w:r>
      <w:r>
        <w:rPr>
          <w:rFonts w:ascii="Arial" w:cs="Arial" w:eastAsia="Arial" w:hAnsi="Arial"/>
          <w:sz w:val="15"/>
          <w:szCs w:val="15"/>
          <w:color w:val="auto"/>
        </w:rPr>
        <w:t xml:space="preserve"> </w:t>
      </w:r>
      <w:r>
        <w:rPr>
          <w:rFonts w:ascii="Arial" w:cs="Arial" w:eastAsia="Arial" w:hAnsi="Arial"/>
          <w:sz w:val="15"/>
          <w:szCs w:val="15"/>
          <w:i w:val="1"/>
          <w:iCs w:val="1"/>
          <w:color w:val="auto"/>
        </w:rPr>
        <w:t>maintaining his CPA license, he has received significant training regarding cybersecurity, including risk oversight, that he uses to provide insight regarding the Company’s ongoing cybersecurity program.</w:t>
      </w:r>
    </w:p>
    <w:p>
      <w:pPr>
        <w:spacing w:after="0" w:line="40" w:lineRule="exact"/>
        <w:rPr>
          <w:rFonts w:ascii="Arial" w:cs="Arial" w:eastAsia="Arial" w:hAnsi="Arial"/>
          <w:sz w:val="15"/>
          <w:szCs w:val="15"/>
          <w:color w:val="auto"/>
        </w:rPr>
      </w:pPr>
    </w:p>
    <w:p>
      <w:pPr>
        <w:ind w:left="320" w:right="500" w:hanging="156"/>
        <w:spacing w:after="0" w:line="263" w:lineRule="auto"/>
        <w:tabs>
          <w:tab w:leader="none" w:pos="3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Energy Transition—</w:t>
      </w:r>
      <w:r>
        <w:rPr>
          <w:rFonts w:ascii="Arial" w:cs="Arial" w:eastAsia="Arial" w:hAnsi="Arial"/>
          <w:sz w:val="15"/>
          <w:szCs w:val="15"/>
          <w:i w:val="1"/>
          <w:iCs w:val="1"/>
          <w:color w:val="auto"/>
        </w:rPr>
        <w:t>As the Company continues its generation transition plan, Mr. Smith provides</w:t>
      </w:r>
      <w:r>
        <w:rPr>
          <w:rFonts w:ascii="Arial" w:cs="Arial" w:eastAsia="Arial" w:hAnsi="Arial"/>
          <w:sz w:val="15"/>
          <w:szCs w:val="15"/>
          <w:color w:val="auto"/>
        </w:rPr>
        <w:t xml:space="preserve"> </w:t>
      </w:r>
      <w:r>
        <w:rPr>
          <w:rFonts w:ascii="Arial" w:cs="Arial" w:eastAsia="Arial" w:hAnsi="Arial"/>
          <w:sz w:val="15"/>
          <w:szCs w:val="15"/>
          <w:i w:val="1"/>
          <w:iCs w:val="1"/>
          <w:color w:val="auto"/>
        </w:rPr>
        <w:t>valuable insight to the Company from his prior leadership at a wind and solar renewable project developer regarding the risks and opportunities associated with the development of renewable generation.</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86" w:lineRule="exact"/>
        <w:rPr>
          <w:sz w:val="20"/>
          <w:szCs w:val="20"/>
          <w:color w:val="auto"/>
        </w:rPr>
      </w:pPr>
    </w:p>
    <w:p>
      <w:pPr>
        <w:ind w:left="320" w:right="200" w:hanging="156"/>
        <w:spacing w:after="0" w:line="263" w:lineRule="auto"/>
        <w:tabs>
          <w:tab w:leader="none" w:pos="3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Chief Financial Officer (2023 – Present) and previously President and Chief Executive Officer (2019 –  2022) of Marathon-Sparta Holdings, Inc., a private company involved in non-healthcare related employee benefits programs and affiliated through common ownership with Torch Energy Advisor Inc.</w:t>
      </w:r>
    </w:p>
    <w:p>
      <w:pPr>
        <w:spacing w:after="0" w:line="53" w:lineRule="exact"/>
        <w:rPr>
          <w:rFonts w:ascii="Arial" w:cs="Arial" w:eastAsia="Arial" w:hAnsi="Arial"/>
          <w:sz w:val="15"/>
          <w:szCs w:val="15"/>
          <w:color w:val="auto"/>
        </w:rPr>
      </w:pPr>
    </w:p>
    <w:p>
      <w:pPr>
        <w:ind w:left="320" w:right="220" w:hanging="156"/>
        <w:spacing w:after="0" w:line="263" w:lineRule="auto"/>
        <w:tabs>
          <w:tab w:leader="none" w:pos="3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President and Chief Executive Officer (2013 – 2019) of Torch Energy Advisor Inc., a private energy company with interests in oil, gas and renewable energy, including the development of wind and solar renewable projects</w:t>
      </w:r>
    </w:p>
    <w:p>
      <w:pPr>
        <w:spacing w:after="0" w:line="53" w:lineRule="exact"/>
        <w:rPr>
          <w:rFonts w:ascii="Arial" w:cs="Arial" w:eastAsia="Arial" w:hAnsi="Arial"/>
          <w:sz w:val="15"/>
          <w:szCs w:val="15"/>
          <w:color w:val="auto"/>
        </w:rPr>
      </w:pPr>
    </w:p>
    <w:p>
      <w:pPr>
        <w:ind w:left="320" w:right="420" w:hanging="156"/>
        <w:spacing w:after="0" w:line="283" w:lineRule="auto"/>
        <w:tabs>
          <w:tab w:leader="none" w:pos="3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Partner (2002 – 2012) at KMPG LLP, a global network of professional firms providing audit, tax and advisory services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73" w:lineRule="exact"/>
        <w:rPr>
          <w:sz w:val="20"/>
          <w:szCs w:val="20"/>
          <w:color w:val="auto"/>
        </w:rPr>
      </w:pPr>
    </w:p>
    <w:p>
      <w:pPr>
        <w:ind w:left="320" w:hanging="156"/>
        <w:spacing w:after="0"/>
        <w:tabs>
          <w:tab w:leader="none" w:pos="3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Health Care Service Corporation (2021 – 2024)</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Oilstone Energy Services, Inc. (2014 – 2016)</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73" w:lineRule="exact"/>
        <w:rPr>
          <w:sz w:val="20"/>
          <w:szCs w:val="20"/>
          <w:color w:val="auto"/>
        </w:rPr>
      </w:pPr>
    </w:p>
    <w:p>
      <w:pPr>
        <w:ind w:left="320" w:hanging="156"/>
        <w:spacing w:after="0"/>
        <w:tabs>
          <w:tab w:leader="none" w:pos="3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 Baylor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M.B.A., Baylor University</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Licensed CPA—Texas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72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5408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735"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FFFFFF"/>
        </w:rPr>
        <w:t>Jason P. Wells</w:t>
      </w:r>
    </w:p>
    <w:p>
      <w:pPr>
        <w:spacing w:after="0" w:line="40" w:lineRule="exact"/>
        <w:rPr>
          <w:sz w:val="20"/>
          <w:szCs w:val="20"/>
          <w:color w:val="auto"/>
        </w:rPr>
      </w:pPr>
    </w:p>
    <w:p>
      <w:pPr>
        <w:jc w:val="right"/>
        <w:ind w:right="3600"/>
        <w:spacing w:after="0"/>
        <w:rPr>
          <w:sz w:val="20"/>
          <w:szCs w:val="20"/>
          <w:color w:val="auto"/>
        </w:rPr>
      </w:pPr>
      <w:r>
        <w:rPr>
          <w:rFonts w:ascii="Arial" w:cs="Arial" w:eastAsia="Arial" w:hAnsi="Arial"/>
          <w:sz w:val="16"/>
          <w:szCs w:val="16"/>
          <w:color w:val="FFFFFF"/>
        </w:rPr>
        <w:t>President and Chief Executive Officer of CenterPoint Energy, Inc.</w:t>
      </w:r>
      <w:r>
        <w:rPr>
          <w:rFonts w:ascii="Arial" w:cs="Arial" w:eastAsia="Arial" w:hAnsi="Arial"/>
          <w:sz w:val="17"/>
          <w:szCs w:val="17"/>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FFFFFF"/>
        </w:rPr>
        <w:t>​</w:t>
      </w:r>
    </w:p>
    <w:p>
      <w:pPr>
        <w:spacing w:after="0" w:line="153" w:lineRule="exact"/>
        <w:rPr>
          <w:sz w:val="20"/>
          <w:szCs w:val="20"/>
          <w:color w:val="auto"/>
        </w:rPr>
      </w:pPr>
    </w:p>
    <w:p>
      <w:pPr>
        <w:sectPr>
          <w:pgSz w:w="11900" w:h="16838" w:orient="portrait"/>
          <w:cols w:equalWidth="0" w:num="2">
            <w:col w:w="9160" w:space="720"/>
            <w:col w:w="14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194" w:lineRule="exact"/>
        <w:rPr>
          <w:sz w:val="20"/>
          <w:szCs w:val="20"/>
          <w:color w:val="auto"/>
        </w:rPr>
      </w:pPr>
    </w:p>
    <w:p>
      <w:pPr>
        <w:ind w:left="900"/>
        <w:spacing w:after="0" w:line="271" w:lineRule="auto"/>
        <w:rPr>
          <w:sz w:val="20"/>
          <w:szCs w:val="20"/>
          <w:color w:val="auto"/>
        </w:rPr>
      </w:pPr>
      <w:r>
        <w:rPr>
          <w:rFonts w:ascii="Arial" w:cs="Arial" w:eastAsia="Arial" w:hAnsi="Arial"/>
          <w:sz w:val="16"/>
          <w:szCs w:val="16"/>
          <w:b w:val="1"/>
          <w:bCs w:val="1"/>
          <w:color w:val="auto"/>
        </w:rPr>
        <w:t>Non-Independent Director Since Jan. 2024</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Committees: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Key Qualifications and Skills Leading to Board Nomination</w:t>
      </w:r>
    </w:p>
    <w:p>
      <w:pPr>
        <w:spacing w:after="0" w:line="73" w:lineRule="exact"/>
        <w:rPr>
          <w:sz w:val="20"/>
          <w:szCs w:val="20"/>
          <w:color w:val="auto"/>
        </w:rPr>
      </w:pPr>
    </w:p>
    <w:p>
      <w:pPr>
        <w:ind w:left="320" w:right="160" w:hanging="156"/>
        <w:spacing w:after="0" w:line="273"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Current CEO of a Public Company—</w:t>
      </w:r>
      <w:r>
        <w:rPr>
          <w:rFonts w:ascii="Arial" w:cs="Arial" w:eastAsia="Arial" w:hAnsi="Arial"/>
          <w:sz w:val="15"/>
          <w:szCs w:val="15"/>
          <w:i w:val="1"/>
          <w:iCs w:val="1"/>
          <w:color w:val="auto"/>
        </w:rPr>
        <w:t>As the President and Chief Executive Officer of the Company,</w:t>
      </w:r>
      <w:r>
        <w:rPr>
          <w:rFonts w:ascii="Arial" w:cs="Arial" w:eastAsia="Arial" w:hAnsi="Arial"/>
          <w:sz w:val="15"/>
          <w:szCs w:val="15"/>
          <w:color w:val="auto"/>
        </w:rPr>
        <w:t xml:space="preserve"> </w:t>
      </w:r>
      <w:r>
        <w:rPr>
          <w:rFonts w:ascii="Arial" w:cs="Arial" w:eastAsia="Arial" w:hAnsi="Arial"/>
          <w:sz w:val="15"/>
          <w:szCs w:val="15"/>
          <w:i w:val="1"/>
          <w:iCs w:val="1"/>
          <w:color w:val="auto"/>
        </w:rPr>
        <w:t>Mr. Wells provides valuable insight and communications to the Board regarding the management team’s execution of the Company short- and long-term plans and the operations of the Company.</w:t>
      </w:r>
    </w:p>
    <w:p>
      <w:pPr>
        <w:spacing w:after="0" w:line="32" w:lineRule="exact"/>
        <w:rPr>
          <w:rFonts w:ascii="Arial" w:cs="Arial" w:eastAsia="Arial" w:hAnsi="Arial"/>
          <w:sz w:val="15"/>
          <w:szCs w:val="15"/>
          <w:color w:val="auto"/>
        </w:rPr>
      </w:pPr>
    </w:p>
    <w:p>
      <w:pPr>
        <w:ind w:left="320" w:right="180" w:hanging="156"/>
        <w:spacing w:after="0" w:line="263"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Utility Industry Experience—</w:t>
      </w:r>
      <w:r>
        <w:rPr>
          <w:rFonts w:ascii="Arial" w:cs="Arial" w:eastAsia="Arial" w:hAnsi="Arial"/>
          <w:sz w:val="15"/>
          <w:szCs w:val="15"/>
          <w:i w:val="1"/>
          <w:iCs w:val="1"/>
          <w:color w:val="auto"/>
        </w:rPr>
        <w:t>Mr. Wells has over 10 years of experience as a senior officer of public</w:t>
      </w:r>
      <w:r>
        <w:rPr>
          <w:rFonts w:ascii="Arial" w:cs="Arial" w:eastAsia="Arial" w:hAnsi="Arial"/>
          <w:sz w:val="15"/>
          <w:szCs w:val="15"/>
          <w:color w:val="auto"/>
        </w:rPr>
        <w:t xml:space="preserve"> </w:t>
      </w:r>
      <w:r>
        <w:rPr>
          <w:rFonts w:ascii="Arial" w:cs="Arial" w:eastAsia="Arial" w:hAnsi="Arial"/>
          <w:sz w:val="15"/>
          <w:szCs w:val="15"/>
          <w:i w:val="1"/>
          <w:iCs w:val="1"/>
          <w:color w:val="auto"/>
        </w:rPr>
        <w:t>utility companies, which provides the Board with valuable insight regarding the current state of the industry and expectations going forward, which is critical for the Board when developing and overseeing the Company’s short- and long-term strategic plans.</w:t>
      </w:r>
    </w:p>
    <w:p>
      <w:pPr>
        <w:spacing w:after="0" w:line="40" w:lineRule="exact"/>
        <w:rPr>
          <w:rFonts w:ascii="Arial" w:cs="Arial" w:eastAsia="Arial" w:hAnsi="Arial"/>
          <w:sz w:val="15"/>
          <w:szCs w:val="15"/>
          <w:color w:val="auto"/>
        </w:rPr>
      </w:pPr>
    </w:p>
    <w:p>
      <w:pPr>
        <w:jc w:val="both"/>
        <w:ind w:left="320" w:right="160" w:hanging="156"/>
        <w:spacing w:after="0" w:line="263"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Operations and Safety Experience—</w:t>
      </w:r>
      <w:r>
        <w:rPr>
          <w:rFonts w:ascii="Arial" w:cs="Arial" w:eastAsia="Arial" w:hAnsi="Arial"/>
          <w:sz w:val="15"/>
          <w:szCs w:val="15"/>
          <w:i w:val="1"/>
          <w:iCs w:val="1"/>
          <w:color w:val="auto"/>
        </w:rPr>
        <w:t>Mr. Wells previously served as President and Chief Operating</w:t>
      </w:r>
      <w:r>
        <w:rPr>
          <w:rFonts w:ascii="Arial" w:cs="Arial" w:eastAsia="Arial" w:hAnsi="Arial"/>
          <w:sz w:val="15"/>
          <w:szCs w:val="15"/>
          <w:color w:val="auto"/>
        </w:rPr>
        <w:t xml:space="preserve"> </w:t>
      </w:r>
      <w:r>
        <w:rPr>
          <w:rFonts w:ascii="Arial" w:cs="Arial" w:eastAsia="Arial" w:hAnsi="Arial"/>
          <w:sz w:val="15"/>
          <w:szCs w:val="15"/>
          <w:i w:val="1"/>
          <w:iCs w:val="1"/>
          <w:color w:val="auto"/>
        </w:rPr>
        <w:t>Officer of the Company, where he oversaw the day-to-day operations of the business, including its safety program. This experience supports the Board as it oversees and develops short- and long-term business strategies and oversees the Company’s safety program.</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Experience</w:t>
      </w:r>
    </w:p>
    <w:p>
      <w:pPr>
        <w:spacing w:after="0" w:line="73" w:lineRule="exact"/>
        <w:rPr>
          <w:sz w:val="20"/>
          <w:szCs w:val="20"/>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President and Chief Executive Officer (2024 – Present) of CenterPoint Energy, Inc.</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President and Chief Operating Officer (2023 – 2024) of CenterPoint Energy, Inc.</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President, Chief Operating Officer and Chief Financial Officer (2023) of CenterPoint Energy, Inc.</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Executive Vice President and Chief Financial Officer (2020 – 2022) of CenterPoint Energy, Inc.</w:t>
      </w:r>
    </w:p>
    <w:p>
      <w:pPr>
        <w:spacing w:after="0" w:line="70" w:lineRule="exact"/>
        <w:rPr>
          <w:rFonts w:ascii="Arial" w:cs="Arial" w:eastAsia="Arial" w:hAnsi="Arial"/>
          <w:sz w:val="15"/>
          <w:szCs w:val="15"/>
          <w:color w:val="auto"/>
        </w:rPr>
      </w:pPr>
    </w:p>
    <w:p>
      <w:pPr>
        <w:ind w:left="320" w:right="200" w:hanging="156"/>
        <w:spacing w:after="0" w:line="263" w:lineRule="auto"/>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Executive Vice President and Chief Financial Officer (2019 – 2020) of PG&amp;E Corporation, a publicly traded electric utility holding company serving approximately 16 million customers through its subsidiary Pacific Gas and Electric Company. PG&amp;E Corporation filed Chapter 11 bankruptcy on January 29, 2019 and successfully emerged from bankruptcy on July 1, 2020</w:t>
      </w:r>
    </w:p>
    <w:p>
      <w:pPr>
        <w:spacing w:after="0" w:line="26" w:lineRule="exact"/>
        <w:rPr>
          <w:rFonts w:ascii="Arial" w:cs="Arial" w:eastAsia="Arial" w:hAnsi="Arial"/>
          <w:sz w:val="15"/>
          <w:szCs w:val="15"/>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Senior Vice President and Chief Financial Officer (2016 – 2019) at PG&amp;E Corporation</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Vice President, Business Finance (2013 – 2016) at Pacific Gas and Electric Company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Other Boards (For Profit and Non-Profit Entities)</w:t>
      </w:r>
    </w:p>
    <w:p>
      <w:pPr>
        <w:spacing w:after="0" w:line="59" w:lineRule="exact"/>
        <w:rPr>
          <w:sz w:val="20"/>
          <w:szCs w:val="20"/>
          <w:color w:val="auto"/>
        </w:rPr>
      </w:pPr>
    </w:p>
    <w:p>
      <w:pPr>
        <w:ind w:left="320" w:hanging="156"/>
        <w:spacing w:after="0"/>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M.D. Anderson Cancer Center, Board of Visitors (2022 – Present)</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Kinder Rice Institute for Urban Development Advisory Board (2021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Central Houston, Inc. (2022 – Present)</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Executive Committee and Board, Greater Houston Partnership (2023 – Present)</w:t>
      </w:r>
    </w:p>
    <w:p>
      <w:pPr>
        <w:spacing w:after="0" w:line="84" w:lineRule="exact"/>
        <w:rPr>
          <w:rFonts w:ascii="Arial" w:cs="Arial" w:eastAsia="Arial" w:hAnsi="Arial"/>
          <w:sz w:val="15"/>
          <w:szCs w:val="15"/>
          <w:color w:val="auto"/>
        </w:rPr>
      </w:pPr>
    </w:p>
    <w:p>
      <w:pPr>
        <w:ind w:left="320" w:hanging="156"/>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Bauer College Board of the C.T. Bauer College of Business at the University of Houston (2022 – 2024)</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6EC4E8"/>
        </w:rPr>
        <w:t>Education and Credentials</w:t>
      </w:r>
    </w:p>
    <w:p>
      <w:pPr>
        <w:spacing w:after="0" w:line="59" w:lineRule="exact"/>
        <w:rPr>
          <w:sz w:val="20"/>
          <w:szCs w:val="20"/>
          <w:color w:val="auto"/>
        </w:rPr>
      </w:pPr>
    </w:p>
    <w:p>
      <w:pPr>
        <w:ind w:left="320" w:hanging="156"/>
        <w:spacing w:after="0"/>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 University of Florida</w:t>
      </w:r>
    </w:p>
    <w:p>
      <w:pPr>
        <w:spacing w:after="0" w:line="70" w:lineRule="exact"/>
        <w:rPr>
          <w:rFonts w:ascii="Arial" w:cs="Arial" w:eastAsia="Arial" w:hAnsi="Arial"/>
          <w:sz w:val="15"/>
          <w:szCs w:val="15"/>
          <w:color w:val="auto"/>
        </w:rPr>
      </w:pPr>
    </w:p>
    <w:p>
      <w:pPr>
        <w:ind w:left="320" w:hanging="156"/>
        <w:spacing w:after="0"/>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M.A., University of Florida</w:t>
      </w:r>
    </w:p>
    <w:p>
      <w:pPr>
        <w:spacing w:after="0" w:line="57" w:lineRule="exact"/>
        <w:rPr>
          <w:rFonts w:ascii="Arial" w:cs="Arial" w:eastAsia="Arial" w:hAnsi="Arial"/>
          <w:sz w:val="15"/>
          <w:szCs w:val="15"/>
          <w:color w:val="auto"/>
        </w:rPr>
      </w:pPr>
    </w:p>
    <w:p>
      <w:pPr>
        <w:ind w:left="320" w:hanging="156"/>
        <w:spacing w:after="0"/>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Licensed CPA (inactive)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98425</wp:posOffset>
            </wp:positionV>
            <wp:extent cx="58807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7914" w:lineRule="exact"/>
        <w:rPr>
          <w:sz w:val="20"/>
          <w:szCs w:val="20"/>
          <w:color w:val="auto"/>
        </w:rPr>
      </w:pPr>
    </w:p>
    <w:p>
      <w:pPr>
        <w:sectPr>
          <w:pgSz w:w="11900" w:h="16838" w:orient="portrait"/>
          <w:cols w:equalWidth="0" w:num="3">
            <w:col w:w="2360" w:space="380"/>
            <w:col w:w="7100" w:space="100"/>
            <w:col w:w="80"/>
          </w:cols>
          <w:pgMar w:left="580" w:top="97" w:right="129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tbl>
      <w:tblPr>
        <w:tblLayout w:type="fixed"/>
        <w:tblInd w:w="740" w:type="dxa"/>
        <w:tblCellMar>
          <w:top w:w="0" w:type="dxa"/>
          <w:left w:w="0" w:type="dxa"/>
          <w:bottom w:w="0" w:type="dxa"/>
          <w:right w:w="0" w:type="dxa"/>
        </w:tblCellMar>
      </w:tblPr>
      <w:tr>
        <w:trPr>
          <w:trHeight w:val="668"/>
        </w:trPr>
        <w:tc>
          <w:tcPr>
            <w:tcW w:w="540" w:type="dxa"/>
            <w:vAlign w:val="bottom"/>
            <w:shd w:val="clear" w:color="auto" w:fill="6EC4E8"/>
          </w:tcPr>
          <w:p>
            <w:pPr>
              <w:ind w:lef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6EC4E8"/>
          </w:tcPr>
          <w:p>
            <w:pPr>
              <w:ind w:left="460"/>
              <w:spacing w:after="0"/>
              <w:rPr>
                <w:sz w:val="20"/>
                <w:szCs w:val="20"/>
                <w:color w:val="auto"/>
              </w:rPr>
            </w:pPr>
            <w:r>
              <w:rPr>
                <w:rFonts w:ascii="Arial" w:cs="Arial" w:eastAsia="Arial" w:hAnsi="Arial"/>
                <w:sz w:val="16"/>
                <w:szCs w:val="16"/>
                <w:color w:val="auto"/>
              </w:rPr>
              <w:t>​</w:t>
            </w:r>
          </w:p>
        </w:tc>
        <w:tc>
          <w:tcPr>
            <w:tcW w:w="7900" w:type="dxa"/>
            <w:vAlign w:val="bottom"/>
            <w:shd w:val="clear" w:color="auto" w:fill="F2F2F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The Board of Directors recommends a vote FOR the election of each of the nominees as directors.</w:t>
            </w:r>
          </w:p>
        </w:tc>
        <w:tc>
          <w:tcPr>
            <w:tcW w:w="300" w:type="dxa"/>
            <w:vAlign w:val="bottom"/>
            <w:shd w:val="clear" w:color="auto" w:fill="F2F2F2"/>
          </w:tcPr>
          <w:p>
            <w:pPr>
              <w:ind w:left="240"/>
              <w:spacing w:after="0"/>
              <w:rPr>
                <w:sz w:val="20"/>
                <w:szCs w:val="20"/>
                <w:color w:val="auto"/>
              </w:rPr>
            </w:pPr>
            <w:r>
              <w:rPr>
                <w:rFonts w:ascii="Arial" w:cs="Arial" w:eastAsia="Arial" w:hAnsi="Arial"/>
                <w:sz w:val="16"/>
                <w:szCs w:val="16"/>
                <w:color w:val="auto"/>
              </w:rPr>
              <w:t>​</w:t>
            </w:r>
          </w:p>
        </w:tc>
      </w:tr>
      <w:tr>
        <w:trPr>
          <w:trHeight w:val="453"/>
        </w:trPr>
        <w:tc>
          <w:tcPr>
            <w:tcW w:w="540" w:type="dxa"/>
            <w:vAlign w:val="bottom"/>
            <w:shd w:val="clear" w:color="auto" w:fill="6EC4E8"/>
          </w:tcPr>
          <w:p>
            <w:pPr>
              <w:spacing w:after="0"/>
              <w:rPr>
                <w:sz w:val="24"/>
                <w:szCs w:val="24"/>
                <w:color w:val="auto"/>
              </w:rPr>
            </w:pPr>
          </w:p>
        </w:tc>
        <w:tc>
          <w:tcPr>
            <w:tcW w:w="520" w:type="dxa"/>
            <w:vAlign w:val="bottom"/>
            <w:shd w:val="clear" w:color="auto" w:fill="6EC4E8"/>
          </w:tcPr>
          <w:p>
            <w:pPr>
              <w:spacing w:after="0"/>
              <w:rPr>
                <w:sz w:val="24"/>
                <w:szCs w:val="24"/>
                <w:color w:val="auto"/>
              </w:rPr>
            </w:pPr>
          </w:p>
        </w:tc>
        <w:tc>
          <w:tcPr>
            <w:tcW w:w="7900" w:type="dxa"/>
            <w:vAlign w:val="bottom"/>
            <w:shd w:val="clear" w:color="auto" w:fill="F2F2F2"/>
          </w:tcPr>
          <w:p>
            <w:pPr>
              <w:spacing w:after="0"/>
              <w:rPr>
                <w:sz w:val="24"/>
                <w:szCs w:val="24"/>
                <w:color w:val="auto"/>
              </w:rPr>
            </w:pPr>
          </w:p>
        </w:tc>
        <w:tc>
          <w:tcPr>
            <w:tcW w:w="300" w:type="dxa"/>
            <w:vAlign w:val="bottom"/>
            <w:shd w:val="clear" w:color="auto" w:fill="F2F2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-496570</wp:posOffset>
            </wp:positionV>
            <wp:extent cx="274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Director Nomination Process</w:t>
      </w:r>
    </w:p>
    <w:p>
      <w:pPr>
        <w:spacing w:after="0" w:line="112" w:lineRule="exact"/>
        <w:rPr>
          <w:sz w:val="20"/>
          <w:szCs w:val="20"/>
          <w:color w:val="auto"/>
        </w:rPr>
      </w:pPr>
    </w:p>
    <w:p>
      <w:pPr>
        <w:ind w:left="740" w:right="420"/>
        <w:spacing w:after="0" w:line="266" w:lineRule="auto"/>
        <w:rPr>
          <w:sz w:val="20"/>
          <w:szCs w:val="20"/>
          <w:color w:val="auto"/>
        </w:rPr>
      </w:pPr>
      <w:r>
        <w:rPr>
          <w:rFonts w:ascii="Arial" w:cs="Arial" w:eastAsia="Arial" w:hAnsi="Arial"/>
          <w:sz w:val="16"/>
          <w:szCs w:val="16"/>
          <w:color w:val="auto"/>
        </w:rPr>
        <w:t>In assessing the qualifications of candidates for nomination as a director, in addition to qualifications set forth in our Fourth Amended and Restated Bylaws, adopted effective February 16, 2024 (the Bylaws), the Governance Committee and the Board consider the following:</w:t>
      </w:r>
    </w:p>
    <w:p>
      <w:pPr>
        <w:spacing w:after="0" w:line="144" w:lineRule="exact"/>
        <w:rPr>
          <w:sz w:val="20"/>
          <w:szCs w:val="20"/>
          <w:color w:val="auto"/>
        </w:rPr>
      </w:pPr>
    </w:p>
    <w:p>
      <w:pPr>
        <w:ind w:left="740"/>
        <w:spacing w:after="0"/>
        <w:tabs>
          <w:tab w:leader="none" w:pos="9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5880735" cy="1894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0735" cy="1894205"/>
                    </a:xfrm>
                    <a:prstGeom prst="rect">
                      <a:avLst/>
                    </a:prstGeom>
                    <a:noFill/>
                  </pic:spPr>
                </pic:pic>
              </a:graphicData>
            </a:graphic>
          </wp:anchor>
        </w:drawing>
      </w:r>
    </w:p>
    <w:p>
      <w:pPr>
        <w:spacing w:after="0" w:line="174" w:lineRule="exact"/>
        <w:rPr>
          <w:sz w:val="20"/>
          <w:szCs w:val="20"/>
          <w:color w:val="auto"/>
        </w:rPr>
      </w:pPr>
    </w:p>
    <w:p>
      <w:pPr>
        <w:ind w:left="1320" w:hanging="157"/>
        <w:spacing w:after="0"/>
        <w:tabs>
          <w:tab w:leader="none" w:pos="1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nominee’s personal and professional integrity, sound judgment, experience, and skills;</w:t>
      </w:r>
    </w:p>
    <w:p>
      <w:pPr>
        <w:spacing w:after="0" w:line="113" w:lineRule="exact"/>
        <w:rPr>
          <w:rFonts w:ascii="Arial" w:cs="Arial" w:eastAsia="Arial" w:hAnsi="Arial"/>
          <w:sz w:val="16"/>
          <w:szCs w:val="16"/>
          <w:color w:val="auto"/>
        </w:rPr>
      </w:pPr>
    </w:p>
    <w:p>
      <w:pPr>
        <w:ind w:left="1320" w:hanging="157"/>
        <w:spacing w:after="0"/>
        <w:tabs>
          <w:tab w:leader="none" w:pos="1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nominee’s ability and willingness to devote the time and effort necessary to be an effective board member;</w:t>
      </w:r>
    </w:p>
    <w:p>
      <w:pPr>
        <w:spacing w:after="0" w:line="126" w:lineRule="exact"/>
        <w:rPr>
          <w:rFonts w:ascii="Arial" w:cs="Arial" w:eastAsia="Arial" w:hAnsi="Arial"/>
          <w:sz w:val="16"/>
          <w:szCs w:val="16"/>
          <w:color w:val="auto"/>
        </w:rPr>
      </w:pPr>
    </w:p>
    <w:p>
      <w:pPr>
        <w:ind w:left="1320" w:hanging="157"/>
        <w:spacing w:after="0"/>
        <w:tabs>
          <w:tab w:leader="none" w:pos="1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nominee’s commitment to act in the best interests of CenterPoint Energy and its shareholders;</w:t>
      </w:r>
    </w:p>
    <w:p>
      <w:pPr>
        <w:spacing w:after="0" w:line="126" w:lineRule="exact"/>
        <w:rPr>
          <w:rFonts w:ascii="Arial" w:cs="Arial" w:eastAsia="Arial" w:hAnsi="Arial"/>
          <w:sz w:val="16"/>
          <w:szCs w:val="16"/>
          <w:color w:val="auto"/>
        </w:rPr>
      </w:pPr>
    </w:p>
    <w:p>
      <w:pPr>
        <w:ind w:left="1320" w:right="520" w:hanging="157"/>
        <w:spacing w:after="0" w:line="284" w:lineRule="auto"/>
        <w:tabs>
          <w:tab w:leader="none" w:pos="1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requirements under the listing standards of the New York Stock Exchange (NYSE) for a majority of independent directors, as well as qualifications applicable to membership on Board committees under the listing standards and various regulations; and</w:t>
      </w:r>
    </w:p>
    <w:p>
      <w:pPr>
        <w:spacing w:after="0" w:line="89" w:lineRule="exact"/>
        <w:rPr>
          <w:rFonts w:ascii="Arial" w:cs="Arial" w:eastAsia="Arial" w:hAnsi="Arial"/>
          <w:sz w:val="16"/>
          <w:szCs w:val="16"/>
          <w:color w:val="auto"/>
        </w:rPr>
      </w:pPr>
    </w:p>
    <w:p>
      <w:pPr>
        <w:ind w:left="1320" w:right="540" w:hanging="157"/>
        <w:spacing w:after="0" w:line="340" w:lineRule="auto"/>
        <w:tabs>
          <w:tab w:leader="none" w:pos="13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Board’s desire that the directors possess a broad range of business experience, diversity of perspective, professional skills, geographic representation, and other qualities it considers important in light of our business plan.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right="80"/>
        <w:spacing w:after="0" w:line="256" w:lineRule="auto"/>
        <w:rPr>
          <w:sz w:val="20"/>
          <w:szCs w:val="20"/>
          <w:color w:val="auto"/>
        </w:rPr>
      </w:pPr>
      <w:r>
        <w:rPr>
          <w:rFonts w:ascii="Arial" w:cs="Arial" w:eastAsia="Arial" w:hAnsi="Arial"/>
          <w:sz w:val="16"/>
          <w:szCs w:val="16"/>
          <w:color w:val="auto"/>
        </w:rPr>
        <w:t>At least annually, the Governance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range of experience, skills, perspectives, and backgrounds to see that the Company is well-managed with a focus on achieving the Company’s near- and long-term business strategy and (ii) represents the interests of the Company and its shareholders.</w:t>
      </w:r>
    </w:p>
    <w:p>
      <w:pPr>
        <w:spacing w:after="0" w:line="112" w:lineRule="exact"/>
        <w:rPr>
          <w:sz w:val="20"/>
          <w:szCs w:val="20"/>
          <w:color w:val="auto"/>
        </w:rPr>
      </w:pPr>
    </w:p>
    <w:p>
      <w:pPr>
        <w:ind w:left="740" w:right="40"/>
        <w:spacing w:after="0" w:line="253" w:lineRule="auto"/>
        <w:rPr>
          <w:sz w:val="20"/>
          <w:szCs w:val="20"/>
          <w:color w:val="auto"/>
        </w:rPr>
      </w:pPr>
      <w:r>
        <w:rPr>
          <w:rFonts w:ascii="Arial" w:cs="Arial" w:eastAsia="Arial" w:hAnsi="Arial"/>
          <w:sz w:val="16"/>
          <w:szCs w:val="16"/>
          <w:color w:val="auto"/>
        </w:rPr>
        <w:t>In seeking new director candidates, the Governance Committee and the Board consider the skills, expertise, and qualities that will be required to effectively oversee management of the business and affairs of the Company. The Governance Committee and the Board also consider the diversity of the Board in terms of the perspectives, business experience, professional skills, geographic representation, and other qualities the Board considers important in light of the Company’s business plan. The Board believes that such a diverse membership enhances the Board’s deliberations and promotes inclusiveness. The Governance Committee is committed to continuing to seek out Board candidates who possess skills, experience, and qualities that will help advance the near-and long-term strategic goals of the Company.</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Director Nominations</w:t>
      </w:r>
    </w:p>
    <w:p>
      <w:pPr>
        <w:spacing w:after="0" w:line="122" w:lineRule="exact"/>
        <w:rPr>
          <w:sz w:val="20"/>
          <w:szCs w:val="20"/>
          <w:color w:val="auto"/>
        </w:rPr>
      </w:pPr>
    </w:p>
    <w:p>
      <w:pPr>
        <w:ind w:left="740" w:right="120"/>
        <w:spacing w:after="0" w:line="250" w:lineRule="auto"/>
        <w:rPr>
          <w:sz w:val="20"/>
          <w:szCs w:val="20"/>
          <w:color w:val="auto"/>
        </w:rPr>
      </w:pPr>
      <w:r>
        <w:rPr>
          <w:rFonts w:ascii="Arial" w:cs="Arial" w:eastAsia="Arial" w:hAnsi="Arial"/>
          <w:sz w:val="16"/>
          <w:szCs w:val="16"/>
          <w:color w:val="auto"/>
        </w:rPr>
        <w:t>Suggestions for potential nominees for director can come to the Governance Committee from a number of sources, including incumbent directors, officers, executive search firms, and others. If an executive search firm is engaged for this purpose, the Governance Committee has sole authority with respect to the engagement. The Governance Committee will consider recommendations of potential director candidates from shareholders based on the same criteria as a candidate identified by the Governance Committee. The extent to which the Governance Committee dedicates time and resources to the consideration and evaluation of any potential nominee brought to its attention depends on the information available to the Governance Committee about the qualifications and suitability of the individual, viewed in light of the needs of the Board, and is at the Governance Committee’s discretion. The Governance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near- and long-term business strategy.</w:t>
      </w:r>
    </w:p>
    <w:p>
      <w:pPr>
        <w:spacing w:after="0" w:line="106" w:lineRule="exact"/>
        <w:rPr>
          <w:sz w:val="20"/>
          <w:szCs w:val="20"/>
          <w:color w:val="auto"/>
        </w:rPr>
      </w:pPr>
    </w:p>
    <w:p>
      <w:pPr>
        <w:ind w:left="740" w:right="80"/>
        <w:spacing w:after="0" w:line="274" w:lineRule="auto"/>
        <w:rPr>
          <w:sz w:val="20"/>
          <w:szCs w:val="20"/>
          <w:color w:val="auto"/>
        </w:rPr>
      </w:pPr>
      <w:r>
        <w:rPr>
          <w:rFonts w:ascii="Arial" w:cs="Arial" w:eastAsia="Arial" w:hAnsi="Arial"/>
          <w:sz w:val="15"/>
          <w:szCs w:val="15"/>
          <w:color w:val="auto"/>
        </w:rPr>
        <w:t>In connection with the Board’s ongoing refreshment process, Ms. Fitch, Mr. Miranda, and Mr. Seavers were each identified and vetted as a potential director candidate by a third-party executive search firm retained by the Governance Committee for the purpose of identifying potential director candidates. In 2024, the Governance Committee evaluated Mr. Seavers and recommended Mr. Seavers’s appointment to the Board. The Board appointed Mr. Seavers to the Board effective December 31, 2024. Additionally, in 2025, the Governance Committee evaluated Ms. Fitch and Mr. Miranda, among other candidates, and recommended that Ms. Fitch and Mr. Miranda be nominated to the Board. The Board approved the nominations of Ms. Fitch and Mr. Miranda.</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Bylaw Requirements for Director Nominations</w:t>
      </w:r>
    </w:p>
    <w:p>
      <w:pPr>
        <w:spacing w:after="0" w:line="122" w:lineRule="exact"/>
        <w:rPr>
          <w:sz w:val="20"/>
          <w:szCs w:val="20"/>
          <w:color w:val="auto"/>
        </w:rPr>
      </w:pPr>
    </w:p>
    <w:p>
      <w:pPr>
        <w:ind w:left="740" w:right="80"/>
        <w:spacing w:after="0" w:line="273" w:lineRule="auto"/>
        <w:rPr>
          <w:sz w:val="20"/>
          <w:szCs w:val="20"/>
          <w:color w:val="auto"/>
        </w:rPr>
      </w:pPr>
      <w:r>
        <w:rPr>
          <w:rFonts w:ascii="Arial" w:cs="Arial" w:eastAsia="Arial" w:hAnsi="Arial"/>
          <w:sz w:val="15"/>
          <w:szCs w:val="15"/>
          <w:color w:val="auto"/>
        </w:rPr>
        <w:t>Our Bylaws provide that a shareholder may nominate a director for election if the shareholder sends a notice to our Corporate Secretary, which must be received at our principal executive offices no earlier than the close of business on October 18, 2025, and not later than the close of business on January 16, 2026, for the 2026 annual meeting. However, if the 2026 annual meeting is held before March 17, 2026 or after June 15, 2026, such written notice must be received by our Corporate Secretary at our principal executive office no earlier than the close of business on the 180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prior to such annual meeting and not later than the last to</w:t>
      </w:r>
    </w:p>
    <w:p>
      <w:pPr>
        <w:sectPr>
          <w:pgSz w:w="11900" w:h="16838" w:orient="portrait"/>
          <w:cols w:equalWidth="0" w:num="1">
            <w:col w:w="10020"/>
          </w:cols>
          <w:pgMar w:left="580" w:top="97" w:right="1299" w:bottom="1440" w:gutter="0" w:footer="0" w:header="0"/>
        </w:sectPr>
      </w:pPr>
    </w:p>
    <w:p>
      <w:pPr>
        <w:spacing w:after="0" w:line="139"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40" w:right="40"/>
        <w:spacing w:after="0"/>
        <w:rPr>
          <w:sz w:val="20"/>
          <w:szCs w:val="20"/>
          <w:color w:val="auto"/>
        </w:rPr>
      </w:pPr>
      <w:r>
        <w:rPr>
          <w:rFonts w:ascii="Arial" w:cs="Arial" w:eastAsia="Arial" w:hAnsi="Arial"/>
          <w:sz w:val="16"/>
          <w:szCs w:val="16"/>
          <w:color w:val="auto"/>
        </w:rPr>
        <w:t>occur of the close of business on (i) the 90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Shareholders who intend to solicit proxies in reliance on the SEC’s universal proxy rules under Rule 14a-19 of the Securities Exchange Act of 1934, as amended (the Exchange Act), under the advance notice requirements of our Bylaws must also comply with the additional content requirements of Rule 14a-19. You may obtain a copy of our Bylaws describing the requirements for the nomination of director candidates by shareholders on our website at </w:t>
      </w:r>
      <w:r>
        <w:rPr>
          <w:rFonts w:ascii="Arial" w:cs="Arial" w:eastAsia="Arial" w:hAnsi="Arial"/>
          <w:sz w:val="16"/>
          <w:szCs w:val="16"/>
          <w:i w:val="1"/>
          <w:iCs w:val="1"/>
          <w:color w:val="auto"/>
        </w:rPr>
        <w:t>https://investors.centerpointenergy.com/governance.</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Proxy Access Requirements for Director Nominations</w:t>
      </w:r>
    </w:p>
    <w:p>
      <w:pPr>
        <w:spacing w:after="0" w:line="122" w:lineRule="exact"/>
        <w:rPr>
          <w:sz w:val="20"/>
          <w:szCs w:val="20"/>
          <w:color w:val="auto"/>
        </w:rPr>
      </w:pPr>
    </w:p>
    <w:p>
      <w:pPr>
        <w:ind w:left="740" w:right="120"/>
        <w:spacing w:after="0" w:line="268" w:lineRule="auto"/>
        <w:rPr>
          <w:sz w:val="20"/>
          <w:szCs w:val="20"/>
          <w:color w:val="auto"/>
        </w:rPr>
      </w:pPr>
      <w:r>
        <w:rPr>
          <w:rFonts w:ascii="Arial" w:cs="Arial" w:eastAsia="Arial" w:hAnsi="Arial"/>
          <w:sz w:val="15"/>
          <w:szCs w:val="15"/>
          <w:color w:val="auto"/>
        </w:rPr>
        <w:t>Our Bylaws also allow eligible shareholders to nominate a candidate for election to our Board for inclusion in our proxy materials in accordance with the “proxy access” provisions of our Bylaws, which permits a nominating group of up to 20 shareholders owning three percent or more of our common stock continuously for at least three years to nominate director candidates constituting up to the greater of (i) 20 percent (or if such amount is not a whole number, the closest whole number below 20 percent) of our Board or</w:t>
      </w:r>
    </w:p>
    <w:p>
      <w:pPr>
        <w:spacing w:after="0" w:line="2" w:lineRule="exact"/>
        <w:rPr>
          <w:sz w:val="20"/>
          <w:szCs w:val="20"/>
          <w:color w:val="auto"/>
        </w:rPr>
      </w:pPr>
    </w:p>
    <w:p>
      <w:pPr>
        <w:ind w:left="740" w:right="80" w:hanging="9"/>
        <w:spacing w:after="0" w:line="235" w:lineRule="auto"/>
        <w:tabs>
          <w:tab w:leader="none" w:pos="95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two, provided that the shareholder (or group) and each nominee satisfy the requirements specified in our Bylaws. An eligible shareholder wishing to nominate a candidate for election to the Board at the 2026 annual meeting of our shareholders in accordance with the “proxy access” provisions in our Bylaws must deliver such notice to, and such notice must be received by, our Corporate Secretary at our principal executive office no earlier than November 17, 2025 and not later than December 17, 2025. However, if the 2026 annual meeting is held before March 17, 2026 or after June 15, 2026, such written notice must be received by our Corporate Secretary not earlier than 150 days prior to such annual meeting and not later than the last to occur of the close of business on (i) the 120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prior to such annual meeting or (ii) the 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following the day on which we first make public announcement of the date of such meeting. Any such notice and accompanying nomination materials must meet the requirements set forth in our Bylaws, which are publicly available at </w:t>
      </w:r>
      <w:r>
        <w:rPr>
          <w:rFonts w:ascii="Arial" w:cs="Arial" w:eastAsia="Arial" w:hAnsi="Arial"/>
          <w:sz w:val="16"/>
          <w:szCs w:val="16"/>
          <w:i w:val="1"/>
          <w:iCs w:val="1"/>
          <w:color w:val="auto"/>
        </w:rPr>
        <w:t>https://investors.centerpointenergy.com/governance</w:t>
      </w:r>
      <w:r>
        <w:rPr>
          <w:rFonts w:ascii="Arial" w:cs="Arial" w:eastAsia="Arial" w:hAnsi="Arial"/>
          <w:sz w:val="16"/>
          <w:szCs w:val="16"/>
          <w:color w:val="auto"/>
        </w:rPr>
        <w:t>.</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Waiver of Mandatory Retirement Age</w:t>
      </w:r>
    </w:p>
    <w:p>
      <w:pPr>
        <w:spacing w:after="0" w:line="122" w:lineRule="exact"/>
        <w:rPr>
          <w:sz w:val="20"/>
          <w:szCs w:val="20"/>
          <w:color w:val="auto"/>
        </w:rPr>
      </w:pPr>
    </w:p>
    <w:p>
      <w:pPr>
        <w:ind w:left="740" w:right="120"/>
        <w:spacing w:after="0" w:line="259" w:lineRule="auto"/>
        <w:rPr>
          <w:sz w:val="20"/>
          <w:szCs w:val="20"/>
          <w:color w:val="auto"/>
        </w:rPr>
      </w:pPr>
      <w:r>
        <w:rPr>
          <w:rFonts w:ascii="Arial" w:cs="Arial" w:eastAsia="Arial" w:hAnsi="Arial"/>
          <w:sz w:val="16"/>
          <w:szCs w:val="16"/>
          <w:color w:val="auto"/>
        </w:rPr>
        <w:t>The Board believes it is important to balance refreshment with the need to retain directors who have developed, over a period of time, significant insight into the Company and its operations and who continue to make valuable contributions to the Company that benefit our shareholders. Since 2020, there have been 12 new directors appointed to the Board, and the Board’s aggregate average tenure is approximately three years, well below the average tenure of approximately eight years for S&amp;P 500 companies.</w:t>
      </w:r>
    </w:p>
    <w:p>
      <w:pPr>
        <w:spacing w:after="0" w:line="97" w:lineRule="exact"/>
        <w:rPr>
          <w:sz w:val="20"/>
          <w:szCs w:val="20"/>
          <w:color w:val="auto"/>
        </w:rPr>
      </w:pPr>
    </w:p>
    <w:p>
      <w:pPr>
        <w:ind w:left="740" w:right="80"/>
        <w:spacing w:after="0" w:line="230" w:lineRule="auto"/>
        <w:rPr>
          <w:sz w:val="20"/>
          <w:szCs w:val="20"/>
          <w:color w:val="auto"/>
        </w:rPr>
      </w:pPr>
      <w:r>
        <w:rPr>
          <w:rFonts w:ascii="Arial" w:cs="Arial" w:eastAsia="Arial" w:hAnsi="Arial"/>
          <w:sz w:val="16"/>
          <w:szCs w:val="16"/>
          <w:color w:val="auto"/>
        </w:rPr>
        <w:t>Mr. Phillip R. Smith, an independent director and the Independent Chair of the Board, turned 73 years old in December 2024. Under the Company’s Bylaws, there is a mandatory retirement age policy for non-employee directors that provides that no person shall serve as a director subsequent to the annual meeting of shareholders occurring during the year of such person’s 73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birthday unless the Board waives the mandatory retirement age based on its determination that the director has special skills, experiences, or distinction having value to the Company that is not readily available or transferable.</w:t>
      </w:r>
    </w:p>
    <w:p>
      <w:pPr>
        <w:spacing w:after="0" w:line="126" w:lineRule="exact"/>
        <w:rPr>
          <w:sz w:val="20"/>
          <w:szCs w:val="20"/>
          <w:color w:val="auto"/>
        </w:rPr>
      </w:pPr>
    </w:p>
    <w:p>
      <w:pPr>
        <w:ind w:left="740" w:right="300"/>
        <w:spacing w:after="0" w:line="266" w:lineRule="auto"/>
        <w:rPr>
          <w:sz w:val="20"/>
          <w:szCs w:val="20"/>
          <w:color w:val="auto"/>
        </w:rPr>
      </w:pPr>
      <w:r>
        <w:rPr>
          <w:rFonts w:ascii="Arial" w:cs="Arial" w:eastAsia="Arial" w:hAnsi="Arial"/>
          <w:sz w:val="16"/>
          <w:szCs w:val="16"/>
          <w:color w:val="auto"/>
        </w:rPr>
        <w:t>After appropriate consideration and discussion, and upon the recommendation of the disinterested members of the Governance Committee, the disinterested members of our Board determined in 2024 that it is in the best interest of the Company and its shareholders to waive the mandatory retirement age for Mr. Phillip R. Smith for a period of two years.</w:t>
      </w:r>
    </w:p>
    <w:p>
      <w:pPr>
        <w:spacing w:after="0" w:line="90" w:lineRule="exact"/>
        <w:rPr>
          <w:sz w:val="20"/>
          <w:szCs w:val="20"/>
          <w:color w:val="auto"/>
        </w:rPr>
      </w:pPr>
    </w:p>
    <w:p>
      <w:pPr>
        <w:ind w:left="740" w:right="40"/>
        <w:spacing w:after="0" w:line="256" w:lineRule="auto"/>
        <w:rPr>
          <w:sz w:val="20"/>
          <w:szCs w:val="20"/>
          <w:color w:val="auto"/>
        </w:rPr>
      </w:pPr>
      <w:r>
        <w:rPr>
          <w:rFonts w:ascii="Arial" w:cs="Arial" w:eastAsia="Arial" w:hAnsi="Arial"/>
          <w:sz w:val="16"/>
          <w:szCs w:val="16"/>
          <w:color w:val="auto"/>
        </w:rPr>
        <w:t>In support of this waiver, the Board carefully considered the following: Mr. Smith’s extensive knowledge of the Company, particularly considering the Board’s ongoing refreshment and average director tenure of approximately four years at the time of such consideration; his ability to support the recent Chief Executive Officer transition; his leadership as the former Chair of the Audit Committee of the Board and commitment to supporting his successor in the role to promote a smooth transition for the Audit Committee.</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Annual Board Assessment and Director Evaluation</w:t>
      </w:r>
    </w:p>
    <w:p>
      <w:pPr>
        <w:spacing w:after="0" w:line="126" w:lineRule="exact"/>
        <w:rPr>
          <w:sz w:val="20"/>
          <w:szCs w:val="20"/>
          <w:color w:val="auto"/>
        </w:rPr>
      </w:pPr>
    </w:p>
    <w:p>
      <w:pPr>
        <w:ind w:left="740" w:right="80"/>
        <w:spacing w:after="0" w:line="250" w:lineRule="auto"/>
        <w:rPr>
          <w:sz w:val="20"/>
          <w:szCs w:val="20"/>
          <w:color w:val="auto"/>
        </w:rPr>
      </w:pPr>
      <w:r>
        <w:rPr>
          <w:rFonts w:ascii="Arial" w:cs="Arial" w:eastAsia="Arial" w:hAnsi="Arial"/>
          <w:sz w:val="16"/>
          <w:szCs w:val="16"/>
          <w:color w:val="auto"/>
        </w:rPr>
        <w:t>The Governance Committee annually recommends, and the Board annually performs, an assessment of the Board’s performance and effectiveness, as well as an assessment of the Board’s four standing committees. The purpose of the assessment is to track progress from year to year and to identify ways to enhance the Board’s and its committees’ effectiveness. Further, the Board, as part of its assessment, evaluates management’s preparation for Board and committee meetings and the content presented at such meetings. As part of the assessment in most years, each director completes a written questionnaire developed by the Governance Committee to provide feedback on the effectiveness of the Board and its committees, and each director completes an individual evaluation for each of the other directors. The collective ratings and comments of the directors are then compiled and presented by the Independent Chair of the Board, or by the Chair of the Governance Committee, with respect to the Independent Chair of the Board’s evaluation, to the Governance Committee and the full Board for discussion and action in connection with the director nomination process. Each individual director is also provided with any detailed individual feedback. In 2024, the Governance Committee recommended, and the Board retained, a third-party facilitator to conduct the assessment of the Board, its standing committees,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91440</wp:posOffset>
            </wp:positionV>
            <wp:extent cx="5546090" cy="539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6090" cy="5397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Director Independence</w:t>
      </w:r>
    </w:p>
    <w:p>
      <w:pPr>
        <w:spacing w:after="0" w:line="112" w:lineRule="exact"/>
        <w:rPr>
          <w:sz w:val="20"/>
          <w:szCs w:val="20"/>
          <w:color w:val="auto"/>
        </w:rPr>
      </w:pPr>
    </w:p>
    <w:p>
      <w:pPr>
        <w:ind w:left="740" w:right="120"/>
        <w:spacing w:after="0" w:line="265" w:lineRule="auto"/>
        <w:rPr>
          <w:sz w:val="20"/>
          <w:szCs w:val="20"/>
          <w:color w:val="auto"/>
        </w:rPr>
      </w:pPr>
      <w:r>
        <w:rPr>
          <w:rFonts w:ascii="Arial" w:cs="Arial" w:eastAsia="Arial" w:hAnsi="Arial"/>
          <w:sz w:val="16"/>
          <w:szCs w:val="16"/>
          <w:color w:val="auto"/>
        </w:rPr>
        <w:t>Under the NYSE listing standards and our Corporate Governance Guidelines, a majority of our directors must meet the NYSE criteria for independence. The NYSE listing standards relating to general independence require an affirmative determination by the Board that the director has no material relationship with the listed company and contain a listing of several specific relationships that preclude independence. The Board determined that Messrs. Cummings*, Franklin, Malik, Miranda, Nesbitt**, Pound, Raven*, Seavers, Smith, and Smitherman*** and Mses. Cloonan, Duganier, Fitch, and Lewis are independent within the meaning of the listing standards for general independence of the NYSE.</w:t>
      </w:r>
    </w:p>
    <w:p>
      <w:pPr>
        <w:spacing w:after="0" w:line="118" w:lineRule="exact"/>
        <w:rPr>
          <w:sz w:val="20"/>
          <w:szCs w:val="20"/>
          <w:color w:val="auto"/>
        </w:rPr>
      </w:pPr>
    </w:p>
    <w:p>
      <w:pPr>
        <w:ind w:left="740" w:right="140"/>
        <w:spacing w:after="0" w:line="286" w:lineRule="auto"/>
        <w:rPr>
          <w:sz w:val="20"/>
          <w:szCs w:val="20"/>
          <w:color w:val="auto"/>
        </w:rPr>
      </w:pPr>
      <w:r>
        <w:rPr>
          <w:rFonts w:ascii="Arial" w:cs="Arial" w:eastAsia="Arial" w:hAnsi="Arial"/>
          <w:sz w:val="16"/>
          <w:szCs w:val="16"/>
          <w:color w:val="auto"/>
        </w:rPr>
        <w:t>The Board has also adopted categorical standards to assist in making determinations of independence. The categorical standards cover two types of relationships. The first type involves relationships of the kind addressed in either:</w:t>
      </w:r>
    </w:p>
    <w:p>
      <w:pPr>
        <w:spacing w:after="0" w:line="61" w:lineRule="exact"/>
        <w:rPr>
          <w:sz w:val="20"/>
          <w:szCs w:val="20"/>
          <w:color w:val="auto"/>
        </w:rPr>
      </w:pPr>
    </w:p>
    <w:p>
      <w:pPr>
        <w:ind w:left="920" w:hanging="189"/>
        <w:spacing w:after="0"/>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rules of the SEC requiring proxy statement disclosure of certain relationships and transactions; or</w:t>
      </w:r>
    </w:p>
    <w:p>
      <w:pPr>
        <w:spacing w:after="0" w:line="126" w:lineRule="exact"/>
        <w:rPr>
          <w:rFonts w:ascii="Arial" w:cs="Arial" w:eastAsia="Arial" w:hAnsi="Arial"/>
          <w:sz w:val="16"/>
          <w:szCs w:val="16"/>
          <w:color w:val="auto"/>
        </w:rPr>
      </w:pPr>
    </w:p>
    <w:p>
      <w:pPr>
        <w:ind w:left="920" w:hanging="189"/>
        <w:spacing w:after="0"/>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NYSE listing standards specifying relationships that preclude a determination of independence.</w:t>
      </w:r>
    </w:p>
    <w:p>
      <w:pPr>
        <w:spacing w:after="0" w:line="154" w:lineRule="exact"/>
        <w:rPr>
          <w:sz w:val="20"/>
          <w:szCs w:val="20"/>
          <w:color w:val="auto"/>
        </w:rPr>
      </w:pPr>
    </w:p>
    <w:p>
      <w:pPr>
        <w:ind w:left="740" w:right="400"/>
        <w:spacing w:after="0" w:line="304" w:lineRule="auto"/>
        <w:rPr>
          <w:sz w:val="20"/>
          <w:szCs w:val="20"/>
          <w:color w:val="auto"/>
        </w:rPr>
      </w:pPr>
      <w:r>
        <w:rPr>
          <w:rFonts w:ascii="Arial" w:cs="Arial" w:eastAsia="Arial" w:hAnsi="Arial"/>
          <w:sz w:val="16"/>
          <w:szCs w:val="16"/>
          <w:color w:val="auto"/>
        </w:rPr>
        <w:t>For those relationships, the categorical standards are met if the relationship neither requires certain disclosure nor precludes a determination of independence under either set of rules.</w:t>
      </w:r>
    </w:p>
    <w:p>
      <w:pPr>
        <w:spacing w:after="0" w:line="74" w:lineRule="exact"/>
        <w:rPr>
          <w:sz w:val="20"/>
          <w:szCs w:val="20"/>
          <w:color w:val="auto"/>
        </w:rPr>
      </w:pPr>
    </w:p>
    <w:p>
      <w:pPr>
        <w:ind w:left="740" w:right="200"/>
        <w:spacing w:after="0" w:line="275" w:lineRule="auto"/>
        <w:rPr>
          <w:sz w:val="20"/>
          <w:szCs w:val="20"/>
          <w:color w:val="auto"/>
        </w:rPr>
      </w:pPr>
      <w:r>
        <w:rPr>
          <w:rFonts w:ascii="Arial" w:cs="Arial" w:eastAsia="Arial" w:hAnsi="Arial"/>
          <w:sz w:val="16"/>
          <w:szCs w:val="16"/>
          <w:color w:val="auto"/>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p>
    <w:p>
      <w:pPr>
        <w:spacing w:after="0" w:line="110" w:lineRule="exact"/>
        <w:rPr>
          <w:sz w:val="20"/>
          <w:szCs w:val="20"/>
          <w:color w:val="auto"/>
        </w:rPr>
      </w:pPr>
    </w:p>
    <w:p>
      <w:pPr>
        <w:ind w:left="740" w:right="200"/>
        <w:spacing w:after="0" w:line="285" w:lineRule="auto"/>
        <w:rPr>
          <w:sz w:val="20"/>
          <w:szCs w:val="20"/>
          <w:color w:val="auto"/>
        </w:rPr>
      </w:pPr>
      <w:r>
        <w:rPr>
          <w:rFonts w:ascii="Arial" w:cs="Arial" w:eastAsia="Arial" w:hAnsi="Arial"/>
          <w:sz w:val="15"/>
          <w:szCs w:val="15"/>
          <w:color w:val="auto"/>
        </w:rPr>
        <w:t>In making its subjective determination regarding the independence of Messrs. Cummings*, Franklin, Malik, Miranda, Nesbitt**, Pound, Raven*, Seavers, Smith, and Smitherman*** and Mses. Cloonan, Duganier, Fitch, and Lewis, the Board reviewed and discussed additional information provided by the directors and the Company with regard to each director’s business and personal activities as they related to the Company and Company management, including the previous consulting relationship between a consulting firm owned by Mr. Miranda and CenterPoint Energy Houston Electric, LLC, a subsidiary of the Company. The Board considered the transactions in the context of the NYSE’s objective listing standards and the categorical standards noted above.</w:t>
      </w:r>
    </w:p>
    <w:p>
      <w:pPr>
        <w:spacing w:after="0" w:line="94" w:lineRule="exact"/>
        <w:rPr>
          <w:sz w:val="20"/>
          <w:szCs w:val="20"/>
          <w:color w:val="auto"/>
        </w:rPr>
      </w:pPr>
    </w:p>
    <w:p>
      <w:pPr>
        <w:ind w:left="740" w:right="200"/>
        <w:spacing w:after="0" w:line="268" w:lineRule="auto"/>
        <w:rPr>
          <w:sz w:val="20"/>
          <w:szCs w:val="20"/>
          <w:color w:val="auto"/>
        </w:rPr>
      </w:pPr>
      <w:r>
        <w:rPr>
          <w:rFonts w:ascii="Arial" w:cs="Arial" w:eastAsia="Arial" w:hAnsi="Arial"/>
          <w:sz w:val="16"/>
          <w:szCs w:val="16"/>
          <w:color w:val="auto"/>
        </w:rPr>
        <w:t>We have a standing Audit Committee, Human Capital and Compensation Committee, Governance Committee, and Safety and Operations Committee. The Board has determined that all committee members are independent within the meaning of the NYSE listing standards and categorical standards noted above. The Board has additionally determined that each member of the Audit Committee and each member of the Human Capital and Compensation Committee also satisfies the heightened independence standards established by applicable SEC rules and NYSE listing standards regarding independence of audit committee members and compensation committee members.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Insider Trading Policy</w:t>
      </w:r>
    </w:p>
    <w:p>
      <w:pPr>
        <w:spacing w:after="0" w:line="126" w:lineRule="exact"/>
        <w:rPr>
          <w:sz w:val="20"/>
          <w:szCs w:val="20"/>
          <w:color w:val="auto"/>
        </w:rPr>
      </w:pPr>
    </w:p>
    <w:p>
      <w:pPr>
        <w:ind w:left="740" w:right="60"/>
        <w:spacing w:after="0" w:line="265" w:lineRule="auto"/>
        <w:rPr>
          <w:sz w:val="20"/>
          <w:szCs w:val="20"/>
          <w:color w:val="auto"/>
        </w:rPr>
      </w:pPr>
      <w:r>
        <w:rPr>
          <w:rFonts w:ascii="Arial" w:cs="Arial" w:eastAsia="Arial" w:hAnsi="Arial"/>
          <w:sz w:val="16"/>
          <w:szCs w:val="16"/>
          <w:color w:val="auto"/>
        </w:rPr>
        <w:t>We are committed to promoting high standards of ethical business conduct and compliance with applicable laws, rules, and regulations. As part of this commitment, we have adopted an Insider Trading Policy governing the purchase, sale, and other dispositions of our securities by our directors, officers, and employees, as well as by the Company itself. We believe the Insider Trading Policy is reasonably designed to promote compliance with insider trading laws, rules and regulations, and applicable NYSE listing standards. A copy of our Insider Trading Policy was filed as Exhibit 19 to our annual report on Form 10-K for the year ended December 31, 2024.</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Code of Ethics and Ethics and Compliance Code</w:t>
      </w:r>
    </w:p>
    <w:p>
      <w:pPr>
        <w:spacing w:after="0" w:line="112"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We have a Code of Ethics for our Chief Executive Officer and Senior Financial Officers, which group consists of our Chief Financial Officer, Chief Accounting Officer, Treasurer, Controller, and other senior financial officers. We will post information regarding any amendments to, or waivers of, the provisions of this code applicable to these officers at the website location referred to below under “Website Availability of Documents.”</w:t>
      </w:r>
    </w:p>
    <w:p>
      <w:pPr>
        <w:spacing w:after="0" w:line="114" w:lineRule="exact"/>
        <w:rPr>
          <w:sz w:val="20"/>
          <w:szCs w:val="20"/>
          <w:color w:val="auto"/>
        </w:rPr>
      </w:pPr>
    </w:p>
    <w:p>
      <w:pPr>
        <w:ind w:left="740" w:right="60"/>
        <w:spacing w:after="0" w:line="265" w:lineRule="auto"/>
        <w:rPr>
          <w:sz w:val="20"/>
          <w:szCs w:val="20"/>
          <w:color w:val="auto"/>
        </w:rPr>
      </w:pPr>
      <w:r>
        <w:rPr>
          <w:rFonts w:ascii="Arial" w:cs="Arial" w:eastAsia="Arial" w:hAnsi="Arial"/>
          <w:sz w:val="16"/>
          <w:szCs w:val="16"/>
          <w:color w:val="auto"/>
        </w:rPr>
        <w:t>We also have an Ethics and Compliance Code applicable to all directors, officers, and employees. This code addresses, among other things, issues required to be addressed by a code of business conduct and ethics under NYSE listing standards. Any waivers of this code for executive officers or directors may be made only by the Board or a committee of the Board and must be promptly disclosed to shareholders. In 2024, no waivers of our Code of Ethics or our Ethics and Compliance Code were granted to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0" w:right="1360" w:hanging="9"/>
        <w:spacing w:after="0" w:line="357" w:lineRule="auto"/>
        <w:tabs>
          <w:tab w:leader="none" w:pos="848" w:val="left"/>
        </w:tabs>
        <w:numPr>
          <w:ilvl w:val="0"/>
          <w:numId w:val="65"/>
        </w:numPr>
        <w:rPr>
          <w:rFonts w:ascii="Arial" w:cs="Arial" w:eastAsia="Arial" w:hAnsi="Arial"/>
          <w:sz w:val="13"/>
          <w:szCs w:val="13"/>
          <w:color w:val="auto"/>
        </w:rPr>
      </w:pPr>
      <w:r>
        <w:rPr>
          <w:rFonts w:ascii="Arial" w:cs="Arial" w:eastAsia="Arial" w:hAnsi="Arial"/>
          <w:sz w:val="13"/>
          <w:szCs w:val="13"/>
          <w:color w:val="auto"/>
        </w:rPr>
        <w:t>Messrs. Cummings and Raven will not stand for re-election as directors on the Board, and their current terms will expire at the Annual Meeting. **Mr. Nesbitt served on the Board until the 2024 annual meeting of shareholders (2024 Annual Meeting).</w:t>
      </w:r>
    </w:p>
    <w:p>
      <w:pPr>
        <w:ind w:left="740"/>
        <w:spacing w:after="0"/>
        <w:rPr>
          <w:rFonts w:ascii="Arial" w:cs="Arial" w:eastAsia="Arial" w:hAnsi="Arial"/>
          <w:sz w:val="13"/>
          <w:szCs w:val="13"/>
          <w:color w:val="auto"/>
        </w:rPr>
      </w:pPr>
      <w:r>
        <w:rPr>
          <w:rFonts w:ascii="Arial" w:cs="Arial" w:eastAsia="Arial" w:hAnsi="Arial"/>
          <w:sz w:val="13"/>
          <w:szCs w:val="13"/>
          <w:color w:val="auto"/>
        </w:rPr>
        <w:t>***Mr. Smitherman served on the Board until December 31, 2024.</w:t>
      </w:r>
    </w:p>
    <w:p>
      <w:pPr>
        <w:sectPr>
          <w:pgSz w:w="11900" w:h="16838" w:orient="portrait"/>
          <w:cols w:equalWidth="0" w:num="1">
            <w:col w:w="10020"/>
          </w:cols>
          <w:pgMar w:left="580" w:top="97" w:right="1299" w:bottom="1440" w:gutter="0" w:footer="0" w:header="0"/>
        </w:sectPr>
      </w:pPr>
    </w:p>
    <w:p>
      <w:pPr>
        <w:spacing w:after="0" w:line="269"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Conflicts of Interest and Related-Party Transactions</w:t>
      </w:r>
    </w:p>
    <w:p>
      <w:pPr>
        <w:spacing w:after="0" w:line="112" w:lineRule="exact"/>
        <w:rPr>
          <w:sz w:val="20"/>
          <w:szCs w:val="20"/>
          <w:color w:val="auto"/>
        </w:rPr>
      </w:pPr>
    </w:p>
    <w:p>
      <w:pPr>
        <w:ind w:left="740" w:right="160"/>
        <w:spacing w:after="0" w:line="286" w:lineRule="auto"/>
        <w:rPr>
          <w:sz w:val="20"/>
          <w:szCs w:val="20"/>
          <w:color w:val="auto"/>
        </w:rPr>
      </w:pPr>
      <w:r>
        <w:rPr>
          <w:rFonts w:ascii="Arial" w:cs="Arial" w:eastAsia="Arial" w:hAnsi="Arial"/>
          <w:sz w:val="16"/>
          <w:szCs w:val="16"/>
          <w:color w:val="auto"/>
        </w:rPr>
        <w:t>The Governance Committee will address and resolve any issues with respect to related-party transactions and conflicts of interest involving our executive officers, directors, or other “related persons” under the applicable disclosure rules of the SEC.</w:t>
      </w:r>
    </w:p>
    <w:p>
      <w:pPr>
        <w:spacing w:after="0" w:line="88" w:lineRule="exact"/>
        <w:rPr>
          <w:sz w:val="20"/>
          <w:szCs w:val="20"/>
          <w:color w:val="auto"/>
        </w:rPr>
      </w:pPr>
    </w:p>
    <w:p>
      <w:pPr>
        <w:ind w:left="740" w:right="60"/>
        <w:spacing w:after="0" w:line="254" w:lineRule="auto"/>
        <w:rPr>
          <w:sz w:val="20"/>
          <w:szCs w:val="20"/>
          <w:color w:val="auto"/>
        </w:rPr>
      </w:pPr>
      <w:r>
        <w:rPr>
          <w:rFonts w:ascii="Arial" w:cs="Arial" w:eastAsia="Arial" w:hAnsi="Arial"/>
          <w:sz w:val="16"/>
          <w:szCs w:val="16"/>
          <w:color w:val="auto"/>
        </w:rPr>
        <w:t>Our Ethics and Compliance Code provides that all employees must avoid even the appearance of a conflict of interest, and our Code of Ethics for our Chief Executive Officer and Senior Financial Officers similarly obligates the employees covered by that Code of Ethics (our Chief Executive Officer, Chief Financial Officer, Chief Accounting Officer, Treasurer, Controller, and other senior financial officers) to avoid taking actions that would create actual or apparent conflicts of interest. Employees are advised to seek guidance or prior written approval from the Company to help avoid certain conflicts of interest, and to contact the Ethics &amp; Compliance Department for assistance in resolving potential or actual conflict of interests.</w:t>
      </w:r>
    </w:p>
    <w:p>
      <w:pPr>
        <w:spacing w:after="0" w:line="101" w:lineRule="exact"/>
        <w:rPr>
          <w:sz w:val="20"/>
          <w:szCs w:val="20"/>
          <w:color w:val="auto"/>
        </w:rPr>
      </w:pPr>
    </w:p>
    <w:p>
      <w:pPr>
        <w:ind w:left="740" w:right="40"/>
        <w:spacing w:after="0" w:line="250" w:lineRule="auto"/>
        <w:rPr>
          <w:sz w:val="20"/>
          <w:szCs w:val="20"/>
          <w:color w:val="auto"/>
        </w:rPr>
      </w:pPr>
      <w:r>
        <w:rPr>
          <w:rFonts w:ascii="Arial" w:cs="Arial" w:eastAsia="Arial" w:hAnsi="Arial"/>
          <w:sz w:val="16"/>
          <w:szCs w:val="16"/>
          <w:color w:val="auto"/>
        </w:rPr>
        <w:t>We have a written policy regarding related-party transactions. Pursuant to our Corporate Governance Guidelines, the Governance Committee Charter, and our Related-Party Transaction Approval Policy, the Board has delegated to the Governance Committee the responsibility for reviewing and resolving any issues with respect to related-party transactions and conflicts of interests involving executive officers or directors of the Company or other related persons under the applicable rules of the SEC. The Company’s Corporate Governance Guidelines require that (i) each director shall promptly disclose to the Chair of the Board and the Chair of the Governance Committee any potential conflicts of interest he or she may have with respect to any matter involving the Company and, if appropriate, recuse himself or herself from any discussions or decisions on any of these matters and (ii) the Chair of the Governance Committee shall promptly advise the other members of the Governance Committee of any potential conflicts of interest he or she may have with respect to any matter involving the Company and, if appropriate, recuse himself or herself from any discussions or decisions on any of these matters.</w:t>
      </w:r>
    </w:p>
    <w:p>
      <w:pPr>
        <w:spacing w:after="0" w:line="122" w:lineRule="exact"/>
        <w:rPr>
          <w:sz w:val="20"/>
          <w:szCs w:val="20"/>
          <w:color w:val="auto"/>
        </w:rPr>
      </w:pPr>
    </w:p>
    <w:p>
      <w:pPr>
        <w:ind w:left="740" w:right="100"/>
        <w:spacing w:after="0" w:line="254" w:lineRule="auto"/>
        <w:rPr>
          <w:sz w:val="20"/>
          <w:szCs w:val="20"/>
          <w:color w:val="auto"/>
        </w:rPr>
      </w:pPr>
      <w:r>
        <w:rPr>
          <w:rFonts w:ascii="Arial" w:cs="Arial" w:eastAsia="Arial" w:hAnsi="Arial"/>
          <w:sz w:val="16"/>
          <w:szCs w:val="16"/>
          <w:color w:val="auto"/>
        </w:rPr>
        <w:t>The Office of the Corporate Secretary periodically gathers information from directors and executive officers regarding matters involving potential conflicts of interest or related-party transactions and provides that information to the Governance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p>
    <w:p>
      <w:pPr>
        <w:spacing w:after="0" w:line="114" w:lineRule="exact"/>
        <w:rPr>
          <w:sz w:val="20"/>
          <w:szCs w:val="20"/>
          <w:color w:val="auto"/>
        </w:rPr>
      </w:pPr>
    </w:p>
    <w:p>
      <w:pPr>
        <w:ind w:left="740" w:right="40"/>
        <w:spacing w:after="0" w:line="286" w:lineRule="auto"/>
        <w:rPr>
          <w:sz w:val="20"/>
          <w:szCs w:val="20"/>
          <w:color w:val="auto"/>
        </w:rPr>
      </w:pPr>
      <w:r>
        <w:rPr>
          <w:rFonts w:ascii="Arial" w:cs="Arial" w:eastAsia="Arial" w:hAnsi="Arial"/>
          <w:sz w:val="16"/>
          <w:szCs w:val="16"/>
          <w:color w:val="auto"/>
        </w:rPr>
        <w:t>There were no related-party transactions in 2024 that were required to be reported pursuant to the applicable disclosure rules of the SEC.</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Majority Voting in Director Elections</w:t>
      </w:r>
    </w:p>
    <w:p>
      <w:pPr>
        <w:spacing w:after="0" w:line="112" w:lineRule="exact"/>
        <w:rPr>
          <w:sz w:val="20"/>
          <w:szCs w:val="20"/>
          <w:color w:val="auto"/>
        </w:rPr>
      </w:pPr>
    </w:p>
    <w:p>
      <w:pPr>
        <w:ind w:left="740" w:right="80"/>
        <w:spacing w:after="0" w:line="254" w:lineRule="auto"/>
        <w:rPr>
          <w:sz w:val="20"/>
          <w:szCs w:val="20"/>
          <w:color w:val="auto"/>
        </w:rPr>
      </w:pPr>
      <w:r>
        <w:rPr>
          <w:rFonts w:ascii="Arial" w:cs="Arial" w:eastAsia="Arial" w:hAnsi="Arial"/>
          <w:sz w:val="16"/>
          <w:szCs w:val="16"/>
          <w:color w:val="auto"/>
        </w:rPr>
        <w:t>Our Bylaws include a majority voting standard in uncontested director elections under which directors are elected by a majority of the votes cast by the shareholders entitled to vote in the election of directors at a shareholder meeting at which a quorum is present. A majority of the votes cast means that the number of shares voted “for” a director must exceed the number of votes cast “against” that director. This standard applies to the election of directors at this meeting. In contested elections, our Bylaws include a plurality voting standard under which directors are elected by a plurality of votes cast by the shareholders entitled to vote in the election of directors at a shareholder meeting at which a quorum is present.</w:t>
      </w:r>
    </w:p>
    <w:p>
      <w:pPr>
        <w:spacing w:after="0" w:line="11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Corporate Governance Guidelines include director nominee resignation procedures. In brief, these procedures provide that:</w:t>
      </w:r>
    </w:p>
    <w:p>
      <w:pPr>
        <w:spacing w:after="0" w:line="194" w:lineRule="exact"/>
        <w:rPr>
          <w:sz w:val="20"/>
          <w:szCs w:val="20"/>
          <w:color w:val="auto"/>
        </w:rPr>
      </w:pPr>
    </w:p>
    <w:p>
      <w:pPr>
        <w:ind w:left="740"/>
        <w:spacing w:after="0"/>
        <w:tabs>
          <w:tab w:leader="none" w:pos="9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5880735" cy="2263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80735" cy="2263140"/>
                    </a:xfrm>
                    <a:prstGeom prst="rect">
                      <a:avLst/>
                    </a:prstGeom>
                    <a:noFill/>
                  </pic:spPr>
                </pic:pic>
              </a:graphicData>
            </a:graphic>
          </wp:anchor>
        </w:drawing>
      </w:r>
    </w:p>
    <w:p>
      <w:pPr>
        <w:spacing w:after="0" w:line="188" w:lineRule="exact"/>
        <w:rPr>
          <w:sz w:val="20"/>
          <w:szCs w:val="20"/>
          <w:color w:val="auto"/>
        </w:rPr>
      </w:pPr>
    </w:p>
    <w:p>
      <w:pPr>
        <w:ind w:left="1320" w:right="560" w:hanging="157"/>
        <w:spacing w:after="0" w:line="268" w:lineRule="auto"/>
        <w:tabs>
          <w:tab w:leader="none" w:pos="13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As a condition to being nominated to continue to serve as a director, each incumbent director nominee must submit an irrevocable resignation to the Board that would become effective upon and only in the event that (1) the nominee fails to receive the required vote for election to the Board at the next annual meeting of shareholders at which such nominee faces re-election and (2) the Board accepts such resignation;</w:t>
      </w:r>
    </w:p>
    <w:p>
      <w:pPr>
        <w:spacing w:after="0" w:line="1" w:lineRule="exact"/>
        <w:rPr>
          <w:rFonts w:ascii="Arial" w:cs="Arial" w:eastAsia="Arial" w:hAnsi="Arial"/>
          <w:sz w:val="16"/>
          <w:szCs w:val="16"/>
          <w:color w:val="auto"/>
        </w:rPr>
      </w:pPr>
    </w:p>
    <w:p>
      <w:pPr>
        <w:ind w:left="1320" w:right="420" w:hanging="589"/>
        <w:spacing w:after="0" w:line="302" w:lineRule="auto"/>
        <w:tabs>
          <w:tab w:leader="none" w:pos="11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As a condition to being nominated, each director nominee who is not an incumbent director must agree to submit an ​ irrevocable resignation upon election or appointment as a director;</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0" w:type="dxa"/>
            <w:vAlign w:val="bottom"/>
          </w:tcPr>
          <w:p>
            <w:pPr>
              <w:ind w:left="200"/>
              <w:spacing w:after="0"/>
              <w:rPr>
                <w:sz w:val="20"/>
                <w:szCs w:val="20"/>
                <w:color w:val="auto"/>
              </w:rPr>
            </w:pPr>
            <w:r>
              <w:rPr>
                <w:rFonts w:ascii="Arial" w:cs="Arial" w:eastAsia="Arial" w:hAnsi="Arial"/>
                <w:sz w:val="16"/>
                <w:szCs w:val="16"/>
                <w:color w:val="auto"/>
              </w:rPr>
              <w:t>• Upon the failure of any director nominee to receive the required vote, the Governance Committee will make a</w:t>
            </w:r>
          </w:p>
        </w:tc>
        <w:tc>
          <w:tcPr>
            <w:tcW w:w="44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r>
      <w:tr>
        <w:trPr>
          <w:trHeight w:val="215"/>
        </w:trPr>
        <w:tc>
          <w:tcPr>
            <w:tcW w:w="220" w:type="dxa"/>
            <w:vAlign w:val="bottom"/>
          </w:tcPr>
          <w:p>
            <w:pPr>
              <w:spacing w:after="0"/>
              <w:rPr>
                <w:sz w:val="18"/>
                <w:szCs w:val="18"/>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recommendation to the Board on whether to accept or reject the resignation;</w:t>
            </w:r>
          </w:p>
        </w:tc>
        <w:tc>
          <w:tcPr>
            <w:tcW w:w="440" w:type="dxa"/>
            <w:vAlign w:val="bottom"/>
            <w:shd w:val="clear" w:color="auto" w:fill="F2F2F2"/>
          </w:tcPr>
          <w:p>
            <w:pPr>
              <w:spacing w:after="0"/>
              <w:rPr>
                <w:sz w:val="18"/>
                <w:szCs w:val="18"/>
                <w:color w:val="auto"/>
              </w:rPr>
            </w:pPr>
          </w:p>
        </w:tc>
      </w:tr>
      <w:tr>
        <w:trPr>
          <w:trHeight w:val="231"/>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0" w:type="dxa"/>
            <w:vAlign w:val="bottom"/>
          </w:tcPr>
          <w:p>
            <w:pPr>
              <w:ind w:left="200"/>
              <w:spacing w:after="0"/>
              <w:rPr>
                <w:sz w:val="20"/>
                <w:szCs w:val="20"/>
                <w:color w:val="auto"/>
              </w:rPr>
            </w:pPr>
            <w:r>
              <w:rPr>
                <w:rFonts w:ascii="Arial" w:cs="Arial" w:eastAsia="Arial" w:hAnsi="Arial"/>
                <w:sz w:val="16"/>
                <w:szCs w:val="16"/>
                <w:color w:val="auto"/>
              </w:rPr>
              <w:t>• The Board must take action with respect to the resignation and publicly disclose its decision and the reasons therefor</w:t>
            </w:r>
          </w:p>
        </w:tc>
        <w:tc>
          <w:tcPr>
            <w:tcW w:w="44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r>
      <w:tr>
        <w:trPr>
          <w:trHeight w:val="215"/>
        </w:trPr>
        <w:tc>
          <w:tcPr>
            <w:tcW w:w="220" w:type="dxa"/>
            <w:vAlign w:val="bottom"/>
          </w:tcPr>
          <w:p>
            <w:pPr>
              <w:spacing w:after="0"/>
              <w:rPr>
                <w:sz w:val="18"/>
                <w:szCs w:val="18"/>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within 90 days from the date of the certification of the election results; and</w:t>
            </w:r>
          </w:p>
        </w:tc>
        <w:tc>
          <w:tcPr>
            <w:tcW w:w="440" w:type="dxa"/>
            <w:vAlign w:val="bottom"/>
            <w:shd w:val="clear" w:color="auto" w:fill="F2F2F2"/>
          </w:tcPr>
          <w:p>
            <w:pPr>
              <w:spacing w:after="0"/>
              <w:rPr>
                <w:sz w:val="18"/>
                <w:szCs w:val="18"/>
                <w:color w:val="auto"/>
              </w:rPr>
            </w:pPr>
          </w:p>
        </w:tc>
      </w:tr>
      <w:tr>
        <w:trPr>
          <w:trHeight w:val="231"/>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0" w:type="dxa"/>
            <w:vAlign w:val="bottom"/>
          </w:tcPr>
          <w:p>
            <w:pPr>
              <w:ind w:left="200"/>
              <w:spacing w:after="0"/>
              <w:rPr>
                <w:sz w:val="20"/>
                <w:szCs w:val="20"/>
                <w:color w:val="auto"/>
              </w:rPr>
            </w:pPr>
            <w:r>
              <w:rPr>
                <w:rFonts w:ascii="Arial" w:cs="Arial" w:eastAsia="Arial" w:hAnsi="Arial"/>
                <w:sz w:val="16"/>
                <w:szCs w:val="16"/>
                <w:color w:val="auto"/>
              </w:rPr>
              <w:t>• The resignation, if accepted, will be effective at the time specified by the Board when it determines to accept the</w:t>
            </w:r>
          </w:p>
        </w:tc>
        <w:tc>
          <w:tcPr>
            <w:tcW w:w="44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r>
      <w:tr>
        <w:trPr>
          <w:trHeight w:val="189"/>
        </w:trPr>
        <w:tc>
          <w:tcPr>
            <w:tcW w:w="220" w:type="dxa"/>
            <w:vAlign w:val="bottom"/>
          </w:tcPr>
          <w:p>
            <w:pPr>
              <w:spacing w:after="0"/>
              <w:rPr>
                <w:sz w:val="16"/>
                <w:szCs w:val="16"/>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resignation, which effective time may be deferred until a replacement director is identified and appointed to the</w:t>
            </w:r>
          </w:p>
        </w:tc>
        <w:tc>
          <w:tcPr>
            <w:tcW w:w="440" w:type="dxa"/>
            <w:vAlign w:val="bottom"/>
            <w:shd w:val="clear" w:color="auto" w:fill="F2F2F2"/>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8600" w:type="dxa"/>
            <w:vAlign w:val="bottom"/>
          </w:tcPr>
          <w:p>
            <w:pPr>
              <w:ind w:left="360"/>
              <w:spacing w:after="0"/>
              <w:rPr>
                <w:sz w:val="20"/>
                <w:szCs w:val="20"/>
                <w:color w:val="auto"/>
              </w:rPr>
            </w:pPr>
            <w:r>
              <w:rPr>
                <w:rFonts w:ascii="Arial" w:cs="Arial" w:eastAsia="Arial" w:hAnsi="Arial"/>
                <w:sz w:val="16"/>
                <w:szCs w:val="16"/>
                <w:color w:val="auto"/>
              </w:rPr>
              <w:t>Board.</w:t>
            </w:r>
          </w:p>
        </w:tc>
        <w:tc>
          <w:tcPr>
            <w:tcW w:w="440" w:type="dxa"/>
            <w:vAlign w:val="bottom"/>
            <w:shd w:val="clear" w:color="auto" w:fill="F2F2F2"/>
          </w:tcPr>
          <w:p>
            <w:pPr>
              <w:spacing w:after="0"/>
              <w:rPr>
                <w:sz w:val="18"/>
                <w:szCs w:val="18"/>
                <w:color w:val="auto"/>
              </w:rPr>
            </w:pPr>
          </w:p>
        </w:tc>
      </w:tr>
      <w:tr>
        <w:trPr>
          <w:trHeight w:val="393"/>
        </w:trPr>
        <w:tc>
          <w:tcPr>
            <w:tcW w:w="2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440" w:type="dxa"/>
            <w:vAlign w:val="bottom"/>
            <w:shd w:val="clear" w:color="auto" w:fill="F2F2F2"/>
          </w:tcPr>
          <w:p>
            <w:pPr>
              <w:spacing w:after="0"/>
              <w:rPr>
                <w:sz w:val="24"/>
                <w:szCs w:val="24"/>
                <w:color w:val="auto"/>
              </w:rPr>
            </w:pPr>
          </w:p>
        </w:tc>
      </w:tr>
    </w:tbl>
    <w:p>
      <w:pPr>
        <w:spacing w:after="0" w:line="215" w:lineRule="exact"/>
        <w:rPr>
          <w:sz w:val="20"/>
          <w:szCs w:val="20"/>
          <w:color w:val="auto"/>
        </w:rPr>
      </w:pPr>
    </w:p>
    <w:p>
      <w:pPr>
        <w:ind w:left="740" w:right="3200"/>
        <w:spacing w:after="0" w:line="286" w:lineRule="auto"/>
        <w:rPr>
          <w:sz w:val="20"/>
          <w:szCs w:val="20"/>
          <w:color w:val="auto"/>
        </w:rPr>
      </w:pPr>
      <w:r>
        <w:rPr>
          <w:rFonts w:ascii="Arial" w:cs="Arial" w:eastAsia="Arial" w:hAnsi="Arial"/>
          <w:sz w:val="16"/>
          <w:szCs w:val="16"/>
          <w:color w:val="auto"/>
        </w:rPr>
        <w:t xml:space="preserve">Our Bylaws and our Corporate Governance Guidelines can be found on our website at </w:t>
      </w:r>
      <w:r>
        <w:rPr>
          <w:rFonts w:ascii="Arial" w:cs="Arial" w:eastAsia="Arial" w:hAnsi="Arial"/>
          <w:sz w:val="16"/>
          <w:szCs w:val="16"/>
          <w:i w:val="1"/>
          <w:iCs w:val="1"/>
          <w:color w:val="auto"/>
        </w:rPr>
        <w:t>https://investors.centerpointenergy.com/governance.</w:t>
      </w:r>
    </w:p>
    <w:p>
      <w:pPr>
        <w:sectPr>
          <w:pgSz w:w="11900" w:h="16838" w:orient="portrait"/>
          <w:cols w:equalWidth="0" w:num="1">
            <w:col w:w="10020"/>
          </w:cols>
          <w:pgMar w:left="580" w:top="97" w:right="1299" w:bottom="1440" w:gutter="0" w:footer="0" w:header="0"/>
        </w:sectPr>
      </w:pPr>
    </w:p>
    <w:p>
      <w:pPr>
        <w:spacing w:after="0" w:line="192"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Board Leadership</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Separation of Chair of the Board and Chief Executive Officer Roles</w:t>
      </w:r>
    </w:p>
    <w:p>
      <w:pPr>
        <w:spacing w:after="0" w:line="122" w:lineRule="exact"/>
        <w:rPr>
          <w:sz w:val="20"/>
          <w:szCs w:val="20"/>
          <w:color w:val="auto"/>
        </w:rPr>
      </w:pPr>
    </w:p>
    <w:p>
      <w:pPr>
        <w:ind w:left="740" w:right="40"/>
        <w:spacing w:after="0" w:line="274" w:lineRule="auto"/>
        <w:rPr>
          <w:sz w:val="20"/>
          <w:szCs w:val="20"/>
          <w:color w:val="auto"/>
        </w:rPr>
      </w:pPr>
      <w:r>
        <w:rPr>
          <w:rFonts w:ascii="Arial" w:cs="Arial" w:eastAsia="Arial" w:hAnsi="Arial"/>
          <w:sz w:val="16"/>
          <w:szCs w:val="16"/>
          <w:color w:val="auto"/>
        </w:rPr>
        <w:t>The Board believes that it is in the best interests of the Company and its shareholders for the Board to have the flexibility to make the determination from time to time as to whether the role of Chair of the Board and Chief Executive Officer should be separate or combined. The offices of Chair of the Board and Chief Executive Officer are currently separate. The Board believes that the separation of the two roles continues to provide, at present, the best balance of these important responsibilities with the Chair of the Board directing Board operations, and the Chief Executive Officer focusing on developing and implementing the Company’s Board-approved strategic vision and managing its day-to-day business. The Board will continue to periodically evaluate the appropriateness of this leadership structure to help ensure our leadership structure continues to be in the best interests of the Company and its shareholders.</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Independent Chair Governance Structure</w:t>
      </w:r>
    </w:p>
    <w:p>
      <w:pPr>
        <w:spacing w:after="0" w:line="122" w:lineRule="exact"/>
        <w:rPr>
          <w:sz w:val="20"/>
          <w:szCs w:val="20"/>
          <w:color w:val="auto"/>
        </w:rPr>
      </w:pPr>
    </w:p>
    <w:p>
      <w:pPr>
        <w:ind w:left="740" w:right="100"/>
        <w:spacing w:after="0" w:line="286" w:lineRule="auto"/>
        <w:rPr>
          <w:sz w:val="20"/>
          <w:szCs w:val="20"/>
          <w:color w:val="auto"/>
        </w:rPr>
      </w:pPr>
      <w:r>
        <w:rPr>
          <w:rFonts w:ascii="Arial" w:cs="Arial" w:eastAsia="Arial" w:hAnsi="Arial"/>
          <w:sz w:val="16"/>
          <w:szCs w:val="16"/>
          <w:color w:val="auto"/>
        </w:rPr>
        <w:t>The Independent Chair is designated by the independent members of the Board. In addition to other roles that may arise from time to time, the Independent Chair has, among others, the following duties and responsibilities:</w:t>
      </w:r>
    </w:p>
    <w:p>
      <w:pPr>
        <w:spacing w:after="0" w:line="75" w:lineRule="exact"/>
        <w:rPr>
          <w:sz w:val="20"/>
          <w:szCs w:val="20"/>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preside at all meetings of the Board, including executive sessions of the independent directors;</w:t>
      </w:r>
    </w:p>
    <w:p>
      <w:pPr>
        <w:spacing w:after="0" w:line="153" w:lineRule="exact"/>
        <w:rPr>
          <w:rFonts w:ascii="Arial" w:cs="Arial" w:eastAsia="Arial" w:hAnsi="Arial"/>
          <w:sz w:val="16"/>
          <w:szCs w:val="16"/>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preside at annual and special meetings of shareholders;</w:t>
      </w:r>
    </w:p>
    <w:p>
      <w:pPr>
        <w:spacing w:after="0" w:line="153" w:lineRule="exact"/>
        <w:rPr>
          <w:rFonts w:ascii="Arial" w:cs="Arial" w:eastAsia="Arial" w:hAnsi="Arial"/>
          <w:sz w:val="16"/>
          <w:szCs w:val="16"/>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consultation with the Chief Executive Officer, develop and communicate the agenda for and schedule meetings of the Board;</w:t>
      </w:r>
    </w:p>
    <w:p>
      <w:pPr>
        <w:spacing w:after="0" w:line="167" w:lineRule="exact"/>
        <w:rPr>
          <w:rFonts w:ascii="Arial" w:cs="Arial" w:eastAsia="Arial" w:hAnsi="Arial"/>
          <w:sz w:val="16"/>
          <w:szCs w:val="16"/>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serve as a liaison between the Chief Executive Officer and the independent directors;</w:t>
      </w:r>
    </w:p>
    <w:p>
      <w:pPr>
        <w:spacing w:after="0" w:line="153" w:lineRule="exact"/>
        <w:rPr>
          <w:rFonts w:ascii="Arial" w:cs="Arial" w:eastAsia="Arial" w:hAnsi="Arial"/>
          <w:sz w:val="16"/>
          <w:szCs w:val="16"/>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call meetings of the directors;</w:t>
      </w:r>
    </w:p>
    <w:p>
      <w:pPr>
        <w:spacing w:after="0" w:line="153" w:lineRule="exact"/>
        <w:rPr>
          <w:rFonts w:ascii="Arial" w:cs="Arial" w:eastAsia="Arial" w:hAnsi="Arial"/>
          <w:sz w:val="16"/>
          <w:szCs w:val="16"/>
          <w:color w:val="auto"/>
        </w:rPr>
      </w:pPr>
    </w:p>
    <w:p>
      <w:pPr>
        <w:ind w:left="920" w:hanging="189"/>
        <w:spacing w:after="0"/>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establish parameters for the quality, amount, and timeliness of the information flow to the Board;</w:t>
      </w:r>
    </w:p>
    <w:p>
      <w:pPr>
        <w:spacing w:after="0" w:line="167" w:lineRule="exact"/>
        <w:rPr>
          <w:rFonts w:ascii="Arial" w:cs="Arial" w:eastAsia="Arial" w:hAnsi="Arial"/>
          <w:sz w:val="16"/>
          <w:szCs w:val="16"/>
          <w:color w:val="auto"/>
        </w:rPr>
      </w:pPr>
    </w:p>
    <w:p>
      <w:pPr>
        <w:ind w:left="920" w:right="580" w:hanging="189"/>
        <w:spacing w:after="0" w:line="286"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work to ensure that the Board is provided with adequate time for effective study and preparation prior to any discussion of business under consideration by the Board;</w:t>
      </w:r>
    </w:p>
    <w:p>
      <w:pPr>
        <w:spacing w:after="0" w:line="88" w:lineRule="exact"/>
        <w:rPr>
          <w:rFonts w:ascii="Arial" w:cs="Arial" w:eastAsia="Arial" w:hAnsi="Arial"/>
          <w:sz w:val="16"/>
          <w:szCs w:val="16"/>
          <w:color w:val="auto"/>
        </w:rPr>
      </w:pPr>
    </w:p>
    <w:p>
      <w:pPr>
        <w:ind w:left="920" w:right="540" w:hanging="189"/>
        <w:spacing w:after="0" w:line="304"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set and monitor the ethical tone of the Board, monitor how the Board functions, and seek to ensure that the directors work together effectively; and</w:t>
      </w:r>
    </w:p>
    <w:p>
      <w:pPr>
        <w:spacing w:after="0" w:line="73" w:lineRule="exact"/>
        <w:rPr>
          <w:rFonts w:ascii="Arial" w:cs="Arial" w:eastAsia="Arial" w:hAnsi="Arial"/>
          <w:sz w:val="16"/>
          <w:szCs w:val="16"/>
          <w:color w:val="auto"/>
        </w:rPr>
      </w:pPr>
    </w:p>
    <w:p>
      <w:pPr>
        <w:ind w:left="920" w:right="520" w:hanging="189"/>
        <w:spacing w:after="0" w:line="304"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monitor performance of the Chief Executive Officer and provide input to the Human Capital and Compensation Committee concerning the compensation arrangements for the Chief Executive Office.</w:t>
      </w:r>
    </w:p>
    <w:p>
      <w:pPr>
        <w:spacing w:after="0" w:line="74" w:lineRule="exact"/>
        <w:rPr>
          <w:sz w:val="20"/>
          <w:szCs w:val="20"/>
          <w:color w:val="auto"/>
        </w:rPr>
      </w:pPr>
    </w:p>
    <w:p>
      <w:pPr>
        <w:ind w:left="740" w:right="160"/>
        <w:spacing w:after="0" w:line="277" w:lineRule="auto"/>
        <w:rPr>
          <w:sz w:val="20"/>
          <w:szCs w:val="20"/>
          <w:color w:val="auto"/>
        </w:rPr>
      </w:pPr>
      <w:r>
        <w:rPr>
          <w:rFonts w:ascii="Arial" w:cs="Arial" w:eastAsia="Arial" w:hAnsi="Arial"/>
          <w:sz w:val="16"/>
          <w:szCs w:val="16"/>
          <w:color w:val="auto"/>
        </w:rPr>
        <w:t>As part of the Board’s annual consideration of the slate of nominees for election to the Board, the Board evaluates whether a change in the non-management director serving as Independent Chair of the Board is advisable. Effective February 2024, the Board appointed Phillip R. Smith as the new Independent Chair of the Board. In support of this transition, the Board considered, among other things: Mr. Smith’s extensive knowledge of the Company, particularly considering the Board’s ongoing refreshment and average director tenure of approximately four years at the time of such consideration; his ability to support the recent Chief Executive Officer transition; his leadership as the former Chair of the Audit Committee of the Board and commitment to supporting his successor in the role to promote a smooth transition for the Audit Committee; and his skills and availability to continue to serve the Company in executing its strategy.</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The Board’s Role in Risk Oversight</w:t>
      </w:r>
    </w:p>
    <w:p>
      <w:pPr>
        <w:spacing w:after="0" w:line="126" w:lineRule="exact"/>
        <w:rPr>
          <w:sz w:val="20"/>
          <w:szCs w:val="20"/>
          <w:color w:val="auto"/>
        </w:rPr>
      </w:pPr>
    </w:p>
    <w:p>
      <w:pPr>
        <w:ind w:left="740" w:right="120"/>
        <w:spacing w:after="0" w:line="273" w:lineRule="auto"/>
        <w:rPr>
          <w:sz w:val="20"/>
          <w:szCs w:val="20"/>
          <w:color w:val="auto"/>
        </w:rPr>
      </w:pPr>
      <w:r>
        <w:rPr>
          <w:rFonts w:ascii="Arial" w:cs="Arial" w:eastAsia="Arial" w:hAnsi="Arial"/>
          <w:sz w:val="16"/>
          <w:szCs w:val="16"/>
          <w:color w:val="auto"/>
        </w:rPr>
        <w:t>CenterPoint Energy is a public utility holding company that, through its subsidiaries, owns and operates electric transmission, distribution, and generation facilities and natural gas distribution systems. Risks are inherent in these businesses and investments, including, among other risks, regulatory and compliance risks, safety and operational risks, financial risks, environmental and climate risks, and cybersecurity risks. The Board has responsibility for, and is actively involved in, the oversight of risks that could impact the Company. Accordingly, a new standing committee of the Board, the Safety and Operations Committee, was formed in April 2024 and provides oversight of, among other things, the Company’s safety risk management processes, as well as the Company’s utility operations risk management processes and emergency preparedness and response practices. Our Corporate Governance Guidelines specify that the Board has ultimate oversight responsibility for the Company’s system of enterprise risk management.</w:t>
      </w:r>
    </w:p>
    <w:p>
      <w:pPr>
        <w:spacing w:after="0" w:line="114" w:lineRule="exact"/>
        <w:rPr>
          <w:sz w:val="20"/>
          <w:szCs w:val="20"/>
          <w:color w:val="auto"/>
        </w:rPr>
      </w:pPr>
    </w:p>
    <w:p>
      <w:pPr>
        <w:ind w:left="740" w:right="220"/>
        <w:spacing w:after="0" w:line="283" w:lineRule="auto"/>
        <w:rPr>
          <w:sz w:val="20"/>
          <w:szCs w:val="20"/>
          <w:color w:val="auto"/>
        </w:rPr>
      </w:pPr>
      <w:r>
        <w:rPr>
          <w:rFonts w:ascii="Arial" w:cs="Arial" w:eastAsia="Arial" w:hAnsi="Arial"/>
          <w:sz w:val="16"/>
          <w:szCs w:val="16"/>
          <w:color w:val="auto"/>
        </w:rPr>
        <w:t>Management is responsible for developing and implementing the Company’s program of enterprise risk management.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p>
    <w:p>
      <w:pPr>
        <w:sectPr>
          <w:pgSz w:w="11900" w:h="16838" w:orient="portrait"/>
          <w:cols w:equalWidth="0" w:num="1">
            <w:col w:w="10020"/>
          </w:cols>
          <w:pgMar w:left="580" w:top="97" w:right="1299" w:bottom="1440" w:gutter="0" w:footer="0" w:header="0"/>
        </w:sectPr>
      </w:pPr>
    </w:p>
    <w:p>
      <w:pPr>
        <w:spacing w:after="0" w:line="22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Throughout the year, the Board reviews with management the Company’s risk management process, the major risks facing the</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Company and steps taken to mitigate those risks. Board reviews include the following areas,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180340"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340" cy="23177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147955</wp:posOffset>
            </wp:positionV>
            <wp:extent cx="231140"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290" w:lineRule="exact"/>
        <w:rPr>
          <w:sz w:val="20"/>
          <w:szCs w:val="20"/>
          <w:color w:val="auto"/>
        </w:rPr>
      </w:pPr>
    </w:p>
    <w:tbl>
      <w:tblPr>
        <w:tblLayout w:type="fixed"/>
        <w:tblInd w:w="740" w:type="dxa"/>
        <w:tblCellMar>
          <w:top w:w="0" w:type="dxa"/>
          <w:left w:w="0" w:type="dxa"/>
          <w:bottom w:w="0" w:type="dxa"/>
          <w:right w:w="0" w:type="dxa"/>
        </w:tblCellMar>
      </w:tblPr>
      <w:tr>
        <w:trPr>
          <w:trHeight w:val="214"/>
        </w:trPr>
        <w:tc>
          <w:tcPr>
            <w:tcW w:w="440" w:type="dxa"/>
            <w:vAlign w:val="bottom"/>
          </w:tcPr>
          <w:p>
            <w:pPr>
              <w:ind w:left="40"/>
              <w:spacing w:after="0"/>
              <w:rPr>
                <w:sz w:val="20"/>
                <w:szCs w:val="20"/>
                <w:color w:val="auto"/>
              </w:rPr>
            </w:pPr>
            <w:r>
              <w:rPr>
                <w:rFonts w:ascii="Arial" w:cs="Arial" w:eastAsia="Arial" w:hAnsi="Arial"/>
                <w:sz w:val="15"/>
                <w:szCs w:val="15"/>
                <w:color w:val="auto"/>
              </w:rPr>
              <w:t>​</w:t>
            </w:r>
          </w:p>
        </w:tc>
        <w:tc>
          <w:tcPr>
            <w:tcW w:w="4000" w:type="dxa"/>
            <w:vAlign w:val="bottom"/>
          </w:tcPr>
          <w:p>
            <w:pPr>
              <w:ind w:left="340"/>
              <w:spacing w:after="0"/>
              <w:rPr>
                <w:sz w:val="20"/>
                <w:szCs w:val="20"/>
                <w:color w:val="auto"/>
              </w:rPr>
            </w:pPr>
            <w:r>
              <w:rPr>
                <w:rFonts w:ascii="Arial" w:cs="Arial" w:eastAsia="Arial" w:hAnsi="Arial"/>
                <w:sz w:val="15"/>
                <w:szCs w:val="15"/>
                <w:color w:val="auto"/>
              </w:rPr>
              <w:t>​ ​ Safety</w:t>
            </w:r>
          </w:p>
        </w:tc>
        <w:tc>
          <w:tcPr>
            <w:tcW w:w="600" w:type="dxa"/>
            <w:vAlign w:val="bottom"/>
          </w:tcPr>
          <w:p>
            <w:pPr>
              <w:ind w:left="80"/>
              <w:spacing w:after="0"/>
              <w:rPr>
                <w:sz w:val="20"/>
                <w:szCs w:val="20"/>
                <w:color w:val="auto"/>
              </w:rPr>
            </w:pPr>
            <w:r>
              <w:rPr>
                <w:rFonts w:ascii="Arial" w:cs="Arial" w:eastAsia="Arial" w:hAnsi="Arial"/>
                <w:sz w:val="15"/>
                <w:szCs w:val="15"/>
                <w:color w:val="auto"/>
              </w:rPr>
              <w:t>​ ​</w:t>
            </w:r>
          </w:p>
        </w:tc>
        <w:tc>
          <w:tcPr>
            <w:tcW w:w="4080" w:type="dxa"/>
            <w:vAlign w:val="bottom"/>
          </w:tcPr>
          <w:p>
            <w:pPr>
              <w:ind w:left="360"/>
              <w:spacing w:after="0"/>
              <w:rPr>
                <w:sz w:val="20"/>
                <w:szCs w:val="20"/>
                <w:color w:val="auto"/>
              </w:rPr>
            </w:pPr>
            <w:r>
              <w:rPr>
                <w:rFonts w:ascii="Arial" w:cs="Arial" w:eastAsia="Arial" w:hAnsi="Arial"/>
                <w:sz w:val="15"/>
                <w:szCs w:val="15"/>
                <w:color w:val="auto"/>
              </w:rPr>
              <w:t>​ ​ Regulatory and legislative developments</w:t>
            </w:r>
          </w:p>
        </w:tc>
        <w:tc>
          <w:tcPr>
            <w:tcW w:w="140" w:type="dxa"/>
            <w:vAlign w:val="bottom"/>
          </w:tcPr>
          <w:p>
            <w:pPr>
              <w:ind w:left="80"/>
              <w:spacing w:after="0"/>
              <w:rPr>
                <w:sz w:val="20"/>
                <w:szCs w:val="20"/>
                <w:color w:val="auto"/>
              </w:rPr>
            </w:pPr>
            <w:r>
              <w:rPr>
                <w:rFonts w:ascii="Arial" w:cs="Arial" w:eastAsia="Arial" w:hAnsi="Arial"/>
                <w:sz w:val="15"/>
                <w:szCs w:val="15"/>
                <w:color w:val="auto"/>
              </w:rPr>
              <w:t>​</w:t>
            </w:r>
          </w:p>
        </w:tc>
      </w:tr>
      <w:tr>
        <w:trPr>
          <w:trHeight w:val="141"/>
        </w:trPr>
        <w:tc>
          <w:tcPr>
            <w:tcW w:w="440" w:type="dxa"/>
            <w:vAlign w:val="bottom"/>
            <w:tcBorders>
              <w:bottom w:val="single" w:sz="8" w:color="CCCCCC"/>
            </w:tcBorders>
          </w:tcPr>
          <w:p>
            <w:pPr>
              <w:spacing w:after="0"/>
              <w:rPr>
                <w:sz w:val="12"/>
                <w:szCs w:val="12"/>
                <w:color w:val="auto"/>
              </w:rPr>
            </w:pPr>
          </w:p>
        </w:tc>
        <w:tc>
          <w:tcPr>
            <w:tcW w:w="4000" w:type="dxa"/>
            <w:vAlign w:val="bottom"/>
            <w:tcBorders>
              <w:bottom w:val="single" w:sz="8" w:color="CCCCCC"/>
            </w:tcBorders>
          </w:tcPr>
          <w:p>
            <w:pPr>
              <w:spacing w:after="0"/>
              <w:rPr>
                <w:sz w:val="12"/>
                <w:szCs w:val="12"/>
                <w:color w:val="auto"/>
              </w:rPr>
            </w:pPr>
          </w:p>
        </w:tc>
        <w:tc>
          <w:tcPr>
            <w:tcW w:w="600" w:type="dxa"/>
            <w:vAlign w:val="bottom"/>
            <w:tcBorders>
              <w:bottom w:val="single" w:sz="8" w:color="CCCCCC"/>
            </w:tcBorders>
          </w:tcPr>
          <w:p>
            <w:pPr>
              <w:spacing w:after="0"/>
              <w:rPr>
                <w:sz w:val="12"/>
                <w:szCs w:val="12"/>
                <w:color w:val="auto"/>
              </w:rPr>
            </w:pPr>
          </w:p>
        </w:tc>
        <w:tc>
          <w:tcPr>
            <w:tcW w:w="4080" w:type="dxa"/>
            <w:vAlign w:val="bottom"/>
            <w:tcBorders>
              <w:bottom w:val="single" w:sz="8" w:color="CCCCCC"/>
            </w:tcBorders>
          </w:tcPr>
          <w:p>
            <w:pPr>
              <w:spacing w:after="0"/>
              <w:rPr>
                <w:sz w:val="12"/>
                <w:szCs w:val="12"/>
                <w:color w:val="auto"/>
              </w:rPr>
            </w:pPr>
          </w:p>
        </w:tc>
        <w:tc>
          <w:tcPr>
            <w:tcW w:w="140" w:type="dxa"/>
            <w:vAlign w:val="bottom"/>
            <w:tcBorders>
              <w:bottom w:val="single" w:sz="8" w:color="CCCCCC"/>
            </w:tcBorders>
          </w:tcPr>
          <w:p>
            <w:pPr>
              <w:spacing w:after="0"/>
              <w:rPr>
                <w:sz w:val="12"/>
                <w:szCs w:val="12"/>
                <w:color w:val="auto"/>
              </w:rPr>
            </w:pPr>
          </w:p>
        </w:tc>
      </w:tr>
      <w:tr>
        <w:trPr>
          <w:trHeight w:val="290"/>
        </w:trPr>
        <w:tc>
          <w:tcPr>
            <w:tcW w:w="440" w:type="dxa"/>
            <w:vAlign w:val="bottom"/>
          </w:tcPr>
          <w:p>
            <w:pPr>
              <w:ind w:left="40"/>
              <w:spacing w:after="0"/>
              <w:rPr>
                <w:sz w:val="20"/>
                <w:szCs w:val="20"/>
                <w:color w:val="auto"/>
              </w:rPr>
            </w:pPr>
            <w:r>
              <w:rPr>
                <w:rFonts w:ascii="Arial" w:cs="Arial" w:eastAsia="Arial" w:hAnsi="Arial"/>
                <w:sz w:val="15"/>
                <w:szCs w:val="15"/>
                <w:color w:val="auto"/>
              </w:rPr>
              <w:t>​</w:t>
            </w:r>
          </w:p>
        </w:tc>
        <w:tc>
          <w:tcPr>
            <w:tcW w:w="4000" w:type="dxa"/>
            <w:vAlign w:val="bottom"/>
          </w:tcPr>
          <w:p>
            <w:pPr>
              <w:ind w:left="340"/>
              <w:spacing w:after="0" w:line="291"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5"/>
                <w:szCs w:val="15"/>
                <w:color w:val="auto"/>
              </w:rPr>
              <w:t>Business strategy and policy, including industry and</w:t>
            </w:r>
          </w:p>
        </w:tc>
        <w:tc>
          <w:tcPr>
            <w:tcW w:w="600" w:type="dxa"/>
            <w:vAlign w:val="bottom"/>
          </w:tcPr>
          <w:p>
            <w:pPr>
              <w:ind w:left="80"/>
              <w:spacing w:after="0"/>
              <w:rPr>
                <w:sz w:val="20"/>
                <w:szCs w:val="20"/>
                <w:color w:val="auto"/>
              </w:rPr>
            </w:pPr>
            <w:r>
              <w:rPr>
                <w:rFonts w:ascii="Arial" w:cs="Arial" w:eastAsia="Arial" w:hAnsi="Arial"/>
                <w:sz w:val="15"/>
                <w:szCs w:val="15"/>
                <w:color w:val="auto"/>
              </w:rPr>
              <w:t>​ ​</w:t>
            </w:r>
          </w:p>
        </w:tc>
        <w:tc>
          <w:tcPr>
            <w:tcW w:w="4080" w:type="dxa"/>
            <w:vAlign w:val="bottom"/>
          </w:tcPr>
          <w:p>
            <w:pPr>
              <w:ind w:left="360"/>
              <w:spacing w:after="0"/>
              <w:rPr>
                <w:sz w:val="20"/>
                <w:szCs w:val="20"/>
                <w:color w:val="auto"/>
              </w:rPr>
            </w:pPr>
            <w:r>
              <w:rPr>
                <w:rFonts w:ascii="Arial" w:cs="Arial" w:eastAsia="Arial" w:hAnsi="Arial"/>
                <w:sz w:val="15"/>
                <w:szCs w:val="15"/>
                <w:color w:val="auto"/>
              </w:rPr>
              <w:t>​ ​ Cybersecurity, data privacy, and artificial intelligence</w:t>
            </w:r>
          </w:p>
        </w:tc>
        <w:tc>
          <w:tcPr>
            <w:tcW w:w="140" w:type="dxa"/>
            <w:vAlign w:val="bottom"/>
          </w:tcPr>
          <w:p>
            <w:pPr>
              <w:ind w:left="80"/>
              <w:spacing w:after="0"/>
              <w:rPr>
                <w:sz w:val="20"/>
                <w:szCs w:val="20"/>
                <w:color w:val="auto"/>
              </w:rPr>
            </w:pPr>
            <w:r>
              <w:rPr>
                <w:rFonts w:ascii="Arial" w:cs="Arial" w:eastAsia="Arial" w:hAnsi="Arial"/>
                <w:sz w:val="15"/>
                <w:szCs w:val="15"/>
                <w:color w:val="auto"/>
              </w:rPr>
              <w:t>​</w:t>
            </w:r>
          </w:p>
        </w:tc>
      </w:tr>
      <w:tr>
        <w:trPr>
          <w:trHeight w:val="201"/>
        </w:trPr>
        <w:tc>
          <w:tcPr>
            <w:tcW w:w="440" w:type="dxa"/>
            <w:vAlign w:val="bottom"/>
            <w:tcBorders>
              <w:bottom w:val="single" w:sz="8" w:color="CCCCCC"/>
            </w:tcBorders>
          </w:tcPr>
          <w:p>
            <w:pPr>
              <w:spacing w:after="0"/>
              <w:rPr>
                <w:sz w:val="17"/>
                <w:szCs w:val="17"/>
                <w:color w:val="auto"/>
              </w:rPr>
            </w:pPr>
          </w:p>
        </w:tc>
        <w:tc>
          <w:tcPr>
            <w:tcW w:w="4000" w:type="dxa"/>
            <w:vAlign w:val="bottom"/>
            <w:tcBorders>
              <w:bottom w:val="single" w:sz="8" w:color="CCCCCC"/>
            </w:tcBorders>
          </w:tcPr>
          <w:p>
            <w:pPr>
              <w:ind w:left="500"/>
              <w:spacing w:after="0"/>
              <w:rPr>
                <w:sz w:val="20"/>
                <w:szCs w:val="20"/>
                <w:color w:val="auto"/>
              </w:rPr>
            </w:pPr>
            <w:r>
              <w:rPr>
                <w:rFonts w:ascii="Arial" w:cs="Arial" w:eastAsia="Arial" w:hAnsi="Arial"/>
                <w:sz w:val="15"/>
                <w:szCs w:val="15"/>
                <w:color w:val="auto"/>
              </w:rPr>
              <w:t>economic developments</w:t>
            </w:r>
          </w:p>
        </w:tc>
        <w:tc>
          <w:tcPr>
            <w:tcW w:w="600" w:type="dxa"/>
            <w:vAlign w:val="bottom"/>
            <w:tcBorders>
              <w:bottom w:val="single" w:sz="8" w:color="CCCCCC"/>
            </w:tcBorders>
          </w:tcPr>
          <w:p>
            <w:pPr>
              <w:spacing w:after="0"/>
              <w:rPr>
                <w:sz w:val="17"/>
                <w:szCs w:val="17"/>
                <w:color w:val="auto"/>
              </w:rPr>
            </w:pPr>
          </w:p>
        </w:tc>
        <w:tc>
          <w:tcPr>
            <w:tcW w:w="4080" w:type="dxa"/>
            <w:vAlign w:val="bottom"/>
            <w:tcBorders>
              <w:bottom w:val="single" w:sz="8" w:color="CCCCCC"/>
            </w:tcBorders>
          </w:tcPr>
          <w:p>
            <w:pPr>
              <w:spacing w:after="0"/>
              <w:rPr>
                <w:sz w:val="17"/>
                <w:szCs w:val="17"/>
                <w:color w:val="auto"/>
              </w:rPr>
            </w:pPr>
          </w:p>
        </w:tc>
        <w:tc>
          <w:tcPr>
            <w:tcW w:w="140" w:type="dxa"/>
            <w:vAlign w:val="bottom"/>
            <w:tcBorders>
              <w:bottom w:val="single" w:sz="8" w:color="CCCCCC"/>
            </w:tcBorders>
          </w:tcPr>
          <w:p>
            <w:pPr>
              <w:spacing w:after="0"/>
              <w:rPr>
                <w:sz w:val="17"/>
                <w:szCs w:val="17"/>
                <w:color w:val="auto"/>
              </w:rPr>
            </w:pPr>
          </w:p>
        </w:tc>
      </w:tr>
      <w:tr>
        <w:trPr>
          <w:trHeight w:val="367"/>
        </w:trPr>
        <w:tc>
          <w:tcPr>
            <w:tcW w:w="440" w:type="dxa"/>
            <w:vAlign w:val="bottom"/>
          </w:tcPr>
          <w:p>
            <w:pPr>
              <w:ind w:left="40"/>
              <w:spacing w:after="0"/>
              <w:rPr>
                <w:sz w:val="20"/>
                <w:szCs w:val="20"/>
                <w:color w:val="auto"/>
              </w:rPr>
            </w:pPr>
            <w:r>
              <w:rPr>
                <w:rFonts w:ascii="Arial" w:cs="Arial" w:eastAsia="Arial" w:hAnsi="Arial"/>
                <w:sz w:val="15"/>
                <w:szCs w:val="15"/>
                <w:color w:val="auto"/>
              </w:rPr>
              <w:t>​</w:t>
            </w:r>
          </w:p>
        </w:tc>
        <w:tc>
          <w:tcPr>
            <w:tcW w:w="4000" w:type="dxa"/>
            <w:vAlign w:val="bottom"/>
          </w:tcPr>
          <w:p>
            <w:pPr>
              <w:ind w:left="340"/>
              <w:spacing w:after="0"/>
              <w:rPr>
                <w:sz w:val="20"/>
                <w:szCs w:val="20"/>
                <w:color w:val="auto"/>
              </w:rPr>
            </w:pPr>
            <w:r>
              <w:rPr>
                <w:rFonts w:ascii="Arial" w:cs="Arial" w:eastAsia="Arial" w:hAnsi="Arial"/>
                <w:sz w:val="15"/>
                <w:szCs w:val="15"/>
                <w:color w:val="auto"/>
              </w:rPr>
              <w:t>​ ​ Operations and system integrity</w:t>
            </w:r>
          </w:p>
        </w:tc>
        <w:tc>
          <w:tcPr>
            <w:tcW w:w="600" w:type="dxa"/>
            <w:vAlign w:val="bottom"/>
          </w:tcPr>
          <w:p>
            <w:pPr>
              <w:ind w:left="80"/>
              <w:spacing w:after="0"/>
              <w:rPr>
                <w:sz w:val="20"/>
                <w:szCs w:val="20"/>
                <w:color w:val="auto"/>
              </w:rPr>
            </w:pPr>
            <w:r>
              <w:rPr>
                <w:rFonts w:ascii="Arial" w:cs="Arial" w:eastAsia="Arial" w:hAnsi="Arial"/>
                <w:sz w:val="15"/>
                <w:szCs w:val="15"/>
                <w:color w:val="auto"/>
              </w:rPr>
              <w:t>​ ​</w:t>
            </w:r>
          </w:p>
        </w:tc>
        <w:tc>
          <w:tcPr>
            <w:tcW w:w="4080" w:type="dxa"/>
            <w:vAlign w:val="bottom"/>
          </w:tcPr>
          <w:p>
            <w:pPr>
              <w:ind w:left="360"/>
              <w:spacing w:after="0"/>
              <w:rPr>
                <w:sz w:val="20"/>
                <w:szCs w:val="20"/>
                <w:color w:val="auto"/>
              </w:rPr>
            </w:pPr>
            <w:r>
              <w:rPr>
                <w:rFonts w:ascii="Arial" w:cs="Arial" w:eastAsia="Arial" w:hAnsi="Arial"/>
                <w:sz w:val="15"/>
                <w:szCs w:val="15"/>
                <w:color w:val="auto"/>
              </w:rPr>
              <w:t>​ ​ Human capital management</w:t>
            </w:r>
          </w:p>
        </w:tc>
        <w:tc>
          <w:tcPr>
            <w:tcW w:w="140" w:type="dxa"/>
            <w:vAlign w:val="bottom"/>
          </w:tcPr>
          <w:p>
            <w:pPr>
              <w:ind w:left="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-527050</wp:posOffset>
            </wp:positionV>
            <wp:extent cx="5880735" cy="651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80735" cy="65151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3380" w:type="dxa"/>
            <w:vAlign w:val="bottom"/>
            <w:vMerge w:val="restart"/>
          </w:tcPr>
          <w:p>
            <w:pPr>
              <w:ind w:left="340"/>
              <w:spacing w:after="0"/>
              <w:rPr>
                <w:sz w:val="20"/>
                <w:szCs w:val="20"/>
                <w:color w:val="auto"/>
              </w:rPr>
            </w:pPr>
            <w:r>
              <w:rPr>
                <w:rFonts w:ascii="Arial" w:cs="Arial" w:eastAsia="Arial" w:hAnsi="Arial"/>
                <w:sz w:val="15"/>
                <w:szCs w:val="15"/>
                <w:color w:val="auto"/>
              </w:rPr>
              <w:t>​ ​ Litigation and other legal matters</w:t>
            </w:r>
          </w:p>
        </w:tc>
        <w:tc>
          <w:tcPr>
            <w:tcW w:w="1220" w:type="dxa"/>
            <w:vAlign w:val="bottom"/>
          </w:tcPr>
          <w:p>
            <w:pPr>
              <w:spacing w:after="0"/>
              <w:rPr>
                <w:sz w:val="14"/>
                <w:szCs w:val="14"/>
                <w:color w:val="auto"/>
              </w:rPr>
            </w:pPr>
          </w:p>
        </w:tc>
        <w:tc>
          <w:tcPr>
            <w:tcW w:w="3900" w:type="dxa"/>
            <w:vAlign w:val="bottom"/>
          </w:tcPr>
          <w:p>
            <w:pPr>
              <w:ind w:left="520"/>
              <w:spacing w:after="0"/>
              <w:rPr>
                <w:sz w:val="20"/>
                <w:szCs w:val="20"/>
                <w:color w:val="auto"/>
              </w:rPr>
            </w:pPr>
            <w:r>
              <w:rPr>
                <w:rFonts w:ascii="Arial" w:cs="Arial" w:eastAsia="Arial" w:hAnsi="Arial"/>
                <w:sz w:val="15"/>
                <w:szCs w:val="15"/>
                <w:color w:val="auto"/>
              </w:rPr>
              <w:t>Financial risk and annual budget, including capital</w:t>
            </w:r>
          </w:p>
        </w:tc>
        <w:tc>
          <w:tcPr>
            <w:tcW w:w="0" w:type="dxa"/>
            <w:vAlign w:val="bottom"/>
          </w:tcPr>
          <w:p>
            <w:pPr>
              <w:spacing w:after="0"/>
              <w:rPr>
                <w:sz w:val="1"/>
                <w:szCs w:val="1"/>
                <w:color w:val="auto"/>
              </w:rPr>
            </w:pPr>
          </w:p>
        </w:tc>
      </w:tr>
      <w:tr>
        <w:trPr>
          <w:trHeight w:val="388"/>
        </w:trPr>
        <w:tc>
          <w:tcPr>
            <w:tcW w:w="400" w:type="dxa"/>
            <w:vAlign w:val="bottom"/>
          </w:tcPr>
          <w:p>
            <w:pPr>
              <w:spacing w:after="0"/>
              <w:rPr>
                <w:sz w:val="20"/>
                <w:szCs w:val="20"/>
                <w:color w:val="auto"/>
              </w:rPr>
            </w:pPr>
            <w:r>
              <w:rPr>
                <w:rFonts w:ascii="Arial" w:cs="Arial" w:eastAsia="Arial" w:hAnsi="Arial"/>
                <w:sz w:val="15"/>
                <w:szCs w:val="15"/>
                <w:color w:val="auto"/>
              </w:rPr>
              <w:t>​</w:t>
            </w:r>
          </w:p>
        </w:tc>
        <w:tc>
          <w:tcPr>
            <w:tcW w:w="3380" w:type="dxa"/>
            <w:vAlign w:val="bottom"/>
            <w:vMerge w:val="continue"/>
          </w:tcPr>
          <w:p>
            <w:pPr>
              <w:spacing w:after="0"/>
              <w:rPr>
                <w:sz w:val="24"/>
                <w:szCs w:val="24"/>
                <w:color w:val="auto"/>
              </w:rPr>
            </w:pPr>
          </w:p>
        </w:tc>
        <w:tc>
          <w:tcPr>
            <w:tcW w:w="1220" w:type="dxa"/>
            <w:vAlign w:val="bottom"/>
          </w:tcPr>
          <w:p>
            <w:pPr>
              <w:ind w:left="700"/>
              <w:spacing w:after="0"/>
              <w:rPr>
                <w:sz w:val="20"/>
                <w:szCs w:val="20"/>
                <w:color w:val="auto"/>
              </w:rPr>
            </w:pPr>
            <w:r>
              <w:rPr>
                <w:rFonts w:ascii="Arial" w:cs="Arial" w:eastAsia="Arial" w:hAnsi="Arial"/>
                <w:sz w:val="15"/>
                <w:szCs w:val="15"/>
                <w:color w:val="auto"/>
              </w:rPr>
              <w:t>​ ​</w:t>
            </w:r>
          </w:p>
        </w:tc>
        <w:tc>
          <w:tcPr>
            <w:tcW w:w="3900" w:type="dxa"/>
            <w:vAlign w:val="bottom"/>
          </w:tcPr>
          <w:p>
            <w:pPr>
              <w:ind w:left="36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color w:val="auto"/>
              </w:rPr>
              <w:t>investment plan</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3380" w:type="dxa"/>
            <w:vAlign w:val="bottom"/>
            <w:vMerge w:val="restart"/>
          </w:tcPr>
          <w:p>
            <w:pPr>
              <w:ind w:left="340"/>
              <w:spacing w:after="0"/>
              <w:rPr>
                <w:sz w:val="20"/>
                <w:szCs w:val="20"/>
                <w:color w:val="auto"/>
              </w:rPr>
            </w:pPr>
            <w:r>
              <w:rPr>
                <w:rFonts w:ascii="Arial" w:cs="Arial" w:eastAsia="Arial" w:hAnsi="Arial"/>
                <w:sz w:val="15"/>
                <w:szCs w:val="15"/>
                <w:color w:val="auto"/>
              </w:rPr>
              <w:t>​ ​ Supply chain</w:t>
            </w:r>
          </w:p>
        </w:tc>
        <w:tc>
          <w:tcPr>
            <w:tcW w:w="1220" w:type="dxa"/>
            <w:vAlign w:val="bottom"/>
          </w:tcPr>
          <w:p>
            <w:pPr>
              <w:spacing w:after="0"/>
              <w:rPr>
                <w:sz w:val="13"/>
                <w:szCs w:val="13"/>
                <w:color w:val="auto"/>
              </w:rPr>
            </w:pPr>
          </w:p>
        </w:tc>
        <w:tc>
          <w:tcPr>
            <w:tcW w:w="3900" w:type="dxa"/>
            <w:vAlign w:val="bottom"/>
          </w:tcPr>
          <w:p>
            <w:pPr>
              <w:ind w:left="540"/>
              <w:spacing w:after="0" w:line="153" w:lineRule="exact"/>
              <w:rPr>
                <w:sz w:val="20"/>
                <w:szCs w:val="20"/>
                <w:color w:val="auto"/>
              </w:rPr>
            </w:pPr>
            <w:r>
              <w:rPr>
                <w:rFonts w:ascii="Arial" w:cs="Arial" w:eastAsia="Arial" w:hAnsi="Arial"/>
                <w:sz w:val="15"/>
                <w:szCs w:val="15"/>
                <w:color w:val="auto"/>
                <w:w w:val="99"/>
              </w:rPr>
              <w:t>Net zero and greenhouse gas emissions reduction</w:t>
            </w:r>
          </w:p>
        </w:tc>
        <w:tc>
          <w:tcPr>
            <w:tcW w:w="0" w:type="dxa"/>
            <w:vAlign w:val="bottom"/>
          </w:tcPr>
          <w:p>
            <w:pPr>
              <w:spacing w:after="0"/>
              <w:rPr>
                <w:sz w:val="1"/>
                <w:szCs w:val="1"/>
                <w:color w:val="auto"/>
              </w:rPr>
            </w:pPr>
          </w:p>
        </w:tc>
      </w:tr>
      <w:tr>
        <w:trPr>
          <w:trHeight w:val="408"/>
        </w:trPr>
        <w:tc>
          <w:tcPr>
            <w:tcW w:w="400" w:type="dxa"/>
            <w:vAlign w:val="bottom"/>
          </w:tcPr>
          <w:p>
            <w:pPr>
              <w:spacing w:after="0"/>
              <w:rPr>
                <w:sz w:val="20"/>
                <w:szCs w:val="20"/>
                <w:color w:val="auto"/>
              </w:rPr>
            </w:pPr>
            <w:r>
              <w:rPr>
                <w:rFonts w:ascii="Arial" w:cs="Arial" w:eastAsia="Arial" w:hAnsi="Arial"/>
                <w:sz w:val="15"/>
                <w:szCs w:val="15"/>
                <w:color w:val="auto"/>
              </w:rPr>
              <w:t>​</w:t>
            </w:r>
          </w:p>
        </w:tc>
        <w:tc>
          <w:tcPr>
            <w:tcW w:w="3380" w:type="dxa"/>
            <w:vAlign w:val="bottom"/>
            <w:vMerge w:val="continue"/>
          </w:tcPr>
          <w:p>
            <w:pPr>
              <w:spacing w:after="0"/>
              <w:rPr>
                <w:sz w:val="24"/>
                <w:szCs w:val="24"/>
                <w:color w:val="auto"/>
              </w:rPr>
            </w:pPr>
          </w:p>
        </w:tc>
        <w:tc>
          <w:tcPr>
            <w:tcW w:w="1220" w:type="dxa"/>
            <w:vAlign w:val="bottom"/>
          </w:tcPr>
          <w:p>
            <w:pPr>
              <w:ind w:left="700"/>
              <w:spacing w:after="0"/>
              <w:rPr>
                <w:sz w:val="20"/>
                <w:szCs w:val="20"/>
                <w:color w:val="auto"/>
              </w:rPr>
            </w:pPr>
            <w:r>
              <w:rPr>
                <w:rFonts w:ascii="Arial" w:cs="Arial" w:eastAsia="Arial" w:hAnsi="Arial"/>
                <w:sz w:val="15"/>
                <w:szCs w:val="15"/>
                <w:color w:val="auto"/>
              </w:rPr>
              <w:t>​ ​</w:t>
            </w:r>
          </w:p>
        </w:tc>
        <w:tc>
          <w:tcPr>
            <w:tcW w:w="3900" w:type="dxa"/>
            <w:vAlign w:val="bottom"/>
          </w:tcPr>
          <w:p>
            <w:pPr>
              <w:ind w:left="36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color w:val="auto"/>
              </w:rPr>
              <w:t xml:space="preserve"> goals and generation transition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-35560</wp:posOffset>
            </wp:positionV>
            <wp:extent cx="58807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-421640</wp:posOffset>
            </wp:positionV>
            <wp:extent cx="58807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-695960</wp:posOffset>
            </wp:positionV>
            <wp:extent cx="21463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630" cy="24003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-687070</wp:posOffset>
            </wp:positionV>
            <wp:extent cx="26543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430" cy="21463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-361315</wp:posOffset>
            </wp:positionV>
            <wp:extent cx="26543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-361315</wp:posOffset>
            </wp:positionV>
            <wp:extent cx="248920"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89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80" w:lineRule="exact"/>
        <w:rPr>
          <w:sz w:val="20"/>
          <w:szCs w:val="20"/>
          <w:color w:val="auto"/>
        </w:rPr>
      </w:pPr>
    </w:p>
    <w:p>
      <w:pPr>
        <w:sectPr>
          <w:pgSz w:w="11900" w:h="16838" w:orient="portrait"/>
          <w:cols w:equalWidth="0" w:num="2">
            <w:col w:w="9680" w:space="260"/>
            <w:col w:w="80"/>
          </w:cols>
          <w:pgMar w:left="580" w:top="97" w:right="1299" w:bottom="1440" w:gutter="0" w:footer="0" w:header="0"/>
          <w:type w:val="continuous"/>
        </w:sectPr>
      </w:pPr>
    </w:p>
    <w:p>
      <w:pPr>
        <w:spacing w:after="0" w:line="93" w:lineRule="exact"/>
        <w:rPr>
          <w:sz w:val="20"/>
          <w:szCs w:val="20"/>
          <w:color w:val="auto"/>
        </w:rPr>
      </w:pPr>
    </w:p>
    <w:p>
      <w:pPr>
        <w:ind w:left="740" w:right="160"/>
        <w:spacing w:after="0" w:line="286" w:lineRule="auto"/>
        <w:rPr>
          <w:sz w:val="20"/>
          <w:szCs w:val="20"/>
          <w:color w:val="auto"/>
        </w:rPr>
      </w:pPr>
      <w:r>
        <w:rPr>
          <w:rFonts w:ascii="Arial" w:cs="Arial" w:eastAsia="Arial" w:hAnsi="Arial"/>
          <w:sz w:val="16"/>
          <w:szCs w:val="16"/>
          <w:color w:val="auto"/>
        </w:rPr>
        <w:t>To help the Board carry out its responsibility for risk oversight, the Board’s standing committees focus on the following specific key areas of risk:</w:t>
      </w:r>
    </w:p>
    <w:p>
      <w:pPr>
        <w:spacing w:after="0" w:line="85"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1960" w:type="dxa"/>
            <w:vAlign w:val="bottom"/>
            <w:shd w:val="clear" w:color="auto" w:fill="003763"/>
          </w:tcPr>
          <w:p>
            <w:pPr>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Committee</w:t>
            </w:r>
          </w:p>
        </w:tc>
        <w:tc>
          <w:tcPr>
            <w:tcW w:w="460" w:type="dxa"/>
            <w:vAlign w:val="bottom"/>
            <w:shd w:val="clear" w:color="auto" w:fill="003763"/>
          </w:tcPr>
          <w:p>
            <w:pPr>
              <w:ind w:left="280"/>
              <w:spacing w:after="0"/>
              <w:rPr>
                <w:sz w:val="20"/>
                <w:szCs w:val="20"/>
                <w:color w:val="auto"/>
              </w:rPr>
            </w:pPr>
            <w:r>
              <w:rPr>
                <w:rFonts w:ascii="Arial" w:cs="Arial" w:eastAsia="Arial" w:hAnsi="Arial"/>
                <w:sz w:val="13"/>
                <w:szCs w:val="13"/>
                <w:b w:val="1"/>
                <w:bCs w:val="1"/>
                <w:color w:val="FFFFFF"/>
              </w:rPr>
              <w:t>​ ​</w:t>
            </w:r>
          </w:p>
        </w:tc>
        <w:tc>
          <w:tcPr>
            <w:tcW w:w="6700" w:type="dxa"/>
            <w:vAlign w:val="bottom"/>
            <w:shd w:val="clear" w:color="auto" w:fill="003763"/>
          </w:tcPr>
          <w:p>
            <w:pPr>
              <w:ind w:left="2420"/>
              <w:spacing w:after="0"/>
              <w:rPr>
                <w:sz w:val="20"/>
                <w:szCs w:val="20"/>
                <w:color w:val="auto"/>
              </w:rPr>
            </w:pPr>
            <w:r>
              <w:rPr>
                <w:rFonts w:ascii="Arial" w:cs="Arial" w:eastAsia="Arial" w:hAnsi="Arial"/>
                <w:sz w:val="13"/>
                <w:szCs w:val="13"/>
                <w:b w:val="1"/>
                <w:bCs w:val="1"/>
                <w:color w:val="FFFFFF"/>
              </w:rPr>
              <w:t>Risk Oversight Responsibilities</w:t>
            </w:r>
          </w:p>
        </w:tc>
        <w:tc>
          <w:tcPr>
            <w:tcW w:w="12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tcPr>
          <w:p>
            <w:pPr>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b w:val="1"/>
                <w:bCs w:val="1"/>
                <w:color w:val="auto"/>
              </w:rPr>
              <w:t xml:space="preserve"> Audit</w:t>
            </w:r>
          </w:p>
        </w:tc>
        <w:tc>
          <w:tcPr>
            <w:tcW w:w="7160" w:type="dxa"/>
            <w:vAlign w:val="bottom"/>
            <w:gridSpan w:val="2"/>
          </w:tcPr>
          <w:p>
            <w:pPr>
              <w:ind w:left="28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Accounting and financial matters, including compliance with legal and regulatory requirements,</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financial reporting and internal controls systems, review of the Company’s enterprise risk</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management process, review of major financial risk exposures and significant risks relating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artificial intelligence, and cybersecurity matters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60" w:type="dxa"/>
            <w:vAlign w:val="bottom"/>
            <w:tcBorders>
              <w:bottom w:val="single" w:sz="8" w:color="CCCCCC"/>
            </w:tcBorders>
          </w:tcPr>
          <w:p>
            <w:pPr>
              <w:spacing w:after="0"/>
              <w:rPr>
                <w:sz w:val="5"/>
                <w:szCs w:val="5"/>
                <w:color w:val="auto"/>
              </w:rPr>
            </w:pPr>
          </w:p>
        </w:tc>
        <w:tc>
          <w:tcPr>
            <w:tcW w:w="7160" w:type="dxa"/>
            <w:vAlign w:val="bottom"/>
            <w:tcBorders>
              <w:bottom w:val="single" w:sz="8" w:color="CCCCCC"/>
            </w:tcBorders>
            <w:gridSpan w:val="2"/>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60" w:type="dxa"/>
            <w:vAlign w:val="bottom"/>
            <w:shd w:val="clear" w:color="auto" w:fill="F2F2F2"/>
          </w:tcPr>
          <w:p>
            <w:pPr>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Human Capital and</w:t>
            </w:r>
          </w:p>
        </w:tc>
        <w:tc>
          <w:tcPr>
            <w:tcW w:w="7160" w:type="dxa"/>
            <w:vAlign w:val="bottom"/>
            <w:gridSpan w:val="2"/>
            <w:shd w:val="clear" w:color="auto" w:fill="F2F2F2"/>
          </w:tcPr>
          <w:p>
            <w:pPr>
              <w:ind w:left="280"/>
              <w:spacing w:after="0" w:line="203"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Compensation policies and practices, human capital management, and succession planning,</w:t>
            </w:r>
          </w:p>
        </w:tc>
        <w:tc>
          <w:tcPr>
            <w:tcW w:w="120" w:type="dxa"/>
            <w:vAlign w:val="bottom"/>
            <w:shd w:val="clear" w:color="auto" w:fill="F2F2F2"/>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F2F2F2"/>
          </w:tcPr>
          <w:p>
            <w:pPr>
              <w:ind w:left="80"/>
              <w:spacing w:after="0"/>
              <w:rPr>
                <w:sz w:val="20"/>
                <w:szCs w:val="20"/>
                <w:color w:val="auto"/>
              </w:rPr>
            </w:pPr>
            <w:r>
              <w:rPr>
                <w:rFonts w:ascii="Arial" w:cs="Arial" w:eastAsia="Arial" w:hAnsi="Arial"/>
                <w:sz w:val="15"/>
                <w:szCs w:val="15"/>
                <w:b w:val="1"/>
                <w:bCs w:val="1"/>
                <w:color w:val="auto"/>
              </w:rPr>
              <w:t>Compensation</w:t>
            </w:r>
          </w:p>
        </w:tc>
        <w:tc>
          <w:tcPr>
            <w:tcW w:w="460" w:type="dxa"/>
            <w:vAlign w:val="bottom"/>
            <w:shd w:val="clear" w:color="auto" w:fill="F2F2F2"/>
          </w:tcPr>
          <w:p>
            <w:pPr>
              <w:spacing w:after="0"/>
              <w:rPr>
                <w:sz w:val="18"/>
                <w:szCs w:val="18"/>
                <w:color w:val="auto"/>
              </w:rPr>
            </w:pPr>
          </w:p>
        </w:tc>
        <w:tc>
          <w:tcPr>
            <w:tcW w:w="6700" w:type="dxa"/>
            <w:vAlign w:val="bottom"/>
            <w:shd w:val="clear" w:color="auto" w:fill="F2F2F2"/>
          </w:tcPr>
          <w:p>
            <w:pPr>
              <w:ind w:left="40"/>
              <w:spacing w:after="0"/>
              <w:rPr>
                <w:sz w:val="20"/>
                <w:szCs w:val="20"/>
                <w:color w:val="auto"/>
              </w:rPr>
            </w:pPr>
            <w:r>
              <w:rPr>
                <w:rFonts w:ascii="Arial" w:cs="Arial" w:eastAsia="Arial" w:hAnsi="Arial"/>
                <w:sz w:val="15"/>
                <w:szCs w:val="15"/>
                <w:color w:val="auto"/>
              </w:rPr>
              <w:t>including in the event of an emergency or retirement of the Chief Executive Officer</w:t>
            </w:r>
          </w:p>
        </w:tc>
        <w:tc>
          <w:tcPr>
            <w:tcW w:w="1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960" w:type="dxa"/>
            <w:vAlign w:val="bottom"/>
            <w:tcBorders>
              <w:bottom w:val="single" w:sz="8" w:color="CCCCCC"/>
            </w:tcBorders>
            <w:shd w:val="clear" w:color="auto" w:fill="F2F2F2"/>
          </w:tcPr>
          <w:p>
            <w:pPr>
              <w:spacing w:after="0"/>
              <w:rPr>
                <w:sz w:val="5"/>
                <w:szCs w:val="5"/>
                <w:color w:val="auto"/>
              </w:rPr>
            </w:pPr>
          </w:p>
        </w:tc>
        <w:tc>
          <w:tcPr>
            <w:tcW w:w="7160" w:type="dxa"/>
            <w:vAlign w:val="bottom"/>
            <w:tcBorders>
              <w:bottom w:val="single" w:sz="8" w:color="CCCCCC"/>
            </w:tcBorders>
            <w:gridSpan w:val="2"/>
            <w:shd w:val="clear" w:color="auto" w:fill="F2F2F2"/>
          </w:tcPr>
          <w:p>
            <w:pPr>
              <w:spacing w:after="0"/>
              <w:rPr>
                <w:sz w:val="5"/>
                <w:szCs w:val="5"/>
                <w:color w:val="auto"/>
              </w:rPr>
            </w:pPr>
          </w:p>
        </w:tc>
        <w:tc>
          <w:tcPr>
            <w:tcW w:w="120" w:type="dxa"/>
            <w:vAlign w:val="bottom"/>
            <w:tcBorders>
              <w:bottom w:val="single" w:sz="8" w:color="CCCCCC"/>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60" w:type="dxa"/>
            <w:vAlign w:val="bottom"/>
          </w:tcPr>
          <w:p>
            <w:pPr>
              <w:spacing w:after="0" w:line="205"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Governance</w:t>
            </w:r>
          </w:p>
        </w:tc>
        <w:tc>
          <w:tcPr>
            <w:tcW w:w="7160" w:type="dxa"/>
            <w:vAlign w:val="bottom"/>
            <w:gridSpan w:val="2"/>
          </w:tcPr>
          <w:p>
            <w:pPr>
              <w:ind w:left="280"/>
              <w:spacing w:after="0" w:line="205"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Corporate governance, including Board structure, environmental matters, including those related to</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compliance with applicable regulations, climate change and significant environmental hazards,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w w:val="99"/>
              </w:rPr>
              <w:t>sustainability, including the Company’s programs, practices, initiatives, and reporting relating to such</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matters, such as our net zero and greenhouse gas emissions reduction goals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1960" w:type="dxa"/>
            <w:vAlign w:val="bottom"/>
            <w:tcBorders>
              <w:bottom w:val="single" w:sz="8" w:color="CCCCCC"/>
            </w:tcBorders>
          </w:tcPr>
          <w:p>
            <w:pPr>
              <w:spacing w:after="0"/>
              <w:rPr>
                <w:sz w:val="5"/>
                <w:szCs w:val="5"/>
                <w:color w:val="auto"/>
              </w:rPr>
            </w:pPr>
          </w:p>
        </w:tc>
        <w:tc>
          <w:tcPr>
            <w:tcW w:w="7280" w:type="dxa"/>
            <w:vAlign w:val="bottom"/>
            <w:tcBorders>
              <w:bottom w:val="single" w:sz="8" w:color="CCCCC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960" w:type="dxa"/>
            <w:vAlign w:val="bottom"/>
          </w:tcPr>
          <w:p>
            <w:pPr>
              <w:spacing w:after="0" w:line="205"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Safety and Operations</w:t>
            </w:r>
          </w:p>
        </w:tc>
        <w:tc>
          <w:tcPr>
            <w:tcW w:w="7280" w:type="dxa"/>
            <w:vAlign w:val="bottom"/>
            <w:gridSpan w:val="3"/>
          </w:tcPr>
          <w:p>
            <w:pPr>
              <w:ind w:left="280"/>
              <w:spacing w:after="0" w:line="205"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Safety matters, including risk management and any significant safety incidents or events, as well as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00" w:type="dxa"/>
            <w:vAlign w:val="bottom"/>
          </w:tcPr>
          <w:p>
            <w:pPr>
              <w:ind w:left="40"/>
              <w:spacing w:after="0"/>
              <w:rPr>
                <w:sz w:val="20"/>
                <w:szCs w:val="20"/>
                <w:color w:val="auto"/>
              </w:rPr>
            </w:pPr>
            <w:r>
              <w:rPr>
                <w:rFonts w:ascii="Arial" w:cs="Arial" w:eastAsia="Arial" w:hAnsi="Arial"/>
                <w:sz w:val="15"/>
                <w:szCs w:val="15"/>
                <w:color w:val="auto"/>
              </w:rPr>
              <w:t>our utility operations, including risk management, emergency preparedness and response,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-269875</wp:posOffset>
            </wp:positionV>
            <wp:extent cx="5880735" cy="539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80735" cy="539750"/>
                    </a:xfrm>
                    <a:prstGeom prst="rect">
                      <a:avLst/>
                    </a:prstGeom>
                    <a:noFill/>
                  </pic:spPr>
                </pic:pic>
              </a:graphicData>
            </a:graphic>
          </wp:anchor>
        </w:drawing>
      </w:r>
    </w:p>
    <w:p>
      <w:pPr>
        <w:ind w:left="3220" w:right="620"/>
        <w:spacing w:after="0" w:line="267" w:lineRule="auto"/>
        <w:rPr>
          <w:sz w:val="20"/>
          <w:szCs w:val="20"/>
          <w:color w:val="auto"/>
        </w:rPr>
      </w:pPr>
      <w:r>
        <w:rPr>
          <w:rFonts w:ascii="Arial" w:cs="Arial" w:eastAsia="Arial" w:hAnsi="Arial"/>
          <w:sz w:val="15"/>
          <w:szCs w:val="15"/>
          <w:color w:val="auto"/>
        </w:rPr>
        <w:t>compliance with regulations and standards, and significant inquiries and major inspections by regulatory agencies and oversight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26035</wp:posOffset>
            </wp:positionV>
            <wp:extent cx="58807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77" w:lineRule="exact"/>
        <w:rPr>
          <w:sz w:val="20"/>
          <w:szCs w:val="20"/>
          <w:color w:val="auto"/>
        </w:rPr>
      </w:pPr>
    </w:p>
    <w:p>
      <w:pPr>
        <w:ind w:left="740" w:right="200"/>
        <w:spacing w:after="0" w:line="259" w:lineRule="auto"/>
        <w:rPr>
          <w:sz w:val="20"/>
          <w:szCs w:val="20"/>
          <w:color w:val="auto"/>
        </w:rPr>
      </w:pPr>
      <w:r>
        <w:rPr>
          <w:rFonts w:ascii="Arial" w:cs="Arial" w:eastAsia="Arial" w:hAnsi="Arial"/>
          <w:sz w:val="16"/>
          <w:szCs w:val="16"/>
          <w:color w:val="auto"/>
        </w:rPr>
        <w:t>The Board believes that the administration of its risk oversight function has not affected its leadership structure. In reviewing the Company’s compensation program, the Human Capital and Compensation Committee has made an assessment of whether compensation policies and practices create risks that are reasonably likely to have a material adverse effect on the Company and has concluded that they do not create such risks as presently constituted.</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Executive Succession Planning and Leadership Development</w:t>
      </w:r>
    </w:p>
    <w:p>
      <w:pPr>
        <w:spacing w:after="0" w:line="112" w:lineRule="exact"/>
        <w:rPr>
          <w:sz w:val="20"/>
          <w:szCs w:val="20"/>
          <w:color w:val="auto"/>
        </w:rPr>
      </w:pPr>
    </w:p>
    <w:p>
      <w:pPr>
        <w:ind w:left="740" w:right="220"/>
        <w:spacing w:after="0" w:line="284" w:lineRule="auto"/>
        <w:rPr>
          <w:sz w:val="20"/>
          <w:szCs w:val="20"/>
          <w:color w:val="auto"/>
        </w:rPr>
      </w:pPr>
      <w:r>
        <w:rPr>
          <w:rFonts w:ascii="Arial" w:cs="Arial" w:eastAsia="Arial" w:hAnsi="Arial"/>
          <w:sz w:val="16"/>
          <w:szCs w:val="16"/>
          <w:color w:val="auto"/>
        </w:rPr>
        <w:t>The Human Capital and Compensation Committee, along with the full Board led by the Independent Chair, oversee management succession planning and talent development with continued focus on designing a succession planning program to support the execution of the Company’s long-term growth strategy.</w:t>
      </w:r>
    </w:p>
    <w:p>
      <w:pPr>
        <w:spacing w:after="0" w:line="89" w:lineRule="exact"/>
        <w:rPr>
          <w:sz w:val="20"/>
          <w:szCs w:val="20"/>
          <w:color w:val="auto"/>
        </w:rPr>
      </w:pPr>
    </w:p>
    <w:p>
      <w:pPr>
        <w:ind w:left="740" w:right="40"/>
        <w:spacing w:after="0" w:line="262" w:lineRule="auto"/>
        <w:rPr>
          <w:sz w:val="20"/>
          <w:szCs w:val="20"/>
          <w:color w:val="auto"/>
        </w:rPr>
      </w:pPr>
      <w:r>
        <w:rPr>
          <w:rFonts w:ascii="Arial" w:cs="Arial" w:eastAsia="Arial" w:hAnsi="Arial"/>
          <w:sz w:val="16"/>
          <w:szCs w:val="16"/>
          <w:color w:val="auto"/>
        </w:rPr>
        <w:t>In response to shareholder feedback and for the implementation of good governance practices, the Human Capital and Compensation Committee and the Board have been regularly and actively engaged in robust succession planning. As part of its succession planning strategy, the Board and the Human Capital and Compensation Committee regularly discuss with the Chief Executive Officer and the Chief Human Resources Officer the Company’s existing leadership and the Company’s process for identifying and developing potential internal candidates as successors to current leadership. During 2024, the Board discussed succession planning at the majority of its regularly scheduled Board meetings. The Human Capital and Compensation Committee and the Board particularly emphasize the importance of developing a deep leadership pipeline that also prioritizes the objective that leadership be representative of the communities in which the Company operates. Further, the Board interacts with potential future leaders of the Company through formal presentations at Board meetings and informal events. As part of its robust succession planning, the Board utilizes third-party advisors in addition to internal pipelines and resources.</w:t>
      </w:r>
    </w:p>
    <w:p>
      <w:pPr>
        <w:spacing w:after="0" w:line="111" w:lineRule="exact"/>
        <w:rPr>
          <w:sz w:val="20"/>
          <w:szCs w:val="20"/>
          <w:color w:val="auto"/>
        </w:rPr>
      </w:pPr>
    </w:p>
    <w:p>
      <w:pPr>
        <w:jc w:val="both"/>
        <w:ind w:left="740" w:right="180"/>
        <w:spacing w:after="0" w:line="275" w:lineRule="auto"/>
        <w:rPr>
          <w:sz w:val="20"/>
          <w:szCs w:val="20"/>
          <w:color w:val="auto"/>
        </w:rPr>
      </w:pPr>
      <w:r>
        <w:rPr>
          <w:rFonts w:ascii="Arial" w:cs="Arial" w:eastAsia="Arial" w:hAnsi="Arial"/>
          <w:sz w:val="16"/>
          <w:szCs w:val="16"/>
          <w:color w:val="auto"/>
        </w:rPr>
        <w:t>The Human Capital and Compensation Committee and the Board’s succession planning has resulted in refreshment of the senior management team, including the streamlined organizational leadership structure announced in January 2023, the appointment of Jason P. Wells as President and Chief Executive Officer, effective January 5, 2024, the recent creation of Senior</w:t>
      </w:r>
    </w:p>
    <w:p>
      <w:pPr>
        <w:sectPr>
          <w:pgSz w:w="11900" w:h="16838" w:orient="portrait"/>
          <w:cols w:equalWidth="0" w:num="1">
            <w:col w:w="10020"/>
          </w:cols>
          <w:pgMar w:left="580" w:top="97" w:right="1299" w:bottom="1440" w:gutter="0" w:footer="0" w:header="0"/>
          <w:type w:val="continuous"/>
        </w:sectPr>
      </w:pPr>
    </w:p>
    <w:p>
      <w:pPr>
        <w:spacing w:after="0" w:line="228"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60"/>
        <w:spacing w:after="0" w:line="275" w:lineRule="auto"/>
        <w:rPr>
          <w:sz w:val="20"/>
          <w:szCs w:val="20"/>
          <w:color w:val="auto"/>
        </w:rPr>
      </w:pPr>
      <w:r>
        <w:rPr>
          <w:rFonts w:ascii="Arial" w:cs="Arial" w:eastAsia="Arial" w:hAnsi="Arial"/>
          <w:sz w:val="16"/>
          <w:szCs w:val="16"/>
          <w:color w:val="auto"/>
        </w:rPr>
        <w:t>Vice President roles to support the Company’s long-term strategic plan, and the appointment of a new Chief Human Resources Officer, effective January 1, 2025, following the retirement of Lynne Harkel-Rumford from her position as Executive Vice President and Chief Human Resources Officer.</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Director Attendance</w:t>
      </w:r>
    </w:p>
    <w:p>
      <w:pPr>
        <w:spacing w:after="0" w:line="126" w:lineRule="exact"/>
        <w:rPr>
          <w:sz w:val="20"/>
          <w:szCs w:val="20"/>
          <w:color w:val="auto"/>
        </w:rPr>
      </w:pPr>
    </w:p>
    <w:p>
      <w:pPr>
        <w:ind w:left="740" w:right="300"/>
        <w:spacing w:after="0" w:line="304" w:lineRule="auto"/>
        <w:rPr>
          <w:sz w:val="20"/>
          <w:szCs w:val="20"/>
          <w:color w:val="auto"/>
        </w:rPr>
      </w:pPr>
      <w:r>
        <w:rPr>
          <w:rFonts w:ascii="Arial" w:cs="Arial" w:eastAsia="Arial" w:hAnsi="Arial"/>
          <w:sz w:val="16"/>
          <w:szCs w:val="16"/>
          <w:color w:val="auto"/>
        </w:rPr>
        <w:t>Last year, the Board met 13 times, and the standing committees met a total of 26 times. Each incumbent director attended more than 75% of the meetings of the Board and each of the committees on which he or she served during 2024.</w:t>
      </w:r>
    </w:p>
    <w:p>
      <w:pPr>
        <w:spacing w:after="0" w:line="74" w:lineRule="exact"/>
        <w:rPr>
          <w:sz w:val="20"/>
          <w:szCs w:val="20"/>
          <w:color w:val="auto"/>
        </w:rPr>
      </w:pPr>
    </w:p>
    <w:p>
      <w:pPr>
        <w:ind w:left="740" w:right="200"/>
        <w:spacing w:after="0" w:line="304" w:lineRule="auto"/>
        <w:rPr>
          <w:sz w:val="20"/>
          <w:szCs w:val="20"/>
          <w:color w:val="auto"/>
        </w:rPr>
      </w:pPr>
      <w:r>
        <w:rPr>
          <w:rFonts w:ascii="Arial" w:cs="Arial" w:eastAsia="Arial" w:hAnsi="Arial"/>
          <w:sz w:val="16"/>
          <w:szCs w:val="16"/>
          <w:color w:val="auto"/>
        </w:rPr>
        <w:t>Directors are expected to attend annual meetings of shareholders. All then-current directors who were standing for reelection and director nominees attended the 2024 Annual Meeting.</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Board Organization and Committees</w:t>
      </w:r>
    </w:p>
    <w:p>
      <w:pPr>
        <w:spacing w:after="0" w:line="126" w:lineRule="exact"/>
        <w:rPr>
          <w:sz w:val="20"/>
          <w:szCs w:val="20"/>
          <w:color w:val="auto"/>
        </w:rPr>
      </w:pPr>
    </w:p>
    <w:p>
      <w:pPr>
        <w:ind w:left="740" w:right="20"/>
        <w:spacing w:after="0" w:line="278" w:lineRule="auto"/>
        <w:rPr>
          <w:sz w:val="20"/>
          <w:szCs w:val="20"/>
          <w:color w:val="auto"/>
        </w:rPr>
      </w:pPr>
      <w:r>
        <w:rPr>
          <w:rFonts w:ascii="Arial" w:cs="Arial" w:eastAsia="Arial" w:hAnsi="Arial"/>
          <w:sz w:val="15"/>
          <w:szCs w:val="15"/>
          <w:color w:val="auto"/>
        </w:rPr>
        <w:t>The Board oversees the management of the Company’s business and affairs. The Board appoints committees to help carry out its duties. The Governance Committee annually reviews and makes recommendations to the Board regarding the membership of each standing committee, including committee chairs, and upon consideration of such recommendations, the Board elects the members of each standing committee. Messrs. Wells and Smith do not currently serve on any standing committees. The following table sets forth the standing committees of the Board and their members as of the date of this Proxy Statement, as well as the number of meetings each committee held during 2024. Committee membership reflecting the addition of the two new director nominees,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Ms. Fitch and Mr. Miranda, if they are elected by our shareholders, will be published on our website soon after the Annual Meeting.</w:t>
      </w:r>
    </w:p>
    <w:p>
      <w:pPr>
        <w:spacing w:after="0" w:line="19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920" w:type="dxa"/>
            <w:vAlign w:val="bottom"/>
            <w:shd w:val="clear" w:color="auto" w:fill="003763"/>
          </w:tcPr>
          <w:p>
            <w:pPr>
              <w:spacing w:after="0"/>
              <w:rPr>
                <w:sz w:val="13"/>
                <w:szCs w:val="13"/>
                <w:color w:val="auto"/>
              </w:rPr>
            </w:pPr>
          </w:p>
        </w:tc>
        <w:tc>
          <w:tcPr>
            <w:tcW w:w="880" w:type="dxa"/>
            <w:vAlign w:val="bottom"/>
            <w:shd w:val="clear" w:color="auto" w:fill="003763"/>
          </w:tcPr>
          <w:p>
            <w:pPr>
              <w:spacing w:after="0"/>
              <w:rPr>
                <w:sz w:val="13"/>
                <w:szCs w:val="13"/>
                <w:color w:val="auto"/>
              </w:rPr>
            </w:pPr>
          </w:p>
        </w:tc>
        <w:tc>
          <w:tcPr>
            <w:tcW w:w="1480" w:type="dxa"/>
            <w:vAlign w:val="bottom"/>
            <w:shd w:val="clear" w:color="auto" w:fill="003763"/>
          </w:tcPr>
          <w:p>
            <w:pPr>
              <w:spacing w:after="0"/>
              <w:rPr>
                <w:sz w:val="13"/>
                <w:szCs w:val="13"/>
                <w:color w:val="auto"/>
              </w:rPr>
            </w:pPr>
          </w:p>
        </w:tc>
        <w:tc>
          <w:tcPr>
            <w:tcW w:w="280" w:type="dxa"/>
            <w:vAlign w:val="bottom"/>
            <w:shd w:val="clear" w:color="auto" w:fill="003763"/>
          </w:tcPr>
          <w:p>
            <w:pPr>
              <w:spacing w:after="0"/>
              <w:rPr>
                <w:sz w:val="13"/>
                <w:szCs w:val="13"/>
                <w:color w:val="auto"/>
              </w:rPr>
            </w:pPr>
          </w:p>
        </w:tc>
        <w:tc>
          <w:tcPr>
            <w:tcW w:w="11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Human</w:t>
            </w:r>
          </w:p>
        </w:tc>
        <w:tc>
          <w:tcPr>
            <w:tcW w:w="420" w:type="dxa"/>
            <w:vAlign w:val="bottom"/>
            <w:shd w:val="clear" w:color="auto" w:fill="003763"/>
          </w:tcPr>
          <w:p>
            <w:pPr>
              <w:spacing w:after="0"/>
              <w:rPr>
                <w:sz w:val="13"/>
                <w:szCs w:val="13"/>
                <w:color w:val="auto"/>
              </w:rPr>
            </w:pPr>
          </w:p>
        </w:tc>
        <w:tc>
          <w:tcPr>
            <w:tcW w:w="1020" w:type="dxa"/>
            <w:vAlign w:val="bottom"/>
            <w:shd w:val="clear" w:color="auto" w:fill="003763"/>
          </w:tcPr>
          <w:p>
            <w:pPr>
              <w:spacing w:after="0"/>
              <w:rPr>
                <w:sz w:val="13"/>
                <w:szCs w:val="13"/>
                <w:color w:val="auto"/>
              </w:rPr>
            </w:pPr>
          </w:p>
        </w:tc>
        <w:tc>
          <w:tcPr>
            <w:tcW w:w="340" w:type="dxa"/>
            <w:vAlign w:val="bottom"/>
            <w:shd w:val="clear" w:color="auto" w:fill="003763"/>
          </w:tcPr>
          <w:p>
            <w:pPr>
              <w:spacing w:after="0"/>
              <w:rPr>
                <w:sz w:val="13"/>
                <w:szCs w:val="13"/>
                <w:color w:val="auto"/>
              </w:rPr>
            </w:pPr>
          </w:p>
        </w:tc>
        <w:tc>
          <w:tcPr>
            <w:tcW w:w="720" w:type="dxa"/>
            <w:vAlign w:val="bottom"/>
            <w:vMerge w:val="restart"/>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Safety and</w:t>
            </w:r>
          </w:p>
        </w:tc>
        <w:tc>
          <w:tcPr>
            <w:tcW w:w="100" w:type="dxa"/>
            <w:vAlign w:val="bottom"/>
            <w:shd w:val="clear" w:color="auto" w:fill="003763"/>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920" w:type="dxa"/>
            <w:vAlign w:val="bottom"/>
            <w:shd w:val="clear" w:color="auto" w:fill="003763"/>
          </w:tcPr>
          <w:p>
            <w:pPr>
              <w:spacing w:after="0"/>
              <w:rPr>
                <w:sz w:val="10"/>
                <w:szCs w:val="10"/>
                <w:color w:val="auto"/>
              </w:rPr>
            </w:pPr>
          </w:p>
        </w:tc>
        <w:tc>
          <w:tcPr>
            <w:tcW w:w="880" w:type="dxa"/>
            <w:vAlign w:val="bottom"/>
            <w:shd w:val="clear" w:color="auto" w:fill="003763"/>
          </w:tcPr>
          <w:p>
            <w:pPr>
              <w:spacing w:after="0"/>
              <w:rPr>
                <w:sz w:val="10"/>
                <w:szCs w:val="10"/>
                <w:color w:val="auto"/>
              </w:rPr>
            </w:pPr>
          </w:p>
        </w:tc>
        <w:tc>
          <w:tcPr>
            <w:tcW w:w="1480" w:type="dxa"/>
            <w:vAlign w:val="bottom"/>
            <w:vMerge w:val="restart"/>
            <w:shd w:val="clear" w:color="auto" w:fill="003763"/>
          </w:tcPr>
          <w:p>
            <w:pPr>
              <w:jc w:val="center"/>
              <w:ind w:right="246"/>
              <w:spacing w:after="0"/>
              <w:rPr>
                <w:sz w:val="20"/>
                <w:szCs w:val="20"/>
                <w:color w:val="auto"/>
              </w:rPr>
            </w:pPr>
            <w:r>
              <w:rPr>
                <w:rFonts w:ascii="Arial" w:cs="Arial" w:eastAsia="Arial" w:hAnsi="Arial"/>
                <w:sz w:val="13"/>
                <w:szCs w:val="13"/>
                <w:b w:val="1"/>
                <w:bCs w:val="1"/>
                <w:color w:val="FFFFFF"/>
                <w:w w:val="96"/>
              </w:rPr>
              <w:t>Audit</w:t>
            </w:r>
          </w:p>
        </w:tc>
        <w:tc>
          <w:tcPr>
            <w:tcW w:w="280" w:type="dxa"/>
            <w:vAlign w:val="bottom"/>
            <w:shd w:val="clear" w:color="auto" w:fill="003763"/>
          </w:tcPr>
          <w:p>
            <w:pPr>
              <w:spacing w:after="0"/>
              <w:rPr>
                <w:sz w:val="10"/>
                <w:szCs w:val="10"/>
                <w:color w:val="auto"/>
              </w:rPr>
            </w:pPr>
          </w:p>
        </w:tc>
        <w:tc>
          <w:tcPr>
            <w:tcW w:w="1100" w:type="dxa"/>
            <w:vAlign w:val="bottom"/>
            <w:shd w:val="clear" w:color="auto" w:fill="003763"/>
          </w:tcPr>
          <w:p>
            <w:pPr>
              <w:jc w:val="center"/>
              <w:spacing w:after="0" w:line="122" w:lineRule="exact"/>
              <w:rPr>
                <w:sz w:val="20"/>
                <w:szCs w:val="20"/>
                <w:color w:val="auto"/>
              </w:rPr>
            </w:pPr>
            <w:r>
              <w:rPr>
                <w:rFonts w:ascii="Arial" w:cs="Arial" w:eastAsia="Arial" w:hAnsi="Arial"/>
                <w:sz w:val="13"/>
                <w:szCs w:val="13"/>
                <w:b w:val="1"/>
                <w:bCs w:val="1"/>
                <w:color w:val="FFFFFF"/>
                <w:w w:val="94"/>
              </w:rPr>
              <w:t>Capital and</w:t>
            </w:r>
          </w:p>
        </w:tc>
        <w:tc>
          <w:tcPr>
            <w:tcW w:w="420" w:type="dxa"/>
            <w:vAlign w:val="bottom"/>
            <w:shd w:val="clear" w:color="auto" w:fill="003763"/>
          </w:tcPr>
          <w:p>
            <w:pPr>
              <w:spacing w:after="0"/>
              <w:rPr>
                <w:sz w:val="10"/>
                <w:szCs w:val="10"/>
                <w:color w:val="auto"/>
              </w:rPr>
            </w:pPr>
          </w:p>
        </w:tc>
        <w:tc>
          <w:tcPr>
            <w:tcW w:w="1020" w:type="dxa"/>
            <w:vAlign w:val="bottom"/>
            <w:vMerge w:val="restart"/>
            <w:shd w:val="clear" w:color="auto" w:fill="003763"/>
          </w:tcPr>
          <w:p>
            <w:pPr>
              <w:ind w:left="140"/>
              <w:spacing w:after="0"/>
              <w:rPr>
                <w:sz w:val="20"/>
                <w:szCs w:val="20"/>
                <w:color w:val="auto"/>
              </w:rPr>
            </w:pPr>
            <w:r>
              <w:rPr>
                <w:rFonts w:ascii="Arial" w:cs="Arial" w:eastAsia="Arial" w:hAnsi="Arial"/>
                <w:sz w:val="13"/>
                <w:szCs w:val="13"/>
                <w:b w:val="1"/>
                <w:bCs w:val="1"/>
                <w:color w:val="FFFFFF"/>
              </w:rPr>
              <w:t>Governance</w:t>
            </w:r>
          </w:p>
        </w:tc>
        <w:tc>
          <w:tcPr>
            <w:tcW w:w="340" w:type="dxa"/>
            <w:vAlign w:val="bottom"/>
            <w:shd w:val="clear" w:color="auto" w:fill="003763"/>
          </w:tcPr>
          <w:p>
            <w:pPr>
              <w:spacing w:after="0"/>
              <w:rPr>
                <w:sz w:val="10"/>
                <w:szCs w:val="10"/>
                <w:color w:val="auto"/>
              </w:rPr>
            </w:pPr>
          </w:p>
        </w:tc>
        <w:tc>
          <w:tcPr>
            <w:tcW w:w="720" w:type="dxa"/>
            <w:vAlign w:val="bottom"/>
            <w:vMerge w:val="continue"/>
            <w:shd w:val="clear" w:color="auto" w:fill="003763"/>
          </w:tcPr>
          <w:p>
            <w:pPr>
              <w:spacing w:after="0"/>
              <w:rPr>
                <w:sz w:val="10"/>
                <w:szCs w:val="10"/>
                <w:color w:val="auto"/>
              </w:rPr>
            </w:pPr>
          </w:p>
        </w:tc>
        <w:tc>
          <w:tcPr>
            <w:tcW w:w="100" w:type="dxa"/>
            <w:vAlign w:val="bottom"/>
            <w:shd w:val="clear" w:color="auto" w:fill="00376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Director</w:t>
            </w:r>
          </w:p>
        </w:tc>
        <w:tc>
          <w:tcPr>
            <w:tcW w:w="880" w:type="dxa"/>
            <w:vAlign w:val="bottom"/>
            <w:shd w:val="clear" w:color="auto" w:fill="003763"/>
          </w:tcPr>
          <w:p>
            <w:pPr>
              <w:spacing w:after="0"/>
              <w:rPr>
                <w:sz w:val="11"/>
                <w:szCs w:val="11"/>
                <w:color w:val="auto"/>
              </w:rPr>
            </w:pPr>
          </w:p>
        </w:tc>
        <w:tc>
          <w:tcPr>
            <w:tcW w:w="1480" w:type="dxa"/>
            <w:vAlign w:val="bottom"/>
            <w:vMerge w:val="continue"/>
            <w:shd w:val="clear" w:color="auto" w:fill="003763"/>
          </w:tcPr>
          <w:p>
            <w:pPr>
              <w:spacing w:after="0"/>
              <w:rPr>
                <w:sz w:val="11"/>
                <w:szCs w:val="11"/>
                <w:color w:val="auto"/>
              </w:rPr>
            </w:pPr>
          </w:p>
        </w:tc>
        <w:tc>
          <w:tcPr>
            <w:tcW w:w="280" w:type="dxa"/>
            <w:vAlign w:val="bottom"/>
            <w:shd w:val="clear" w:color="auto" w:fill="003763"/>
          </w:tcPr>
          <w:p>
            <w:pPr>
              <w:spacing w:after="0"/>
              <w:rPr>
                <w:sz w:val="11"/>
                <w:szCs w:val="11"/>
                <w:color w:val="auto"/>
              </w:rPr>
            </w:pPr>
          </w:p>
        </w:tc>
        <w:tc>
          <w:tcPr>
            <w:tcW w:w="1100" w:type="dxa"/>
            <w:vAlign w:val="bottom"/>
            <w:shd w:val="clear" w:color="auto" w:fill="003763"/>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420" w:type="dxa"/>
            <w:vAlign w:val="bottom"/>
            <w:shd w:val="clear" w:color="auto" w:fill="003763"/>
          </w:tcPr>
          <w:p>
            <w:pPr>
              <w:spacing w:after="0"/>
              <w:rPr>
                <w:sz w:val="11"/>
                <w:szCs w:val="11"/>
                <w:color w:val="auto"/>
              </w:rPr>
            </w:pPr>
          </w:p>
        </w:tc>
        <w:tc>
          <w:tcPr>
            <w:tcW w:w="1020" w:type="dxa"/>
            <w:vAlign w:val="bottom"/>
            <w:vMerge w:val="continue"/>
            <w:shd w:val="clear" w:color="auto" w:fill="003763"/>
          </w:tcPr>
          <w:p>
            <w:pPr>
              <w:spacing w:after="0"/>
              <w:rPr>
                <w:sz w:val="11"/>
                <w:szCs w:val="11"/>
                <w:color w:val="auto"/>
              </w:rPr>
            </w:pPr>
          </w:p>
        </w:tc>
        <w:tc>
          <w:tcPr>
            <w:tcW w:w="340" w:type="dxa"/>
            <w:vAlign w:val="bottom"/>
            <w:shd w:val="clear" w:color="auto" w:fill="003763"/>
          </w:tcPr>
          <w:p>
            <w:pPr>
              <w:spacing w:after="0"/>
              <w:rPr>
                <w:sz w:val="11"/>
                <w:szCs w:val="11"/>
                <w:color w:val="auto"/>
              </w:rPr>
            </w:pPr>
          </w:p>
        </w:tc>
        <w:tc>
          <w:tcPr>
            <w:tcW w:w="720" w:type="dxa"/>
            <w:vAlign w:val="bottom"/>
            <w:shd w:val="clear" w:color="auto" w:fill="003763"/>
          </w:tcPr>
          <w:p>
            <w:pPr>
              <w:jc w:val="center"/>
              <w:spacing w:after="0" w:line="135" w:lineRule="exact"/>
              <w:rPr>
                <w:sz w:val="20"/>
                <w:szCs w:val="20"/>
                <w:color w:val="auto"/>
              </w:rPr>
            </w:pPr>
            <w:r>
              <w:rPr>
                <w:rFonts w:ascii="Arial" w:cs="Arial" w:eastAsia="Arial" w:hAnsi="Arial"/>
                <w:sz w:val="13"/>
                <w:szCs w:val="13"/>
                <w:b w:val="1"/>
                <w:bCs w:val="1"/>
                <w:color w:val="FFFFFF"/>
                <w:w w:val="96"/>
              </w:rPr>
              <w:t>Operations</w:t>
            </w:r>
          </w:p>
        </w:tc>
        <w:tc>
          <w:tcPr>
            <w:tcW w:w="100" w:type="dxa"/>
            <w:vAlign w:val="bottom"/>
            <w:shd w:val="clear" w:color="auto" w:fill="003763"/>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920" w:type="dxa"/>
            <w:vAlign w:val="bottom"/>
            <w:vMerge w:val="continue"/>
            <w:shd w:val="clear" w:color="auto" w:fill="003763"/>
          </w:tcPr>
          <w:p>
            <w:pPr>
              <w:spacing w:after="0"/>
              <w:rPr>
                <w:sz w:val="17"/>
                <w:szCs w:val="17"/>
                <w:color w:val="auto"/>
              </w:rPr>
            </w:pPr>
          </w:p>
        </w:tc>
        <w:tc>
          <w:tcPr>
            <w:tcW w:w="880" w:type="dxa"/>
            <w:vAlign w:val="bottom"/>
            <w:shd w:val="clear" w:color="auto" w:fill="003763"/>
          </w:tcPr>
          <w:p>
            <w:pPr>
              <w:ind w:left="440"/>
              <w:spacing w:after="0"/>
              <w:rPr>
                <w:sz w:val="20"/>
                <w:szCs w:val="20"/>
                <w:color w:val="auto"/>
              </w:rPr>
            </w:pPr>
            <w:r>
              <w:rPr>
                <w:rFonts w:ascii="Arial" w:cs="Arial" w:eastAsia="Arial" w:hAnsi="Arial"/>
                <w:sz w:val="13"/>
                <w:szCs w:val="13"/>
                <w:b w:val="1"/>
                <w:bCs w:val="1"/>
                <w:color w:val="FFFFFF"/>
              </w:rPr>
              <w:t>​ ​</w:t>
            </w:r>
          </w:p>
        </w:tc>
        <w:tc>
          <w:tcPr>
            <w:tcW w:w="1480" w:type="dxa"/>
            <w:vAlign w:val="bottom"/>
            <w:shd w:val="clear" w:color="auto" w:fill="003763"/>
          </w:tcPr>
          <w:p>
            <w:pPr>
              <w:jc w:val="center"/>
              <w:ind w:right="226"/>
              <w:spacing w:after="0"/>
              <w:rPr>
                <w:sz w:val="20"/>
                <w:szCs w:val="20"/>
                <w:color w:val="auto"/>
              </w:rPr>
            </w:pPr>
            <w:r>
              <w:rPr>
                <w:rFonts w:ascii="Arial" w:cs="Arial" w:eastAsia="Arial" w:hAnsi="Arial"/>
                <w:sz w:val="13"/>
                <w:szCs w:val="13"/>
                <w:b w:val="1"/>
                <w:bCs w:val="1"/>
                <w:color w:val="FFFFFF"/>
                <w:w w:val="98"/>
              </w:rPr>
              <w:t>Committee</w:t>
            </w:r>
          </w:p>
        </w:tc>
        <w:tc>
          <w:tcPr>
            <w:tcW w:w="28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 ​</w:t>
            </w:r>
          </w:p>
        </w:tc>
        <w:tc>
          <w:tcPr>
            <w:tcW w:w="11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420" w:type="dxa"/>
            <w:vAlign w:val="bottom"/>
            <w:shd w:val="clear" w:color="auto" w:fill="003763"/>
          </w:tcPr>
          <w:p>
            <w:pPr>
              <w:ind w:left="140"/>
              <w:spacing w:after="0"/>
              <w:rPr>
                <w:sz w:val="20"/>
                <w:szCs w:val="20"/>
                <w:color w:val="auto"/>
              </w:rPr>
            </w:pPr>
            <w:r>
              <w:rPr>
                <w:rFonts w:ascii="Arial" w:cs="Arial" w:eastAsia="Arial" w:hAnsi="Arial"/>
                <w:sz w:val="13"/>
                <w:szCs w:val="13"/>
                <w:b w:val="1"/>
                <w:bCs w:val="1"/>
                <w:color w:val="FFFFFF"/>
              </w:rPr>
              <w:t>​ ​</w:t>
            </w: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060" w:type="dxa"/>
            <w:vAlign w:val="bottom"/>
            <w:gridSpan w:val="2"/>
            <w:shd w:val="clear" w:color="auto" w:fill="003763"/>
          </w:tcPr>
          <w:p>
            <w:pPr>
              <w:ind w:left="180"/>
              <w:spacing w:after="0" w:line="202" w:lineRule="exact"/>
              <w:rPr>
                <w:sz w:val="20"/>
                <w:szCs w:val="20"/>
                <w:color w:val="auto"/>
              </w:rPr>
            </w:pPr>
            <w:r>
              <w:rPr>
                <w:rFonts w:ascii="Arial" w:cs="Arial" w:eastAsia="Arial" w:hAnsi="Arial"/>
                <w:sz w:val="23"/>
                <w:szCs w:val="23"/>
                <w:b w:val="1"/>
                <w:bCs w:val="1"/>
                <w:color w:val="FFFFFF"/>
                <w:vertAlign w:val="subscript"/>
              </w:rPr>
              <w:t>​ ​</w:t>
            </w:r>
            <w:r>
              <w:rPr>
                <w:rFonts w:ascii="Arial" w:cs="Arial" w:eastAsia="Arial" w:hAnsi="Arial"/>
                <w:sz w:val="12"/>
                <w:szCs w:val="12"/>
                <w:b w:val="1"/>
                <w:bCs w:val="1"/>
                <w:color w:val="FFFFFF"/>
              </w:rPr>
              <w:t xml:space="preserve"> Committee</w:t>
            </w:r>
          </w:p>
        </w:tc>
        <w:tc>
          <w:tcPr>
            <w:tcW w:w="1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97"/>
        </w:trPr>
        <w:tc>
          <w:tcPr>
            <w:tcW w:w="2920" w:type="dxa"/>
            <w:vAlign w:val="bottom"/>
            <w:tcBorders>
              <w:bottom w:val="single" w:sz="8" w:color="CCCCCC"/>
            </w:tcBorders>
          </w:tcPr>
          <w:p>
            <w:pPr>
              <w:ind w:left="40"/>
              <w:spacing w:after="0" w:line="297"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Wendy Montoya Cloonan</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right"/>
              <w:ind w:right="7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Chair*</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right"/>
              <w:ind w:right="2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Earl M. Cummings</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center"/>
              <w:ind w:right="206"/>
              <w:spacing w:after="0" w:line="151" w:lineRule="exact"/>
              <w:rPr>
                <w:sz w:val="20"/>
                <w:szCs w:val="20"/>
                <w:color w:val="auto"/>
              </w:rPr>
            </w:pPr>
            <w:r>
              <w:rPr>
                <w:rFonts w:ascii="MS PGothic" w:cs="MS PGothic" w:eastAsia="MS PGothic" w:hAnsi="MS PGothic"/>
                <w:sz w:val="15"/>
                <w:szCs w:val="15"/>
                <w:color w:val="auto"/>
                <w:w w:val="79"/>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Barbara J. Duganier</w:t>
            </w:r>
          </w:p>
        </w:tc>
        <w:tc>
          <w:tcPr>
            <w:tcW w:w="2360" w:type="dxa"/>
            <w:vAlign w:val="bottom"/>
            <w:tcBorders>
              <w:bottom w:val="single" w:sz="8" w:color="CCCCCC"/>
            </w:tcBorders>
            <w:gridSpan w:val="2"/>
          </w:tcPr>
          <w:p>
            <w:pPr>
              <w:ind w:left="440"/>
              <w:spacing w:after="0" w:line="276"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color w:val="auto"/>
              </w:rPr>
              <w:t xml:space="preserve"> Chair;  Financial Expert**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right"/>
              <w:ind w:right="2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Christopher H. Franklin</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center"/>
              <w:ind w:right="206"/>
              <w:spacing w:after="0" w:line="151" w:lineRule="exact"/>
              <w:rPr>
                <w:sz w:val="20"/>
                <w:szCs w:val="20"/>
                <w:color w:val="auto"/>
              </w:rPr>
            </w:pPr>
            <w:r>
              <w:rPr>
                <w:rFonts w:ascii="MS PGothic" w:cs="MS PGothic" w:eastAsia="MS PGothic" w:hAnsi="MS PGothic"/>
                <w:sz w:val="15"/>
                <w:szCs w:val="15"/>
                <w:color w:val="auto"/>
                <w:w w:val="79"/>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Chair*</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Raquelle W. Lewis</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center"/>
              <w:ind w:right="206"/>
              <w:spacing w:after="0" w:line="151" w:lineRule="exact"/>
              <w:rPr>
                <w:sz w:val="20"/>
                <w:szCs w:val="20"/>
                <w:color w:val="auto"/>
              </w:rPr>
            </w:pPr>
            <w:r>
              <w:rPr>
                <w:rFonts w:ascii="MS PGothic" w:cs="MS PGothic" w:eastAsia="MS PGothic" w:hAnsi="MS PGothic"/>
                <w:sz w:val="15"/>
                <w:szCs w:val="15"/>
                <w:color w:val="auto"/>
                <w:w w:val="79"/>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right"/>
              <w:ind w:right="2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Thaddeus J. Malik</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right"/>
              <w:ind w:right="7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Theodore F. Pound</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right"/>
              <w:ind w:right="7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Chair</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right"/>
              <w:ind w:right="2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Ricky A. Raven</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center"/>
              <w:ind w:right="206"/>
              <w:spacing w:after="0" w:line="151" w:lineRule="exact"/>
              <w:rPr>
                <w:sz w:val="20"/>
                <w:szCs w:val="20"/>
                <w:color w:val="auto"/>
              </w:rPr>
            </w:pPr>
            <w:r>
              <w:rPr>
                <w:rFonts w:ascii="MS PGothic" w:cs="MS PGothic" w:eastAsia="MS PGothic" w:hAnsi="MS PGothic"/>
                <w:sz w:val="15"/>
                <w:szCs w:val="15"/>
                <w:color w:val="auto"/>
                <w:w w:val="79"/>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Dean L. Seavers***</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right"/>
              <w:ind w:right="7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920" w:type="dxa"/>
            <w:vAlign w:val="bottom"/>
            <w:tcBorders>
              <w:bottom w:val="single" w:sz="8" w:color="CCCCCC"/>
            </w:tcBorders>
          </w:tcPr>
          <w:p>
            <w:pPr>
              <w:ind w:left="40"/>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b w:val="1"/>
                <w:bCs w:val="1"/>
                <w:color w:val="auto"/>
              </w:rPr>
              <w:t>Number of Meetings Held in 2024</w:t>
            </w:r>
          </w:p>
        </w:tc>
        <w:tc>
          <w:tcPr>
            <w:tcW w:w="880" w:type="dxa"/>
            <w:vAlign w:val="bottom"/>
            <w:tcBorders>
              <w:bottom w:val="single" w:sz="8" w:color="CCCCCC"/>
            </w:tcBorders>
          </w:tcPr>
          <w:p>
            <w:pPr>
              <w:ind w:left="440"/>
              <w:spacing w:after="0"/>
              <w:rPr>
                <w:sz w:val="20"/>
                <w:szCs w:val="20"/>
                <w:color w:val="auto"/>
              </w:rPr>
            </w:pPr>
            <w:r>
              <w:rPr>
                <w:rFonts w:ascii="Arial" w:cs="Arial" w:eastAsia="Arial" w:hAnsi="Arial"/>
                <w:sz w:val="15"/>
                <w:szCs w:val="15"/>
                <w:color w:val="auto"/>
              </w:rPr>
              <w:t>​ ​</w:t>
            </w:r>
          </w:p>
        </w:tc>
        <w:tc>
          <w:tcPr>
            <w:tcW w:w="1480" w:type="dxa"/>
            <w:vAlign w:val="bottom"/>
            <w:tcBorders>
              <w:bottom w:val="single" w:sz="8" w:color="CCCCCC"/>
            </w:tcBorders>
          </w:tcPr>
          <w:p>
            <w:pPr>
              <w:jc w:val="right"/>
              <w:ind w:right="766"/>
              <w:spacing w:after="0"/>
              <w:rPr>
                <w:sz w:val="20"/>
                <w:szCs w:val="20"/>
                <w:color w:val="auto"/>
              </w:rPr>
            </w:pPr>
            <w:r>
              <w:rPr>
                <w:rFonts w:ascii="Arial" w:cs="Arial" w:eastAsia="Arial" w:hAnsi="Arial"/>
                <w:sz w:val="15"/>
                <w:szCs w:val="15"/>
                <w:color w:val="auto"/>
              </w:rPr>
              <w:t>8</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CCCC"/>
            </w:tcBorders>
          </w:tcPr>
          <w:p>
            <w:pPr>
              <w:jc w:val="right"/>
              <w:ind w:right="447"/>
              <w:spacing w:after="0"/>
              <w:rPr>
                <w:sz w:val="20"/>
                <w:szCs w:val="20"/>
                <w:color w:val="auto"/>
              </w:rPr>
            </w:pPr>
            <w:r>
              <w:rPr>
                <w:rFonts w:ascii="Arial" w:cs="Arial" w:eastAsia="Arial" w:hAnsi="Arial"/>
                <w:sz w:val="15"/>
                <w:szCs w:val="15"/>
                <w:color w:val="auto"/>
              </w:rPr>
              <w:t>4</w:t>
            </w:r>
          </w:p>
        </w:tc>
        <w:tc>
          <w:tcPr>
            <w:tcW w:w="4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w w:val="95"/>
              </w:rPr>
              <w:t>11</w:t>
            </w:r>
          </w:p>
        </w:tc>
        <w:tc>
          <w:tcPr>
            <w:tcW w:w="340" w:type="dxa"/>
            <w:vAlign w:val="bottom"/>
            <w:tcBorders>
              <w:bottom w:val="single" w:sz="8" w:color="CCCCCC"/>
            </w:tcBorders>
          </w:tcPr>
          <w:p>
            <w:pPr>
              <w:ind w:left="180"/>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CCCCCC"/>
            </w:tcBorders>
          </w:tcPr>
          <w:p>
            <w:pPr>
              <w:jc w:val="right"/>
              <w:ind w:right="246"/>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20" w:right="520" w:hanging="179"/>
        <w:spacing w:after="0" w:line="264" w:lineRule="auto"/>
        <w:tabs>
          <w:tab w:leader="none" w:pos="900" w:val="left"/>
        </w:tabs>
        <w:rPr>
          <w:sz w:val="20"/>
          <w:szCs w:val="20"/>
          <w:color w:val="auto"/>
        </w:rPr>
      </w:pPr>
      <w:r>
        <w:rPr>
          <w:rFonts w:ascii="Arial" w:cs="Arial" w:eastAsia="Arial" w:hAnsi="Arial"/>
          <w:sz w:val="13"/>
          <w:szCs w:val="13"/>
          <w:color w:val="auto"/>
        </w:rPr>
        <w:t> *</w:t>
        <w:tab/>
        <w:t>Effective March 1, 2024, Ms. Cloonan was appointed to serve as the Chair of the Governance Committee. Mr. Cummings served as Chair of the Governance Committee from Sept. 2021 to March 1, 2024.</w:t>
      </w:r>
    </w:p>
    <w:p>
      <w:pPr>
        <w:spacing w:after="0" w:line="49" w:lineRule="exact"/>
        <w:rPr>
          <w:sz w:val="20"/>
          <w:szCs w:val="20"/>
          <w:color w:val="auto"/>
        </w:rPr>
      </w:pPr>
    </w:p>
    <w:p>
      <w:pPr>
        <w:ind w:left="920" w:right="80" w:hanging="189"/>
        <w:spacing w:after="0" w:line="264" w:lineRule="auto"/>
        <w:tabs>
          <w:tab w:leader="none" w:pos="9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Effective as of April 26, 2024, Ms. Duganier was appointed to serve as Chair of the Audit Committee. Mr. Smith served as Chair of the Audit Committee from April 24, 2014 to April 26, 2024.</w:t>
      </w:r>
    </w:p>
    <w:p>
      <w:pPr>
        <w:spacing w:after="0" w:line="49" w:lineRule="exact"/>
        <w:rPr>
          <w:rFonts w:ascii="Arial" w:cs="Arial" w:eastAsia="Arial" w:hAnsi="Arial"/>
          <w:sz w:val="13"/>
          <w:szCs w:val="13"/>
          <w:color w:val="auto"/>
        </w:rPr>
      </w:pPr>
    </w:p>
    <w:p>
      <w:pPr>
        <w:ind w:left="920" w:hanging="189"/>
        <w:spacing w:after="0"/>
        <w:tabs>
          <w:tab w:leader="none" w:pos="9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Seavers was appointed to the Board of Directors on December 31,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 w:type="dxa"/>
            <w:vAlign w:val="bottom"/>
          </w:tcPr>
          <w:p>
            <w:pPr>
              <w:spacing w:after="0"/>
              <w:rPr>
                <w:sz w:val="20"/>
                <w:szCs w:val="20"/>
                <w:color w:val="auto"/>
              </w:rPr>
            </w:pPr>
          </w:p>
        </w:tc>
        <w:tc>
          <w:tcPr>
            <w:tcW w:w="220" w:type="dxa"/>
            <w:vAlign w:val="bottom"/>
            <w:shd w:val="clear" w:color="auto" w:fill="6EC4E8"/>
          </w:tcPr>
          <w:p>
            <w:pPr>
              <w:spacing w:after="0"/>
              <w:rPr>
                <w:sz w:val="20"/>
                <w:szCs w:val="20"/>
                <w:color w:val="auto"/>
              </w:rPr>
            </w:pPr>
            <w:r>
              <w:rPr>
                <w:rFonts w:ascii="Arial" w:cs="Arial" w:eastAsia="Arial" w:hAnsi="Arial"/>
                <w:sz w:val="16"/>
                <w:szCs w:val="16"/>
                <w:color w:val="auto"/>
              </w:rPr>
              <w:t>​</w:t>
            </w:r>
          </w:p>
        </w:tc>
        <w:tc>
          <w:tcPr>
            <w:tcW w:w="2340" w:type="dxa"/>
            <w:vAlign w:val="bottom"/>
            <w:shd w:val="clear" w:color="auto" w:fill="6EC4E8"/>
          </w:tcPr>
          <w:p>
            <w:pPr>
              <w:spacing w:after="0"/>
              <w:rPr>
                <w:sz w:val="20"/>
                <w:szCs w:val="20"/>
                <w:color w:val="auto"/>
              </w:rPr>
            </w:pPr>
          </w:p>
        </w:tc>
        <w:tc>
          <w:tcPr>
            <w:tcW w:w="240" w:type="dxa"/>
            <w:vAlign w:val="bottom"/>
            <w:shd w:val="clear" w:color="auto" w:fill="6EC4E8"/>
          </w:tcPr>
          <w:p>
            <w:pPr>
              <w:ind w:left="140"/>
              <w:spacing w:after="0"/>
              <w:rPr>
                <w:sz w:val="20"/>
                <w:szCs w:val="20"/>
                <w:color w:val="auto"/>
              </w:rPr>
            </w:pPr>
            <w:r>
              <w:rPr>
                <w:rFonts w:ascii="Arial" w:cs="Arial" w:eastAsia="Arial" w:hAnsi="Arial"/>
                <w:sz w:val="16"/>
                <w:szCs w:val="16"/>
                <w:color w:val="auto"/>
              </w:rPr>
              <w:t>​</w:t>
            </w:r>
          </w:p>
        </w:tc>
        <w:tc>
          <w:tcPr>
            <w:tcW w:w="6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220" w:type="dxa"/>
            <w:vAlign w:val="bottom"/>
            <w:shd w:val="clear" w:color="auto" w:fill="6EC4E8"/>
          </w:tcPr>
          <w:p>
            <w:pPr>
              <w:spacing w:after="0"/>
              <w:rPr>
                <w:sz w:val="19"/>
                <w:szCs w:val="19"/>
                <w:color w:val="auto"/>
              </w:rPr>
            </w:pPr>
          </w:p>
        </w:tc>
        <w:tc>
          <w:tcPr>
            <w:tcW w:w="2340" w:type="dxa"/>
            <w:vAlign w:val="bottom"/>
            <w:vMerge w:val="restart"/>
            <w:shd w:val="clear" w:color="auto" w:fill="6EC4E8"/>
          </w:tcPr>
          <w:p>
            <w:pPr>
              <w:ind w:left="100"/>
              <w:spacing w:after="0"/>
              <w:rPr>
                <w:sz w:val="20"/>
                <w:szCs w:val="20"/>
                <w:color w:val="auto"/>
              </w:rPr>
            </w:pPr>
            <w:r>
              <w:rPr>
                <w:rFonts w:ascii="Arial" w:cs="Arial" w:eastAsia="Arial" w:hAnsi="Arial"/>
                <w:sz w:val="25"/>
                <w:szCs w:val="25"/>
                <w:color w:val="FFFFFF"/>
              </w:rPr>
              <w:t>Audit Committee</w:t>
            </w:r>
          </w:p>
        </w:tc>
        <w:tc>
          <w:tcPr>
            <w:tcW w:w="240" w:type="dxa"/>
            <w:vAlign w:val="bottom"/>
            <w:shd w:val="clear" w:color="auto" w:fill="6EC4E8"/>
          </w:tcPr>
          <w:p>
            <w:pPr>
              <w:spacing w:after="0"/>
              <w:rPr>
                <w:sz w:val="19"/>
                <w:szCs w:val="19"/>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The primary responsibilities of the Audit Committee are to assist the Board in</w:t>
            </w:r>
          </w:p>
        </w:tc>
        <w:tc>
          <w:tcPr>
            <w:tcW w:w="340" w:type="dxa"/>
            <w:vAlign w:val="bottom"/>
            <w:shd w:val="clear" w:color="auto" w:fill="F2F2F2"/>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20" w:type="dxa"/>
            <w:vAlign w:val="bottom"/>
            <w:shd w:val="clear" w:color="auto" w:fill="6EC4E8"/>
          </w:tcPr>
          <w:p>
            <w:pPr>
              <w:spacing w:after="0"/>
              <w:rPr>
                <w:sz w:val="11"/>
                <w:szCs w:val="11"/>
                <w:color w:val="auto"/>
              </w:rPr>
            </w:pPr>
          </w:p>
        </w:tc>
        <w:tc>
          <w:tcPr>
            <w:tcW w:w="2340" w:type="dxa"/>
            <w:vAlign w:val="bottom"/>
            <w:vMerge w:val="continue"/>
            <w:shd w:val="clear" w:color="auto" w:fill="6EC4E8"/>
          </w:tcPr>
          <w:p>
            <w:pPr>
              <w:spacing w:after="0"/>
              <w:rPr>
                <w:sz w:val="11"/>
                <w:szCs w:val="11"/>
                <w:color w:val="auto"/>
              </w:rPr>
            </w:pPr>
          </w:p>
        </w:tc>
        <w:tc>
          <w:tcPr>
            <w:tcW w:w="240" w:type="dxa"/>
            <w:vAlign w:val="bottom"/>
            <w:shd w:val="clear" w:color="auto" w:fill="6EC4E8"/>
          </w:tcPr>
          <w:p>
            <w:pPr>
              <w:spacing w:after="0"/>
              <w:rPr>
                <w:sz w:val="11"/>
                <w:szCs w:val="11"/>
                <w:color w:val="auto"/>
              </w:rPr>
            </w:pPr>
          </w:p>
        </w:tc>
        <w:tc>
          <w:tcPr>
            <w:tcW w:w="6120" w:type="dxa"/>
            <w:vAlign w:val="bottom"/>
            <w:vMerge w:val="restart"/>
            <w:shd w:val="clear" w:color="auto" w:fill="F2F2F2"/>
          </w:tcPr>
          <w:p>
            <w:pPr>
              <w:ind w:left="260"/>
              <w:spacing w:after="0"/>
              <w:rPr>
                <w:sz w:val="20"/>
                <w:szCs w:val="20"/>
                <w:color w:val="auto"/>
              </w:rPr>
            </w:pPr>
            <w:r>
              <w:rPr>
                <w:rFonts w:ascii="Arial" w:cs="Arial" w:eastAsia="Arial" w:hAnsi="Arial"/>
                <w:sz w:val="16"/>
                <w:szCs w:val="16"/>
                <w:color w:val="auto"/>
              </w:rPr>
              <w:t>fulfilling its oversight responsibility for:</w:t>
            </w:r>
          </w:p>
        </w:tc>
        <w:tc>
          <w:tcPr>
            <w:tcW w:w="340" w:type="dxa"/>
            <w:vAlign w:val="bottom"/>
            <w:shd w:val="clear" w:color="auto" w:fill="F2F2F2"/>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40" w:type="dxa"/>
            <w:vAlign w:val="bottom"/>
          </w:tcPr>
          <w:p>
            <w:pPr>
              <w:spacing w:after="0"/>
              <w:rPr>
                <w:sz w:val="6"/>
                <w:szCs w:val="6"/>
                <w:color w:val="auto"/>
              </w:rPr>
            </w:pPr>
          </w:p>
        </w:tc>
        <w:tc>
          <w:tcPr>
            <w:tcW w:w="220" w:type="dxa"/>
            <w:vAlign w:val="bottom"/>
            <w:shd w:val="clear" w:color="auto" w:fill="6EC4E8"/>
          </w:tcPr>
          <w:p>
            <w:pPr>
              <w:spacing w:after="0"/>
              <w:rPr>
                <w:sz w:val="6"/>
                <w:szCs w:val="6"/>
                <w:color w:val="auto"/>
              </w:rPr>
            </w:pPr>
          </w:p>
        </w:tc>
        <w:tc>
          <w:tcPr>
            <w:tcW w:w="2340" w:type="dxa"/>
            <w:vAlign w:val="bottom"/>
            <w:shd w:val="clear" w:color="auto" w:fill="6EC4E8"/>
          </w:tcPr>
          <w:p>
            <w:pPr>
              <w:spacing w:after="0"/>
              <w:rPr>
                <w:sz w:val="6"/>
                <w:szCs w:val="6"/>
                <w:color w:val="auto"/>
              </w:rPr>
            </w:pPr>
          </w:p>
        </w:tc>
        <w:tc>
          <w:tcPr>
            <w:tcW w:w="240" w:type="dxa"/>
            <w:vAlign w:val="bottom"/>
            <w:shd w:val="clear" w:color="auto" w:fill="6EC4E8"/>
          </w:tcPr>
          <w:p>
            <w:pPr>
              <w:spacing w:after="0"/>
              <w:rPr>
                <w:sz w:val="6"/>
                <w:szCs w:val="6"/>
                <w:color w:val="auto"/>
              </w:rPr>
            </w:pPr>
          </w:p>
        </w:tc>
        <w:tc>
          <w:tcPr>
            <w:tcW w:w="6120" w:type="dxa"/>
            <w:vAlign w:val="bottom"/>
            <w:vMerge w:val="continue"/>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the integrity of our financial statements;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the qualifications, independence and performance of our independent registered</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440"/>
              <w:spacing w:after="0"/>
              <w:rPr>
                <w:sz w:val="20"/>
                <w:szCs w:val="20"/>
                <w:color w:val="auto"/>
              </w:rPr>
            </w:pPr>
            <w:r>
              <w:rPr>
                <w:rFonts w:ascii="Arial" w:cs="Arial" w:eastAsia="Arial" w:hAnsi="Arial"/>
                <w:sz w:val="16"/>
                <w:szCs w:val="16"/>
                <w:color w:val="auto"/>
              </w:rPr>
              <w:t>public accounting firm;</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the performance of our internal audit function;</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compliance with legal and regulatory requirements;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our systems of disclosure controls and internal controls;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our enterprise risk management process as well as reviewing the Company’s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20" w:type="dxa"/>
            <w:vAlign w:val="bottom"/>
            <w:shd w:val="clear" w:color="auto" w:fill="6EC4E8"/>
          </w:tcPr>
          <w:p>
            <w:pPr>
              <w:spacing w:after="0"/>
              <w:rPr>
                <w:sz w:val="16"/>
                <w:szCs w:val="16"/>
                <w:color w:val="auto"/>
              </w:rPr>
            </w:pPr>
          </w:p>
        </w:tc>
        <w:tc>
          <w:tcPr>
            <w:tcW w:w="2340" w:type="dxa"/>
            <w:vAlign w:val="bottom"/>
            <w:shd w:val="clear" w:color="auto" w:fill="6EC4E8"/>
          </w:tcPr>
          <w:p>
            <w:pPr>
              <w:spacing w:after="0"/>
              <w:rPr>
                <w:sz w:val="16"/>
                <w:szCs w:val="16"/>
                <w:color w:val="auto"/>
              </w:rPr>
            </w:pPr>
          </w:p>
        </w:tc>
        <w:tc>
          <w:tcPr>
            <w:tcW w:w="240" w:type="dxa"/>
            <w:vAlign w:val="bottom"/>
            <w:shd w:val="clear" w:color="auto" w:fill="6EC4E8"/>
          </w:tcPr>
          <w:p>
            <w:pPr>
              <w:spacing w:after="0"/>
              <w:rPr>
                <w:sz w:val="16"/>
                <w:szCs w:val="16"/>
                <w:color w:val="auto"/>
              </w:rPr>
            </w:pPr>
          </w:p>
        </w:tc>
        <w:tc>
          <w:tcPr>
            <w:tcW w:w="6120" w:type="dxa"/>
            <w:vAlign w:val="bottom"/>
            <w:shd w:val="clear" w:color="auto" w:fill="F2F2F2"/>
          </w:tcPr>
          <w:p>
            <w:pPr>
              <w:ind w:left="440"/>
              <w:spacing w:after="0"/>
              <w:rPr>
                <w:sz w:val="20"/>
                <w:szCs w:val="20"/>
                <w:color w:val="auto"/>
              </w:rPr>
            </w:pPr>
            <w:r>
              <w:rPr>
                <w:rFonts w:ascii="Arial" w:cs="Arial" w:eastAsia="Arial" w:hAnsi="Arial"/>
                <w:sz w:val="16"/>
                <w:szCs w:val="16"/>
                <w:color w:val="auto"/>
              </w:rPr>
              <w:t>major financial risk exposures and significant risks relating to compliance and</w:t>
            </w:r>
          </w:p>
        </w:tc>
        <w:tc>
          <w:tcPr>
            <w:tcW w:w="340" w:type="dxa"/>
            <w:vAlign w:val="bottom"/>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440"/>
              <w:spacing w:after="0"/>
              <w:rPr>
                <w:sz w:val="20"/>
                <w:szCs w:val="20"/>
                <w:color w:val="auto"/>
              </w:rPr>
            </w:pPr>
            <w:r>
              <w:rPr>
                <w:rFonts w:ascii="Arial" w:cs="Arial" w:eastAsia="Arial" w:hAnsi="Arial"/>
                <w:sz w:val="16"/>
                <w:szCs w:val="16"/>
                <w:color w:val="auto"/>
              </w:rPr>
              <w:t>artificial intelligence;</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reviewing legislative and regulatory developments affecting sustainability</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440"/>
              <w:spacing w:after="0"/>
              <w:rPr>
                <w:sz w:val="20"/>
                <w:szCs w:val="20"/>
                <w:color w:val="auto"/>
              </w:rPr>
            </w:pPr>
            <w:r>
              <w:rPr>
                <w:rFonts w:ascii="Arial" w:cs="Arial" w:eastAsia="Arial" w:hAnsi="Arial"/>
                <w:sz w:val="16"/>
                <w:szCs w:val="16"/>
                <w:color w:val="auto"/>
              </w:rPr>
              <w:t>disclosures within the financial reporting framework;</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our cybersecurity program; and</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political contributions made by the Company’s political action committees.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The Audit Committee has sole responsibility to appoint and, where appropriate,</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shd w:val="clear" w:color="auto" w:fill="6EC4E8"/>
          </w:tcPr>
          <w:p>
            <w:pPr>
              <w:spacing w:after="0"/>
              <w:rPr>
                <w:sz w:val="17"/>
                <w:szCs w:val="17"/>
                <w:color w:val="auto"/>
              </w:rPr>
            </w:pP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replace our independent registered public accounting firm and to approve all audit</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shd w:val="clear" w:color="auto" w:fill="6EC4E8"/>
          </w:tcPr>
          <w:p>
            <w:pPr>
              <w:spacing w:after="0"/>
              <w:rPr>
                <w:sz w:val="17"/>
                <w:szCs w:val="17"/>
                <w:color w:val="auto"/>
              </w:rPr>
            </w:pP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engagement fees and terms. Please refer to “Report of the Audit Committee” for</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further details.</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The Board has determined that Ms. Duganier, the Chair of our Audit Committee, is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shd w:val="clear" w:color="auto" w:fill="6EC4E8"/>
          </w:tcPr>
          <w:p>
            <w:pPr>
              <w:spacing w:after="0"/>
              <w:rPr>
                <w:sz w:val="17"/>
                <w:szCs w:val="17"/>
                <w:color w:val="auto"/>
              </w:rPr>
            </w:pP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an audit committee financial expert within the meaning of the regulations of the</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SEC.</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40" w:type="dxa"/>
            <w:vAlign w:val="bottom"/>
          </w:tcPr>
          <w:p>
            <w:pPr>
              <w:spacing w:after="0"/>
              <w:rPr>
                <w:sz w:val="23"/>
                <w:szCs w:val="23"/>
                <w:color w:val="auto"/>
              </w:rPr>
            </w:pPr>
          </w:p>
        </w:tc>
        <w:tc>
          <w:tcPr>
            <w:tcW w:w="220" w:type="dxa"/>
            <w:vAlign w:val="bottom"/>
            <w:shd w:val="clear" w:color="auto" w:fill="6EC4E8"/>
          </w:tcPr>
          <w:p>
            <w:pPr>
              <w:spacing w:after="0"/>
              <w:rPr>
                <w:sz w:val="23"/>
                <w:szCs w:val="23"/>
                <w:color w:val="auto"/>
              </w:rPr>
            </w:pPr>
          </w:p>
        </w:tc>
        <w:tc>
          <w:tcPr>
            <w:tcW w:w="2340" w:type="dxa"/>
            <w:vAlign w:val="bottom"/>
            <w:shd w:val="clear" w:color="auto" w:fill="6EC4E8"/>
          </w:tcPr>
          <w:p>
            <w:pPr>
              <w:spacing w:after="0"/>
              <w:rPr>
                <w:sz w:val="23"/>
                <w:szCs w:val="23"/>
                <w:color w:val="auto"/>
              </w:rPr>
            </w:pPr>
          </w:p>
        </w:tc>
        <w:tc>
          <w:tcPr>
            <w:tcW w:w="240" w:type="dxa"/>
            <w:vAlign w:val="bottom"/>
            <w:shd w:val="clear" w:color="auto" w:fill="6EC4E8"/>
          </w:tcPr>
          <w:p>
            <w:pPr>
              <w:spacing w:after="0"/>
              <w:rPr>
                <w:sz w:val="23"/>
                <w:szCs w:val="23"/>
                <w:color w:val="auto"/>
              </w:rPr>
            </w:pPr>
          </w:p>
        </w:tc>
        <w:tc>
          <w:tcPr>
            <w:tcW w:w="6120" w:type="dxa"/>
            <w:vAlign w:val="bottom"/>
            <w:shd w:val="clear" w:color="auto" w:fill="F2F2F2"/>
          </w:tcPr>
          <w:p>
            <w:pPr>
              <w:spacing w:after="0"/>
              <w:rPr>
                <w:sz w:val="23"/>
                <w:szCs w:val="23"/>
                <w:color w:val="auto"/>
              </w:rPr>
            </w:pPr>
          </w:p>
        </w:tc>
        <w:tc>
          <w:tcPr>
            <w:tcW w:w="340" w:type="dxa"/>
            <w:vAlign w:val="bottom"/>
            <w:shd w:val="clear" w:color="auto" w:fill="F2F2F2"/>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0" w:type="dxa"/>
            <w:vAlign w:val="bottom"/>
            <w:vMerge w:val="restart"/>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220" w:type="dxa"/>
            <w:vAlign w:val="bottom"/>
            <w:shd w:val="clear" w:color="auto" w:fill="6EC4E8"/>
          </w:tcPr>
          <w:p>
            <w:pPr>
              <w:spacing w:after="0"/>
              <w:rPr>
                <w:sz w:val="20"/>
                <w:szCs w:val="20"/>
                <w:color w:val="auto"/>
              </w:rPr>
            </w:pPr>
            <w:r>
              <w:rPr>
                <w:rFonts w:ascii="Arial" w:cs="Arial" w:eastAsia="Arial" w:hAnsi="Arial"/>
                <w:sz w:val="16"/>
                <w:szCs w:val="16"/>
                <w:color w:val="auto"/>
              </w:rPr>
              <w:t>​</w:t>
            </w:r>
          </w:p>
        </w:tc>
        <w:tc>
          <w:tcPr>
            <w:tcW w:w="2340" w:type="dxa"/>
            <w:vAlign w:val="bottom"/>
            <w:vMerge w:val="restart"/>
            <w:shd w:val="clear" w:color="auto" w:fill="6EC4E8"/>
          </w:tcPr>
          <w:p>
            <w:pPr>
              <w:ind w:left="100"/>
              <w:spacing w:after="0"/>
              <w:rPr>
                <w:sz w:val="20"/>
                <w:szCs w:val="20"/>
                <w:color w:val="auto"/>
              </w:rPr>
            </w:pPr>
            <w:r>
              <w:rPr>
                <w:rFonts w:ascii="Arial" w:cs="Arial" w:eastAsia="Arial" w:hAnsi="Arial"/>
                <w:sz w:val="25"/>
                <w:szCs w:val="25"/>
                <w:color w:val="FFFFFF"/>
              </w:rPr>
              <w:t>Human Capital and</w:t>
            </w:r>
          </w:p>
        </w:tc>
        <w:tc>
          <w:tcPr>
            <w:tcW w:w="240" w:type="dxa"/>
            <w:vAlign w:val="bottom"/>
            <w:shd w:val="clear" w:color="auto" w:fill="6EC4E8"/>
          </w:tcPr>
          <w:p>
            <w:pPr>
              <w:ind w:left="140"/>
              <w:spacing w:after="0"/>
              <w:rPr>
                <w:sz w:val="20"/>
                <w:szCs w:val="20"/>
                <w:color w:val="auto"/>
              </w:rPr>
            </w:pPr>
            <w:r>
              <w:rPr>
                <w:rFonts w:ascii="Arial" w:cs="Arial" w:eastAsia="Arial" w:hAnsi="Arial"/>
                <w:sz w:val="16"/>
                <w:szCs w:val="16"/>
                <w:color w:val="auto"/>
              </w:rPr>
              <w:t>​</w:t>
            </w:r>
          </w:p>
        </w:tc>
        <w:tc>
          <w:tcPr>
            <w:tcW w:w="6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34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vMerge w:val="continue"/>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vMerge w:val="restart"/>
            <w:shd w:val="clear" w:color="auto" w:fill="F2F2F2"/>
          </w:tcPr>
          <w:p>
            <w:pPr>
              <w:ind w:left="260"/>
              <w:spacing w:after="0"/>
              <w:rPr>
                <w:sz w:val="20"/>
                <w:szCs w:val="20"/>
                <w:color w:val="auto"/>
              </w:rPr>
            </w:pPr>
            <w:r>
              <w:rPr>
                <w:rFonts w:ascii="Arial" w:cs="Arial" w:eastAsia="Arial" w:hAnsi="Arial"/>
                <w:sz w:val="16"/>
                <w:szCs w:val="16"/>
                <w:color w:val="auto"/>
              </w:rPr>
              <w:t>The primary responsibilities of the Human Capital and Compensation Committee</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220" w:type="dxa"/>
            <w:vAlign w:val="bottom"/>
            <w:shd w:val="clear" w:color="auto" w:fill="6EC4E8"/>
          </w:tcPr>
          <w:p>
            <w:pPr>
              <w:spacing w:after="0"/>
              <w:rPr>
                <w:sz w:val="3"/>
                <w:szCs w:val="3"/>
                <w:color w:val="auto"/>
              </w:rPr>
            </w:pPr>
          </w:p>
        </w:tc>
        <w:tc>
          <w:tcPr>
            <w:tcW w:w="2340" w:type="dxa"/>
            <w:vAlign w:val="bottom"/>
            <w:shd w:val="clear" w:color="auto" w:fill="6EC4E8"/>
          </w:tcPr>
          <w:p>
            <w:pPr>
              <w:spacing w:after="0"/>
              <w:rPr>
                <w:sz w:val="3"/>
                <w:szCs w:val="3"/>
                <w:color w:val="auto"/>
              </w:rPr>
            </w:pPr>
          </w:p>
        </w:tc>
        <w:tc>
          <w:tcPr>
            <w:tcW w:w="240" w:type="dxa"/>
            <w:vAlign w:val="bottom"/>
            <w:shd w:val="clear" w:color="auto" w:fill="6EC4E8"/>
          </w:tcPr>
          <w:p>
            <w:pPr>
              <w:spacing w:after="0"/>
              <w:rPr>
                <w:sz w:val="3"/>
                <w:szCs w:val="3"/>
                <w:color w:val="auto"/>
              </w:rPr>
            </w:pPr>
          </w:p>
        </w:tc>
        <w:tc>
          <w:tcPr>
            <w:tcW w:w="6120" w:type="dxa"/>
            <w:vAlign w:val="bottom"/>
            <w:vMerge w:val="continue"/>
            <w:shd w:val="clear" w:color="auto" w:fill="F2F2F2"/>
          </w:tcPr>
          <w:p>
            <w:pPr>
              <w:spacing w:after="0"/>
              <w:rPr>
                <w:sz w:val="3"/>
                <w:szCs w:val="3"/>
                <w:color w:val="auto"/>
              </w:rPr>
            </w:pPr>
          </w:p>
        </w:tc>
        <w:tc>
          <w:tcPr>
            <w:tcW w:w="340" w:type="dxa"/>
            <w:vAlign w:val="bottom"/>
            <w:shd w:val="clear" w:color="auto" w:fill="F2F2F2"/>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vMerge w:val="restart"/>
            <w:shd w:val="clear" w:color="auto" w:fill="6EC4E8"/>
          </w:tcPr>
          <w:p>
            <w:pPr>
              <w:ind w:left="100"/>
              <w:spacing w:after="0"/>
              <w:rPr>
                <w:sz w:val="20"/>
                <w:szCs w:val="20"/>
                <w:color w:val="auto"/>
              </w:rPr>
            </w:pPr>
            <w:r>
              <w:rPr>
                <w:rFonts w:ascii="Arial" w:cs="Arial" w:eastAsia="Arial" w:hAnsi="Arial"/>
                <w:sz w:val="25"/>
                <w:szCs w:val="25"/>
                <w:color w:val="FFFFFF"/>
              </w:rPr>
              <w:t>Compensation</w:t>
            </w: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are to:</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20" w:type="dxa"/>
            <w:vAlign w:val="bottom"/>
            <w:shd w:val="clear" w:color="auto" w:fill="6EC4E8"/>
          </w:tcPr>
          <w:p>
            <w:pPr>
              <w:spacing w:after="0"/>
              <w:rPr>
                <w:sz w:val="13"/>
                <w:szCs w:val="13"/>
                <w:color w:val="auto"/>
              </w:rPr>
            </w:pPr>
          </w:p>
        </w:tc>
        <w:tc>
          <w:tcPr>
            <w:tcW w:w="2340" w:type="dxa"/>
            <w:vAlign w:val="bottom"/>
            <w:vMerge w:val="continue"/>
            <w:shd w:val="clear" w:color="auto" w:fill="6EC4E8"/>
          </w:tcPr>
          <w:p>
            <w:pPr>
              <w:spacing w:after="0"/>
              <w:rPr>
                <w:sz w:val="13"/>
                <w:szCs w:val="13"/>
                <w:color w:val="auto"/>
              </w:rPr>
            </w:pPr>
          </w:p>
        </w:tc>
        <w:tc>
          <w:tcPr>
            <w:tcW w:w="240" w:type="dxa"/>
            <w:vAlign w:val="bottom"/>
            <w:shd w:val="clear" w:color="auto" w:fill="6EC4E8"/>
          </w:tcPr>
          <w:p>
            <w:pPr>
              <w:spacing w:after="0"/>
              <w:rPr>
                <w:sz w:val="13"/>
                <w:szCs w:val="13"/>
                <w:color w:val="auto"/>
              </w:rPr>
            </w:pPr>
          </w:p>
        </w:tc>
        <w:tc>
          <w:tcPr>
            <w:tcW w:w="6120" w:type="dxa"/>
            <w:vAlign w:val="bottom"/>
            <w:shd w:val="clear" w:color="auto" w:fill="F2F2F2"/>
          </w:tcPr>
          <w:p>
            <w:pPr>
              <w:spacing w:after="0"/>
              <w:rPr>
                <w:sz w:val="13"/>
                <w:szCs w:val="13"/>
                <w:color w:val="auto"/>
              </w:rPr>
            </w:pPr>
          </w:p>
        </w:tc>
        <w:tc>
          <w:tcPr>
            <w:tcW w:w="340" w:type="dxa"/>
            <w:vAlign w:val="bottom"/>
            <w:shd w:val="clear" w:color="auto" w:fill="F2F2F2"/>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vMerge w:val="restart"/>
            <w:shd w:val="clear" w:color="auto" w:fill="6EC4E8"/>
          </w:tcPr>
          <w:p>
            <w:pPr>
              <w:ind w:left="100"/>
              <w:spacing w:after="0"/>
              <w:rPr>
                <w:sz w:val="20"/>
                <w:szCs w:val="20"/>
                <w:color w:val="auto"/>
              </w:rPr>
            </w:pPr>
            <w:r>
              <w:rPr>
                <w:rFonts w:ascii="Arial" w:cs="Arial" w:eastAsia="Arial" w:hAnsi="Arial"/>
                <w:sz w:val="25"/>
                <w:szCs w:val="25"/>
                <w:color w:val="FFFFFF"/>
              </w:rPr>
              <w:t>Committee</w:t>
            </w: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oversee compensation for our named executive officers and certain other</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20" w:type="dxa"/>
            <w:vAlign w:val="bottom"/>
            <w:shd w:val="clear" w:color="auto" w:fill="6EC4E8"/>
          </w:tcPr>
          <w:p>
            <w:pPr>
              <w:spacing w:after="0"/>
              <w:rPr>
                <w:sz w:val="11"/>
                <w:szCs w:val="11"/>
                <w:color w:val="auto"/>
              </w:rPr>
            </w:pPr>
          </w:p>
        </w:tc>
        <w:tc>
          <w:tcPr>
            <w:tcW w:w="2340" w:type="dxa"/>
            <w:vAlign w:val="bottom"/>
            <w:vMerge w:val="continue"/>
            <w:shd w:val="clear" w:color="auto" w:fill="6EC4E8"/>
          </w:tcPr>
          <w:p>
            <w:pPr>
              <w:spacing w:after="0"/>
              <w:rPr>
                <w:sz w:val="11"/>
                <w:szCs w:val="11"/>
                <w:color w:val="auto"/>
              </w:rPr>
            </w:pPr>
          </w:p>
        </w:tc>
        <w:tc>
          <w:tcPr>
            <w:tcW w:w="240" w:type="dxa"/>
            <w:vAlign w:val="bottom"/>
            <w:shd w:val="clear" w:color="auto" w:fill="6EC4E8"/>
          </w:tcPr>
          <w:p>
            <w:pPr>
              <w:spacing w:after="0"/>
              <w:rPr>
                <w:sz w:val="11"/>
                <w:szCs w:val="11"/>
                <w:color w:val="auto"/>
              </w:rPr>
            </w:pPr>
          </w:p>
        </w:tc>
        <w:tc>
          <w:tcPr>
            <w:tcW w:w="6120" w:type="dxa"/>
            <w:vAlign w:val="bottom"/>
            <w:vMerge w:val="restart"/>
            <w:shd w:val="clear" w:color="auto" w:fill="F2F2F2"/>
          </w:tcPr>
          <w:p>
            <w:pPr>
              <w:ind w:left="440"/>
              <w:spacing w:after="0"/>
              <w:rPr>
                <w:sz w:val="20"/>
                <w:szCs w:val="20"/>
                <w:color w:val="auto"/>
              </w:rPr>
            </w:pPr>
            <w:r>
              <w:rPr>
                <w:rFonts w:ascii="Arial" w:cs="Arial" w:eastAsia="Arial" w:hAnsi="Arial"/>
                <w:sz w:val="16"/>
                <w:szCs w:val="16"/>
                <w:color w:val="auto"/>
              </w:rPr>
              <w:t>officers, including salary and short-term and long-term incentive awards;</w:t>
            </w:r>
          </w:p>
        </w:tc>
        <w:tc>
          <w:tcPr>
            <w:tcW w:w="340" w:type="dxa"/>
            <w:vAlign w:val="bottom"/>
            <w:shd w:val="clear" w:color="auto" w:fill="F2F2F2"/>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40" w:type="dxa"/>
            <w:vAlign w:val="bottom"/>
          </w:tcPr>
          <w:p>
            <w:pPr>
              <w:spacing w:after="0"/>
              <w:rPr>
                <w:sz w:val="6"/>
                <w:szCs w:val="6"/>
                <w:color w:val="auto"/>
              </w:rPr>
            </w:pPr>
          </w:p>
        </w:tc>
        <w:tc>
          <w:tcPr>
            <w:tcW w:w="220" w:type="dxa"/>
            <w:vAlign w:val="bottom"/>
            <w:shd w:val="clear" w:color="auto" w:fill="6EC4E8"/>
          </w:tcPr>
          <w:p>
            <w:pPr>
              <w:spacing w:after="0"/>
              <w:rPr>
                <w:sz w:val="6"/>
                <w:szCs w:val="6"/>
                <w:color w:val="auto"/>
              </w:rPr>
            </w:pPr>
          </w:p>
        </w:tc>
        <w:tc>
          <w:tcPr>
            <w:tcW w:w="2340" w:type="dxa"/>
            <w:vAlign w:val="bottom"/>
            <w:shd w:val="clear" w:color="auto" w:fill="6EC4E8"/>
          </w:tcPr>
          <w:p>
            <w:pPr>
              <w:spacing w:after="0"/>
              <w:rPr>
                <w:sz w:val="6"/>
                <w:szCs w:val="6"/>
                <w:color w:val="auto"/>
              </w:rPr>
            </w:pPr>
          </w:p>
        </w:tc>
        <w:tc>
          <w:tcPr>
            <w:tcW w:w="240" w:type="dxa"/>
            <w:vAlign w:val="bottom"/>
            <w:shd w:val="clear" w:color="auto" w:fill="6EC4E8"/>
          </w:tcPr>
          <w:p>
            <w:pPr>
              <w:spacing w:after="0"/>
              <w:rPr>
                <w:sz w:val="6"/>
                <w:szCs w:val="6"/>
                <w:color w:val="auto"/>
              </w:rPr>
            </w:pPr>
          </w:p>
        </w:tc>
        <w:tc>
          <w:tcPr>
            <w:tcW w:w="6120" w:type="dxa"/>
            <w:vAlign w:val="bottom"/>
            <w:vMerge w:val="continue"/>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administer incentive compensation plans;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oversee the Company’s recovery and recoupment (clawback) policies;</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evaluate our Chief Executive Officer’s performance;</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review management succession planning and development, including planning</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440"/>
              <w:spacing w:after="0"/>
              <w:rPr>
                <w:sz w:val="20"/>
                <w:szCs w:val="20"/>
                <w:color w:val="auto"/>
              </w:rPr>
            </w:pPr>
            <w:r>
              <w:rPr>
                <w:rFonts w:ascii="Arial" w:cs="Arial" w:eastAsia="Arial" w:hAnsi="Arial"/>
                <w:sz w:val="16"/>
                <w:szCs w:val="16"/>
                <w:color w:val="auto"/>
              </w:rPr>
              <w:t>in the event of an emergency or retirement of the Chief Executive Officer;</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review and monitor the Company’s human capital management practices; and</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 select, retain, and oversee the work of a compensation consultant.</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340" w:type="dxa"/>
            <w:vAlign w:val="bottom"/>
            <w:shd w:val="clear" w:color="auto" w:fill="6EC4E8"/>
          </w:tcPr>
          <w:p>
            <w:pPr>
              <w:spacing w:after="0"/>
              <w:rPr>
                <w:sz w:val="24"/>
                <w:szCs w:val="24"/>
                <w:color w:val="auto"/>
              </w:rPr>
            </w:pPr>
          </w:p>
        </w:tc>
        <w:tc>
          <w:tcPr>
            <w:tcW w:w="240" w:type="dxa"/>
            <w:vAlign w:val="bottom"/>
            <w:shd w:val="clear" w:color="auto" w:fill="6EC4E8"/>
          </w:tcPr>
          <w:p>
            <w:pPr>
              <w:spacing w:after="0"/>
              <w:rPr>
                <w:sz w:val="24"/>
                <w:szCs w:val="24"/>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For information concerning policies and procedures relating to the consideration</w:t>
            </w: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shd w:val="clear" w:color="auto" w:fill="6EC4E8"/>
          </w:tcPr>
          <w:p>
            <w:pPr>
              <w:spacing w:after="0"/>
              <w:rPr>
                <w:sz w:val="17"/>
                <w:szCs w:val="17"/>
                <w:color w:val="auto"/>
              </w:rPr>
            </w:pP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and determination of executive compensation, including the role of the Human</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20" w:type="dxa"/>
            <w:vAlign w:val="bottom"/>
            <w:shd w:val="clear" w:color="auto" w:fill="6EC4E8"/>
          </w:tcPr>
          <w:p>
            <w:pPr>
              <w:spacing w:after="0"/>
              <w:rPr>
                <w:sz w:val="17"/>
                <w:szCs w:val="17"/>
                <w:color w:val="auto"/>
              </w:rPr>
            </w:pPr>
          </w:p>
        </w:tc>
        <w:tc>
          <w:tcPr>
            <w:tcW w:w="2340" w:type="dxa"/>
            <w:vAlign w:val="bottom"/>
            <w:shd w:val="clear" w:color="auto" w:fill="6EC4E8"/>
          </w:tcPr>
          <w:p>
            <w:pPr>
              <w:spacing w:after="0"/>
              <w:rPr>
                <w:sz w:val="17"/>
                <w:szCs w:val="17"/>
                <w:color w:val="auto"/>
              </w:rPr>
            </w:pPr>
          </w:p>
        </w:tc>
        <w:tc>
          <w:tcPr>
            <w:tcW w:w="240" w:type="dxa"/>
            <w:vAlign w:val="bottom"/>
            <w:shd w:val="clear" w:color="auto" w:fill="6EC4E8"/>
          </w:tcPr>
          <w:p>
            <w:pPr>
              <w:spacing w:after="0"/>
              <w:rPr>
                <w:sz w:val="17"/>
                <w:szCs w:val="17"/>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w w:val="99"/>
              </w:rPr>
              <w:t>Capital and Compensation Committee and its report concerning the Compensation</w:t>
            </w:r>
          </w:p>
        </w:tc>
        <w:tc>
          <w:tcPr>
            <w:tcW w:w="34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20" w:type="dxa"/>
            <w:vAlign w:val="bottom"/>
            <w:shd w:val="clear" w:color="auto" w:fill="6EC4E8"/>
          </w:tcPr>
          <w:p>
            <w:pPr>
              <w:spacing w:after="0"/>
              <w:rPr>
                <w:sz w:val="16"/>
                <w:szCs w:val="16"/>
                <w:color w:val="auto"/>
              </w:rPr>
            </w:pPr>
          </w:p>
        </w:tc>
        <w:tc>
          <w:tcPr>
            <w:tcW w:w="2340" w:type="dxa"/>
            <w:vAlign w:val="bottom"/>
            <w:shd w:val="clear" w:color="auto" w:fill="6EC4E8"/>
          </w:tcPr>
          <w:p>
            <w:pPr>
              <w:spacing w:after="0"/>
              <w:rPr>
                <w:sz w:val="16"/>
                <w:szCs w:val="16"/>
                <w:color w:val="auto"/>
              </w:rPr>
            </w:pPr>
          </w:p>
        </w:tc>
        <w:tc>
          <w:tcPr>
            <w:tcW w:w="240" w:type="dxa"/>
            <w:vAlign w:val="bottom"/>
            <w:shd w:val="clear" w:color="auto" w:fill="6EC4E8"/>
          </w:tcPr>
          <w:p>
            <w:pPr>
              <w:spacing w:after="0"/>
              <w:rPr>
                <w:sz w:val="16"/>
                <w:szCs w:val="16"/>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Discussion and Analysis, see “Compensation Discussion and Analysis” and</w:t>
            </w:r>
          </w:p>
        </w:tc>
        <w:tc>
          <w:tcPr>
            <w:tcW w:w="340" w:type="dxa"/>
            <w:vAlign w:val="bottom"/>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220" w:type="dxa"/>
            <w:vAlign w:val="bottom"/>
            <w:shd w:val="clear" w:color="auto" w:fill="6EC4E8"/>
          </w:tcPr>
          <w:p>
            <w:pPr>
              <w:spacing w:after="0"/>
              <w:rPr>
                <w:sz w:val="18"/>
                <w:szCs w:val="18"/>
                <w:color w:val="auto"/>
              </w:rPr>
            </w:pPr>
          </w:p>
        </w:tc>
        <w:tc>
          <w:tcPr>
            <w:tcW w:w="2340" w:type="dxa"/>
            <w:vAlign w:val="bottom"/>
            <w:shd w:val="clear" w:color="auto" w:fill="6EC4E8"/>
          </w:tcPr>
          <w:p>
            <w:pPr>
              <w:spacing w:after="0"/>
              <w:rPr>
                <w:sz w:val="18"/>
                <w:szCs w:val="18"/>
                <w:color w:val="auto"/>
              </w:rPr>
            </w:pPr>
          </w:p>
        </w:tc>
        <w:tc>
          <w:tcPr>
            <w:tcW w:w="240" w:type="dxa"/>
            <w:vAlign w:val="bottom"/>
            <w:shd w:val="clear" w:color="auto" w:fill="6EC4E8"/>
          </w:tcPr>
          <w:p>
            <w:pPr>
              <w:spacing w:after="0"/>
              <w:rPr>
                <w:sz w:val="18"/>
                <w:szCs w:val="18"/>
                <w:color w:val="auto"/>
              </w:rPr>
            </w:pPr>
          </w:p>
        </w:tc>
        <w:tc>
          <w:tcPr>
            <w:tcW w:w="6120" w:type="dxa"/>
            <w:vAlign w:val="bottom"/>
            <w:shd w:val="clear" w:color="auto" w:fill="F2F2F2"/>
          </w:tcPr>
          <w:p>
            <w:pPr>
              <w:ind w:left="260"/>
              <w:spacing w:after="0"/>
              <w:rPr>
                <w:sz w:val="20"/>
                <w:szCs w:val="20"/>
                <w:color w:val="auto"/>
              </w:rPr>
            </w:pPr>
            <w:r>
              <w:rPr>
                <w:rFonts w:ascii="Arial" w:cs="Arial" w:eastAsia="Arial" w:hAnsi="Arial"/>
                <w:sz w:val="16"/>
                <w:szCs w:val="16"/>
                <w:color w:val="auto"/>
              </w:rPr>
              <w:t>“Report of the Human Capital and Compensation Committee,” respectively.</w:t>
            </w:r>
          </w:p>
        </w:tc>
        <w:tc>
          <w:tcPr>
            <w:tcW w:w="34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740" w:type="dxa"/>
            <w:vAlign w:val="bottom"/>
          </w:tcPr>
          <w:p>
            <w:pPr>
              <w:spacing w:after="0"/>
              <w:rPr>
                <w:sz w:val="24"/>
                <w:szCs w:val="24"/>
                <w:color w:val="auto"/>
              </w:rPr>
            </w:pPr>
          </w:p>
        </w:tc>
        <w:tc>
          <w:tcPr>
            <w:tcW w:w="220" w:type="dxa"/>
            <w:vAlign w:val="bottom"/>
            <w:shd w:val="clear" w:color="auto" w:fill="6EC4E8"/>
          </w:tcPr>
          <w:p>
            <w:pPr>
              <w:spacing w:after="0"/>
              <w:rPr>
                <w:sz w:val="24"/>
                <w:szCs w:val="24"/>
                <w:color w:val="auto"/>
              </w:rPr>
            </w:pPr>
          </w:p>
        </w:tc>
        <w:tc>
          <w:tcPr>
            <w:tcW w:w="2580" w:type="dxa"/>
            <w:vAlign w:val="bottom"/>
            <w:gridSpan w:val="2"/>
            <w:shd w:val="clear" w:color="auto" w:fill="6EC4E8"/>
          </w:tcPr>
          <w:p>
            <w:pPr>
              <w:spacing w:after="0"/>
              <w:rPr>
                <w:sz w:val="24"/>
                <w:szCs w:val="24"/>
                <w:color w:val="auto"/>
              </w:rPr>
            </w:pPr>
          </w:p>
        </w:tc>
        <w:tc>
          <w:tcPr>
            <w:tcW w:w="612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60" w:type="dxa"/>
            <w:vAlign w:val="bottom"/>
            <w:gridSpan w:val="2"/>
          </w:tcPr>
          <w:p>
            <w:pPr>
              <w:ind w:left="740"/>
              <w:spacing w:after="0"/>
              <w:rPr>
                <w:sz w:val="20"/>
                <w:szCs w:val="20"/>
                <w:color w:val="auto"/>
              </w:rPr>
            </w:pPr>
            <w:r>
              <w:rPr>
                <w:rFonts w:ascii="Arial" w:cs="Arial" w:eastAsia="Arial" w:hAnsi="Arial"/>
                <w:sz w:val="13"/>
                <w:szCs w:val="13"/>
                <w:b w:val="1"/>
                <w:bCs w:val="1"/>
                <w:color w:val="auto"/>
              </w:rPr>
              <w:t>28​</w:t>
            </w:r>
          </w:p>
        </w:tc>
        <w:tc>
          <w:tcPr>
            <w:tcW w:w="8700" w:type="dxa"/>
            <w:vAlign w:val="bottom"/>
            <w:gridSpan w:val="3"/>
          </w:tcPr>
          <w:p>
            <w:pPr>
              <w:ind w:left="20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3"/>
        </w:trPr>
        <w:tc>
          <w:tcPr>
            <w:tcW w:w="7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1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1783080" cy="510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5100320"/>
                    </a:xfrm>
                    <a:prstGeom prst="rect">
                      <a:avLst/>
                    </a:prstGeom>
                    <a:noFill/>
                  </pic:spPr>
                </pic:pic>
              </a:graphicData>
            </a:graphic>
          </wp:anchor>
        </w:drawing>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24"/>
          <w:szCs w:val="24"/>
          <w:color w:val="FFFFFF"/>
        </w:rPr>
        <w:t>Governance</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25"/>
          <w:szCs w:val="25"/>
          <w:color w:val="FFFFFF"/>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62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-107315</wp:posOffset>
            </wp:positionV>
            <wp:extent cx="4097655" cy="510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97655" cy="5100320"/>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primary responsibilities of the Governance Committee are to:</w:t>
      </w:r>
    </w:p>
    <w:p>
      <w:pPr>
        <w:spacing w:after="0" w:line="194" w:lineRule="exact"/>
        <w:rPr>
          <w:sz w:val="20"/>
          <w:szCs w:val="20"/>
          <w:color w:val="auto"/>
        </w:rPr>
      </w:pPr>
    </w:p>
    <w:p>
      <w:pPr>
        <w:ind w:left="540" w:right="380" w:hanging="171"/>
        <w:spacing w:after="0" w:line="286"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identify, evaluate, and recommend, for the approval of the entire Board, potential nominees for election to the Board;</w:t>
      </w:r>
    </w:p>
    <w:p>
      <w:pPr>
        <w:spacing w:after="0" w:line="115" w:lineRule="exact"/>
        <w:rPr>
          <w:rFonts w:ascii="Arial" w:cs="Arial" w:eastAsia="Arial" w:hAnsi="Arial"/>
          <w:sz w:val="16"/>
          <w:szCs w:val="16"/>
          <w:color w:val="auto"/>
        </w:rPr>
      </w:pPr>
    </w:p>
    <w:p>
      <w:pPr>
        <w:ind w:left="540" w:hanging="171"/>
        <w:spacing w:after="0"/>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recommend membership on standing committees of the Board;</w:t>
      </w:r>
    </w:p>
    <w:p>
      <w:pPr>
        <w:spacing w:after="0" w:line="167" w:lineRule="exact"/>
        <w:rPr>
          <w:rFonts w:ascii="Arial" w:cs="Arial" w:eastAsia="Arial" w:hAnsi="Arial"/>
          <w:sz w:val="16"/>
          <w:szCs w:val="16"/>
          <w:color w:val="auto"/>
        </w:rPr>
      </w:pPr>
    </w:p>
    <w:p>
      <w:pPr>
        <w:jc w:val="both"/>
        <w:ind w:left="540" w:right="600" w:hanging="171"/>
        <w:spacing w:after="0" w:line="284"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address and resolve any issues with respect to related-party transactions and conflicts of interest involving our executive officers, directors or other “related persons”;</w:t>
      </w:r>
    </w:p>
    <w:p>
      <w:pPr>
        <w:spacing w:after="0" w:line="129" w:lineRule="exact"/>
        <w:rPr>
          <w:rFonts w:ascii="Arial" w:cs="Arial" w:eastAsia="Arial" w:hAnsi="Arial"/>
          <w:sz w:val="16"/>
          <w:szCs w:val="16"/>
          <w:color w:val="auto"/>
        </w:rPr>
      </w:pPr>
    </w:p>
    <w:p>
      <w:pPr>
        <w:ind w:left="540" w:right="760" w:hanging="171"/>
        <w:spacing w:after="0" w:line="321" w:lineRule="auto"/>
        <w:tabs>
          <w:tab w:leader="none" w:pos="5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review the independence of each Board member and director nominee and make recommendations to the Board regarding director independence;</w:t>
      </w:r>
    </w:p>
    <w:p>
      <w:pPr>
        <w:spacing w:after="0" w:line="105" w:lineRule="exact"/>
        <w:rPr>
          <w:rFonts w:ascii="Arial" w:cs="Arial" w:eastAsia="Arial" w:hAnsi="Arial"/>
          <w:sz w:val="15"/>
          <w:szCs w:val="15"/>
          <w:color w:val="auto"/>
        </w:rPr>
      </w:pPr>
    </w:p>
    <w:p>
      <w:pPr>
        <w:ind w:left="540" w:right="460" w:hanging="171"/>
        <w:spacing w:after="0" w:line="304"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oversee annual evaluations of the Board and its standing committees, including individual director evaluations;</w:t>
      </w:r>
    </w:p>
    <w:p>
      <w:pPr>
        <w:spacing w:after="0" w:line="114" w:lineRule="exact"/>
        <w:rPr>
          <w:rFonts w:ascii="Arial" w:cs="Arial" w:eastAsia="Arial" w:hAnsi="Arial"/>
          <w:sz w:val="16"/>
          <w:szCs w:val="16"/>
          <w:color w:val="auto"/>
        </w:rPr>
      </w:pPr>
    </w:p>
    <w:p>
      <w:pPr>
        <w:ind w:left="540" w:right="560" w:hanging="171"/>
        <w:spacing w:after="0" w:line="27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 in coordination with other committees of the Board as necessary or appropriate, any shareholder proposals submitted for inclusion in our proxy statement and make recommendations to the Board regarding the Company’s response;</w:t>
      </w:r>
    </w:p>
    <w:p>
      <w:pPr>
        <w:spacing w:after="0" w:line="140" w:lineRule="exact"/>
        <w:rPr>
          <w:rFonts w:ascii="Arial" w:cs="Arial" w:eastAsia="Arial" w:hAnsi="Arial"/>
          <w:sz w:val="16"/>
          <w:szCs w:val="16"/>
          <w:color w:val="auto"/>
        </w:rPr>
      </w:pPr>
    </w:p>
    <w:p>
      <w:pPr>
        <w:ind w:left="540" w:right="460" w:hanging="171"/>
        <w:spacing w:after="0" w:line="304"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 and recommend fee levels and other elements of compensation for non-employee directors;</w:t>
      </w:r>
    </w:p>
    <w:p>
      <w:pPr>
        <w:spacing w:after="0" w:line="114" w:lineRule="exact"/>
        <w:rPr>
          <w:rFonts w:ascii="Arial" w:cs="Arial" w:eastAsia="Arial" w:hAnsi="Arial"/>
          <w:sz w:val="16"/>
          <w:szCs w:val="16"/>
          <w:color w:val="auto"/>
        </w:rPr>
      </w:pPr>
    </w:p>
    <w:p>
      <w:pPr>
        <w:ind w:left="540" w:right="640" w:hanging="171"/>
        <w:spacing w:after="0" w:line="275"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evaluate whether to accept a conditional resignation of an incumbent director who does not receive a majority vote in favor of election in an uncontested election;</w:t>
      </w:r>
    </w:p>
    <w:p>
      <w:pPr>
        <w:spacing w:after="0" w:line="137" w:lineRule="exact"/>
        <w:rPr>
          <w:rFonts w:ascii="Arial" w:cs="Arial" w:eastAsia="Arial" w:hAnsi="Arial"/>
          <w:sz w:val="16"/>
          <w:szCs w:val="16"/>
          <w:color w:val="auto"/>
        </w:rPr>
      </w:pPr>
    </w:p>
    <w:p>
      <w:pPr>
        <w:jc w:val="both"/>
        <w:ind w:left="540" w:right="460" w:hanging="171"/>
        <w:spacing w:after="0" w:line="275"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 the Company’s programs, practices, initiatives, reporting, and strategies relating to environmental and sustainability matters, including matters related to climate change and significant environmental hazards; and</w:t>
      </w:r>
    </w:p>
    <w:p>
      <w:pPr>
        <w:spacing w:after="0" w:line="137" w:lineRule="exact"/>
        <w:rPr>
          <w:rFonts w:ascii="Arial" w:cs="Arial" w:eastAsia="Arial" w:hAnsi="Arial"/>
          <w:sz w:val="16"/>
          <w:szCs w:val="16"/>
          <w:color w:val="auto"/>
        </w:rPr>
      </w:pPr>
    </w:p>
    <w:p>
      <w:pPr>
        <w:ind w:left="540" w:right="480" w:hanging="171"/>
        <w:spacing w:after="0" w:line="304"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establish, periodically review, and recommend to the Board any changes to our Corporate Governance Guidelines.</w:t>
      </w:r>
    </w:p>
    <w:p>
      <w:pPr>
        <w:spacing w:after="0" w:line="114" w:lineRule="exact"/>
        <w:rPr>
          <w:sz w:val="20"/>
          <w:szCs w:val="20"/>
          <w:color w:val="auto"/>
        </w:rPr>
      </w:pPr>
    </w:p>
    <w:p>
      <w:pPr>
        <w:ind w:left="360" w:right="580"/>
        <w:spacing w:after="0" w:line="275" w:lineRule="auto"/>
        <w:rPr>
          <w:sz w:val="20"/>
          <w:szCs w:val="20"/>
          <w:color w:val="auto"/>
        </w:rPr>
      </w:pPr>
      <w:r>
        <w:rPr>
          <w:rFonts w:ascii="Arial" w:cs="Arial" w:eastAsia="Arial" w:hAnsi="Arial"/>
          <w:sz w:val="16"/>
          <w:szCs w:val="16"/>
          <w:color w:val="auto"/>
        </w:rPr>
        <w:t>For information concerning policies and procedures relating to the consideration and determination of compensation of our directors, including the role of the Governance Committee, see “Compensation of Directors.”</w:t>
      </w:r>
    </w:p>
    <w:p>
      <w:pPr>
        <w:spacing w:after="0" w:line="200" w:lineRule="exact"/>
        <w:rPr>
          <w:sz w:val="20"/>
          <w:szCs w:val="20"/>
          <w:color w:val="auto"/>
        </w:rPr>
      </w:pPr>
    </w:p>
    <w:p>
      <w:pPr>
        <w:sectPr>
          <w:pgSz w:w="11900" w:h="16838" w:orient="portrait"/>
          <w:cols w:equalWidth="0" w:num="2">
            <w:col w:w="2720" w:space="720"/>
            <w:col w:w="658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1783080" cy="3317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3317240"/>
                    </a:xfrm>
                    <a:prstGeom prst="rect">
                      <a:avLst/>
                    </a:prstGeom>
                    <a:noFill/>
                  </pic:spPr>
                </pic:pic>
              </a:graphicData>
            </a:graphic>
          </wp:anchor>
        </w:drawing>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25"/>
          <w:szCs w:val="25"/>
          <w:color w:val="FFFFFF"/>
        </w:rPr>
        <w:t>Safety and</w:t>
      </w:r>
    </w:p>
    <w:p>
      <w:pPr>
        <w:spacing w:after="0" w:line="16" w:lineRule="exact"/>
        <w:rPr>
          <w:sz w:val="20"/>
          <w:szCs w:val="20"/>
          <w:color w:val="auto"/>
        </w:rPr>
      </w:pPr>
    </w:p>
    <w:p>
      <w:pPr>
        <w:jc w:val="right"/>
        <w:ind w:right="460"/>
        <w:spacing w:after="0"/>
        <w:rPr>
          <w:sz w:val="20"/>
          <w:szCs w:val="20"/>
          <w:color w:val="auto"/>
        </w:rPr>
      </w:pPr>
      <w:r>
        <w:rPr>
          <w:rFonts w:ascii="Arial" w:cs="Arial" w:eastAsia="Arial" w:hAnsi="Arial"/>
          <w:sz w:val="25"/>
          <w:szCs w:val="25"/>
          <w:color w:val="FFFFFF"/>
        </w:rPr>
        <w:t>Operations</w:t>
      </w:r>
    </w:p>
    <w:p>
      <w:pPr>
        <w:ind w:left="1060"/>
        <w:spacing w:after="0"/>
        <w:rPr>
          <w:sz w:val="20"/>
          <w:szCs w:val="20"/>
          <w:color w:val="auto"/>
        </w:rPr>
      </w:pPr>
      <w:r>
        <w:rPr>
          <w:rFonts w:ascii="Arial" w:cs="Arial" w:eastAsia="Arial" w:hAnsi="Arial"/>
          <w:sz w:val="24"/>
          <w:szCs w:val="24"/>
          <w:color w:val="FFFFFF"/>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2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-107315</wp:posOffset>
            </wp:positionV>
            <wp:extent cx="4097655" cy="3317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97655" cy="3317240"/>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primary responsibilities of the Safety and Operations Committee are to:</w:t>
      </w:r>
    </w:p>
    <w:p>
      <w:pPr>
        <w:spacing w:after="0" w:line="181" w:lineRule="exact"/>
        <w:rPr>
          <w:sz w:val="20"/>
          <w:szCs w:val="20"/>
          <w:color w:val="auto"/>
        </w:rPr>
      </w:pPr>
    </w:p>
    <w:p>
      <w:pPr>
        <w:ind w:left="540" w:hanging="171"/>
        <w:spacing w:after="0"/>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our overall safety performance, strategy, risks and processes;</w:t>
      </w:r>
    </w:p>
    <w:p>
      <w:pPr>
        <w:spacing w:after="0" w:line="167" w:lineRule="exact"/>
        <w:rPr>
          <w:rFonts w:ascii="Arial" w:cs="Arial" w:eastAsia="Arial" w:hAnsi="Arial"/>
          <w:sz w:val="16"/>
          <w:szCs w:val="16"/>
          <w:color w:val="auto"/>
        </w:rPr>
      </w:pPr>
    </w:p>
    <w:p>
      <w:pPr>
        <w:ind w:left="540" w:right="580" w:hanging="171"/>
        <w:spacing w:after="0" w:line="286" w:lineRule="auto"/>
        <w:tabs>
          <w:tab w:leader="none" w:pos="54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review and monitor our emergency preparedness and response practices and performance;</w:t>
      </w:r>
    </w:p>
    <w:p>
      <w:pPr>
        <w:spacing w:after="0" w:line="115" w:lineRule="exact"/>
        <w:rPr>
          <w:rFonts w:ascii="Arial" w:cs="Arial" w:eastAsia="Arial" w:hAnsi="Arial"/>
          <w:sz w:val="16"/>
          <w:szCs w:val="16"/>
          <w:b w:val="1"/>
          <w:bCs w:val="1"/>
          <w:color w:val="auto"/>
        </w:rPr>
      </w:pPr>
    </w:p>
    <w:p>
      <w:pPr>
        <w:ind w:left="540" w:hanging="171"/>
        <w:spacing w:after="0"/>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 our utility operations;</w:t>
      </w:r>
    </w:p>
    <w:p>
      <w:pPr>
        <w:spacing w:after="0" w:line="180" w:lineRule="exact"/>
        <w:rPr>
          <w:rFonts w:ascii="Arial" w:cs="Arial" w:eastAsia="Arial" w:hAnsi="Arial"/>
          <w:sz w:val="16"/>
          <w:szCs w:val="16"/>
          <w:color w:val="auto"/>
        </w:rPr>
      </w:pPr>
    </w:p>
    <w:p>
      <w:pPr>
        <w:ind w:left="540" w:right="780" w:hanging="171"/>
        <w:spacing w:after="0" w:line="286"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 our compliance with laws, regulations and standards related to the Company’s facilities and operations;</w:t>
      </w:r>
    </w:p>
    <w:p>
      <w:pPr>
        <w:spacing w:after="0" w:line="128" w:lineRule="exact"/>
        <w:rPr>
          <w:rFonts w:ascii="Arial" w:cs="Arial" w:eastAsia="Arial" w:hAnsi="Arial"/>
          <w:sz w:val="16"/>
          <w:szCs w:val="16"/>
          <w:color w:val="auto"/>
        </w:rPr>
      </w:pPr>
    </w:p>
    <w:p>
      <w:pPr>
        <w:ind w:left="540" w:right="400" w:hanging="171"/>
        <w:spacing w:after="0" w:line="304"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significant inquiries from and results of major inspections and evaluations by regulatory agencies and oversight groups;</w:t>
      </w:r>
    </w:p>
    <w:p>
      <w:pPr>
        <w:spacing w:after="0" w:line="114" w:lineRule="exact"/>
        <w:rPr>
          <w:rFonts w:ascii="Arial" w:cs="Arial" w:eastAsia="Arial" w:hAnsi="Arial"/>
          <w:sz w:val="16"/>
          <w:szCs w:val="16"/>
          <w:color w:val="auto"/>
        </w:rPr>
      </w:pPr>
    </w:p>
    <w:p>
      <w:pPr>
        <w:ind w:left="540" w:right="820" w:hanging="171"/>
        <w:spacing w:after="0" w:line="304"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the physical security of Company facilities and periodically visit and observe key operating facilities;</w:t>
      </w:r>
    </w:p>
    <w:p>
      <w:pPr>
        <w:spacing w:after="0" w:line="100" w:lineRule="exact"/>
        <w:rPr>
          <w:rFonts w:ascii="Arial" w:cs="Arial" w:eastAsia="Arial" w:hAnsi="Arial"/>
          <w:sz w:val="16"/>
          <w:szCs w:val="16"/>
          <w:color w:val="auto"/>
        </w:rPr>
      </w:pPr>
    </w:p>
    <w:p>
      <w:pPr>
        <w:ind w:left="540" w:hanging="171"/>
        <w:spacing w:after="0"/>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the Company’s customer service programs;</w:t>
      </w:r>
    </w:p>
    <w:p>
      <w:pPr>
        <w:spacing w:after="0" w:line="167" w:lineRule="exact"/>
        <w:rPr>
          <w:rFonts w:ascii="Arial" w:cs="Arial" w:eastAsia="Arial" w:hAnsi="Arial"/>
          <w:sz w:val="16"/>
          <w:szCs w:val="16"/>
          <w:color w:val="auto"/>
        </w:rPr>
      </w:pPr>
    </w:p>
    <w:p>
      <w:pPr>
        <w:ind w:left="540" w:right="480" w:hanging="171"/>
        <w:spacing w:after="0" w:line="304"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 the Company’s generation transition plans and progress related thereto; and</w:t>
      </w:r>
    </w:p>
    <w:p>
      <w:pPr>
        <w:spacing w:after="0" w:line="114" w:lineRule="exact"/>
        <w:rPr>
          <w:rFonts w:ascii="Arial" w:cs="Arial" w:eastAsia="Arial" w:hAnsi="Arial"/>
          <w:sz w:val="16"/>
          <w:szCs w:val="16"/>
          <w:color w:val="auto"/>
        </w:rPr>
      </w:pPr>
    </w:p>
    <w:p>
      <w:pPr>
        <w:ind w:left="540" w:right="1120" w:hanging="171"/>
        <w:spacing w:after="0" w:line="286"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visit and observe key operating facilities and communicate with facility personnel.</w:t>
      </w:r>
    </w:p>
    <w:p>
      <w:pPr>
        <w:spacing w:after="0" w:line="200" w:lineRule="exact"/>
        <w:rPr>
          <w:sz w:val="20"/>
          <w:szCs w:val="20"/>
          <w:color w:val="auto"/>
        </w:rPr>
      </w:pPr>
    </w:p>
    <w:p>
      <w:pPr>
        <w:sectPr>
          <w:pgSz w:w="11900" w:h="16838" w:orient="portrait"/>
          <w:cols w:equalWidth="0" w:num="2">
            <w:col w:w="2720" w:space="720"/>
            <w:col w:w="6580"/>
          </w:cols>
          <w:pgMar w:left="580" w:top="97" w:right="1299" w:bottom="1440" w:gutter="0" w:footer="0" w:header="0"/>
          <w:type w:val="continuous"/>
        </w:sectPr>
      </w:pP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Executive Sessions of the Board</w:t>
      </w:r>
    </w:p>
    <w:p>
      <w:pPr>
        <w:spacing w:after="0" w:line="122" w:lineRule="exact"/>
        <w:rPr>
          <w:sz w:val="20"/>
          <w:szCs w:val="20"/>
          <w:color w:val="auto"/>
        </w:rPr>
      </w:pPr>
    </w:p>
    <w:p>
      <w:pPr>
        <w:ind w:left="740" w:right="140"/>
        <w:spacing w:after="0" w:line="265" w:lineRule="auto"/>
        <w:rPr>
          <w:sz w:val="20"/>
          <w:szCs w:val="20"/>
          <w:color w:val="auto"/>
        </w:rPr>
      </w:pPr>
      <w:r>
        <w:rPr>
          <w:rFonts w:ascii="Arial" w:cs="Arial" w:eastAsia="Arial" w:hAnsi="Arial"/>
          <w:sz w:val="16"/>
          <w:szCs w:val="16"/>
          <w:color w:val="auto"/>
        </w:rPr>
        <w:t>Our Corporate Governance Guidelines provide that the members of the Board who are not officers of CenterPoint Energy will hold regular executive sessions without management participation. If at any time the non-management directors include one or more directors who do not meet the listing standards of the NYSE for general independence, the Board must hold an executive session at least once each year including only the non-management directors who are also independent. An executive session of independent directors is currently scheduled in conjunction with each regular meeting of the Board. Currently, the Independent Chair of the Board (Mr. Smith) presides at these sessions.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Shareholder Engagement</w:t>
      </w:r>
    </w:p>
    <w:p>
      <w:pPr>
        <w:spacing w:after="0" w:line="126" w:lineRule="exact"/>
        <w:rPr>
          <w:sz w:val="20"/>
          <w:szCs w:val="20"/>
          <w:color w:val="auto"/>
        </w:rPr>
      </w:pPr>
    </w:p>
    <w:p>
      <w:pPr>
        <w:ind w:left="740" w:right="200"/>
        <w:spacing w:after="0" w:line="264" w:lineRule="auto"/>
        <w:rPr>
          <w:sz w:val="20"/>
          <w:szCs w:val="20"/>
          <w:color w:val="auto"/>
        </w:rPr>
      </w:pPr>
      <w:r>
        <w:rPr>
          <w:rFonts w:ascii="Arial" w:cs="Arial" w:eastAsia="Arial" w:hAnsi="Arial"/>
          <w:sz w:val="16"/>
          <w:szCs w:val="16"/>
          <w:color w:val="auto"/>
        </w:rPr>
        <w:t>The Company believes that good governance practices include maintaining a consistent and transparent dialogue throughout the year with our shareholders and that understanding the perspectives and interests of our shareholders helps contribute to the Company’s long-term success. Each year, we engage in shareholder outreach through various engagement channels and solicit feedback on a number of topics. The Board and its committees, as appropriate, receive periodic reports regarding the feedback received as part of the Company’s engagement efforts. Based on the feedback received, the Board and its committees, as appropriate, review the Company’s policies and programs. The below chart outlines our annual engagement program and highlights recent shareholder engagement efforts.</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458470</wp:posOffset>
            </wp:positionV>
            <wp:extent cx="588073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w:t>
      </w:r>
    </w:p>
    <w:p>
      <w:pPr>
        <w:ind w:left="740"/>
        <w:spacing w:after="0" w:line="234"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i w:val="1"/>
          <w:iCs w:val="1"/>
          <w:color w:val="auto"/>
        </w:rPr>
        <w:t xml:space="preserve"> Engagement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ind w:left="180"/>
              <w:spacing w:after="0"/>
              <w:rPr>
                <w:sz w:val="20"/>
                <w:szCs w:val="20"/>
                <w:color w:val="auto"/>
              </w:rPr>
            </w:pPr>
            <w:r>
              <w:rPr>
                <w:rFonts w:ascii="Arial" w:cs="Arial" w:eastAsia="Arial" w:hAnsi="Arial"/>
                <w:sz w:val="13"/>
                <w:szCs w:val="13"/>
                <w:b w:val="1"/>
                <w:bCs w:val="1"/>
                <w:color w:val="FFFFFF"/>
              </w:rPr>
              <w:t>CenterPoint Energy Annual Engagement Program</w:t>
            </w:r>
          </w:p>
        </w:tc>
        <w:tc>
          <w:tcPr>
            <w:tcW w:w="940" w:type="dxa"/>
            <w:vAlign w:val="bottom"/>
          </w:tcPr>
          <w:p>
            <w:pPr>
              <w:ind w:left="900"/>
              <w:spacing w:after="0"/>
              <w:rPr>
                <w:sz w:val="20"/>
                <w:szCs w:val="20"/>
                <w:color w:val="auto"/>
              </w:rPr>
            </w:pPr>
            <w:r>
              <w:rPr>
                <w:rFonts w:ascii="Arial" w:cs="Arial" w:eastAsia="Arial" w:hAnsi="Arial"/>
                <w:sz w:val="13"/>
                <w:szCs w:val="13"/>
                <w:b w:val="1"/>
                <w:bCs w:val="1"/>
                <w:color w:val="FFFFFF"/>
              </w:rPr>
              <w:t>​</w:t>
            </w:r>
          </w:p>
        </w:tc>
      </w:tr>
      <w:tr>
        <w:trPr>
          <w:trHeight w:val="352"/>
        </w:trPr>
        <w:tc>
          <w:tcPr>
            <w:tcW w:w="2400" w:type="dxa"/>
            <w:vAlign w:val="bottom"/>
          </w:tcPr>
          <w:p>
            <w:pPr>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i w:val="1"/>
                <w:iCs w:val="1"/>
                <w:color w:val="auto"/>
              </w:rPr>
              <w:t xml:space="preserve"> Company Participants</w:t>
            </w:r>
          </w:p>
        </w:tc>
        <w:tc>
          <w:tcPr>
            <w:tcW w:w="2920" w:type="dxa"/>
            <w:vAlign w:val="bottom"/>
          </w:tcPr>
          <w:p>
            <w:pPr>
              <w:ind w:left="680"/>
              <w:spacing w:after="0"/>
              <w:rPr>
                <w:sz w:val="20"/>
                <w:szCs w:val="20"/>
                <w:color w:val="auto"/>
              </w:rPr>
            </w:pPr>
            <w:r>
              <w:rPr>
                <w:rFonts w:ascii="Arial" w:cs="Arial" w:eastAsia="Arial" w:hAnsi="Arial"/>
                <w:sz w:val="30"/>
                <w:szCs w:val="30"/>
                <w:color w:val="auto"/>
                <w:vertAlign w:val="superscript"/>
              </w:rPr>
              <w:t>​ ​</w:t>
            </w:r>
            <w:r>
              <w:rPr>
                <w:rFonts w:ascii="Arial" w:cs="Arial" w:eastAsia="Arial" w:hAnsi="Arial"/>
                <w:sz w:val="15"/>
                <w:szCs w:val="15"/>
                <w:i w:val="1"/>
                <w:iCs w:val="1"/>
                <w:color w:val="auto"/>
              </w:rPr>
              <w:t xml:space="preserve"> Topics Discussed</w:t>
            </w:r>
          </w:p>
        </w:tc>
        <w:tc>
          <w:tcPr>
            <w:tcW w:w="940" w:type="dxa"/>
            <w:vAlign w:val="bottom"/>
          </w:tcPr>
          <w:p>
            <w:pPr>
              <w:ind w:left="840"/>
              <w:spacing w:after="0"/>
              <w:rPr>
                <w:sz w:val="20"/>
                <w:szCs w:val="20"/>
                <w:color w:val="auto"/>
              </w:rPr>
            </w:pPr>
            <w:r>
              <w:rPr>
                <w:rFonts w:ascii="Arial" w:cs="Arial" w:eastAsia="Arial" w:hAnsi="Arial"/>
                <w:sz w:val="15"/>
                <w:szCs w:val="15"/>
                <w:color w:val="auto"/>
              </w:rPr>
              <w:t>​</w:t>
            </w:r>
          </w:p>
        </w:tc>
      </w:tr>
    </w:tbl>
    <w:p>
      <w:pPr>
        <w:spacing w:after="0" w:line="1" w:lineRule="exact"/>
        <w:rPr>
          <w:sz w:val="20"/>
          <w:szCs w:val="20"/>
          <w:color w:val="auto"/>
        </w:rPr>
      </w:pPr>
    </w:p>
    <w:p>
      <w:pPr>
        <w:sectPr>
          <w:pgSz w:w="11900" w:h="16838" w:orient="portrait"/>
          <w:cols w:equalWidth="0" w:num="2">
            <w:col w:w="3000" w:space="720"/>
            <w:col w:w="6300"/>
          </w:cols>
          <w:pgMar w:left="580" w:top="97" w:right="1299" w:bottom="1440" w:gutter="0" w:footer="0" w:header="0"/>
          <w:type w:val="continuous"/>
        </w:sectPr>
      </w:pPr>
    </w:p>
    <w:p>
      <w:pPr>
        <w:spacing w:after="0" w:line="1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Use multiple engagement channels</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throughout the year:</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Conduct direct meetings with</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shareholders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Engage with proxy governance teams</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of institutional investors</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Attend analyst conferences and road</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shows</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Host investor days from time to time</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Attend industry specific conferences</w:t>
      </w:r>
    </w:p>
    <w:p>
      <w:pPr>
        <w:spacing w:after="0" w:line="20" w:lineRule="exact"/>
        <w:rPr>
          <w:sz w:val="20"/>
          <w:szCs w:val="20"/>
          <w:color w:val="auto"/>
        </w:rPr>
      </w:pPr>
      <w:r>
        <w:rPr>
          <w:sz w:val="20"/>
          <w:szCs w:val="20"/>
          <w:color w:val="auto"/>
        </w:rPr>
        <w:br w:type="column"/>
      </w:r>
    </w:p>
    <w:p>
      <w:pPr>
        <w:jc w:val="both"/>
        <w:ind w:left="156" w:hanging="156"/>
        <w:spacing w:after="0" w:line="263" w:lineRule="auto"/>
        <w:tabs>
          <w:tab w:leader="none" w:pos="15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Team of individuals who may meet with shareholders, including representatives from:</w:t>
      </w:r>
    </w:p>
    <w:p>
      <w:pPr>
        <w:spacing w:after="0" w:line="93" w:lineRule="exact"/>
        <w:rPr>
          <w:rFonts w:ascii="Arial" w:cs="Arial" w:eastAsia="Arial" w:hAnsi="Arial"/>
          <w:sz w:val="15"/>
          <w:szCs w:val="15"/>
          <w:color w:val="auto"/>
        </w:rPr>
      </w:pPr>
    </w:p>
    <w:p>
      <w:pPr>
        <w:ind w:left="296" w:hanging="144"/>
        <w:spacing w:after="0" w:line="283" w:lineRule="auto"/>
        <w:tabs>
          <w:tab w:leader="none" w:pos="296" w:val="left"/>
        </w:tabs>
        <w:numPr>
          <w:ilvl w:val="1"/>
          <w:numId w:val="72"/>
        </w:numPr>
        <w:rPr>
          <w:rFonts w:ascii="Arial" w:cs="Arial" w:eastAsia="Arial" w:hAnsi="Arial"/>
          <w:sz w:val="15"/>
          <w:szCs w:val="15"/>
          <w:color w:val="auto"/>
        </w:rPr>
      </w:pPr>
      <w:r>
        <w:rPr>
          <w:rFonts w:ascii="Arial" w:cs="Arial" w:eastAsia="Arial" w:hAnsi="Arial"/>
          <w:sz w:val="15"/>
          <w:szCs w:val="15"/>
          <w:color w:val="auto"/>
        </w:rPr>
        <w:t>Senior Leadership (executive officers and future leaders of the Company)</w:t>
      </w:r>
    </w:p>
    <w:p>
      <w:pPr>
        <w:spacing w:after="0" w:line="65" w:lineRule="exact"/>
        <w:rPr>
          <w:rFonts w:ascii="Arial" w:cs="Arial" w:eastAsia="Arial" w:hAnsi="Arial"/>
          <w:sz w:val="15"/>
          <w:szCs w:val="15"/>
          <w:color w:val="auto"/>
        </w:rPr>
      </w:pPr>
    </w:p>
    <w:p>
      <w:pPr>
        <w:ind w:left="296" w:hanging="144"/>
        <w:spacing w:after="0"/>
        <w:tabs>
          <w:tab w:leader="none" w:pos="296" w:val="left"/>
        </w:tabs>
        <w:numPr>
          <w:ilvl w:val="1"/>
          <w:numId w:val="72"/>
        </w:numPr>
        <w:rPr>
          <w:rFonts w:ascii="Arial" w:cs="Arial" w:eastAsia="Arial" w:hAnsi="Arial"/>
          <w:sz w:val="15"/>
          <w:szCs w:val="15"/>
          <w:color w:val="auto"/>
        </w:rPr>
      </w:pPr>
      <w:r>
        <w:rPr>
          <w:rFonts w:ascii="Arial" w:cs="Arial" w:eastAsia="Arial" w:hAnsi="Arial"/>
          <w:sz w:val="15"/>
          <w:szCs w:val="15"/>
          <w:color w:val="auto"/>
        </w:rPr>
        <w:t>Investor Relations</w:t>
      </w:r>
    </w:p>
    <w:p>
      <w:pPr>
        <w:spacing w:after="0" w:line="124" w:lineRule="exact"/>
        <w:rPr>
          <w:rFonts w:ascii="Arial" w:cs="Arial" w:eastAsia="Arial" w:hAnsi="Arial"/>
          <w:sz w:val="15"/>
          <w:szCs w:val="15"/>
          <w:color w:val="auto"/>
        </w:rPr>
      </w:pPr>
    </w:p>
    <w:p>
      <w:pPr>
        <w:ind w:left="296" w:hanging="144"/>
        <w:spacing w:after="0"/>
        <w:tabs>
          <w:tab w:leader="none" w:pos="296" w:val="left"/>
        </w:tabs>
        <w:numPr>
          <w:ilvl w:val="1"/>
          <w:numId w:val="72"/>
        </w:numPr>
        <w:rPr>
          <w:rFonts w:ascii="Arial" w:cs="Arial" w:eastAsia="Arial" w:hAnsi="Arial"/>
          <w:sz w:val="15"/>
          <w:szCs w:val="15"/>
          <w:color w:val="auto"/>
        </w:rPr>
      </w:pPr>
      <w:r>
        <w:rPr>
          <w:rFonts w:ascii="Arial" w:cs="Arial" w:eastAsia="Arial" w:hAnsi="Arial"/>
          <w:sz w:val="15"/>
          <w:szCs w:val="15"/>
          <w:color w:val="auto"/>
        </w:rPr>
        <w:t>Corporate Governance</w:t>
      </w:r>
    </w:p>
    <w:p>
      <w:pPr>
        <w:spacing w:after="0" w:line="111" w:lineRule="exact"/>
        <w:rPr>
          <w:rFonts w:ascii="Arial" w:cs="Arial" w:eastAsia="Arial" w:hAnsi="Arial"/>
          <w:sz w:val="15"/>
          <w:szCs w:val="15"/>
          <w:color w:val="auto"/>
        </w:rPr>
      </w:pPr>
    </w:p>
    <w:p>
      <w:pPr>
        <w:ind w:left="296" w:hanging="144"/>
        <w:spacing w:after="0"/>
        <w:tabs>
          <w:tab w:leader="none" w:pos="296" w:val="left"/>
        </w:tabs>
        <w:numPr>
          <w:ilvl w:val="1"/>
          <w:numId w:val="72"/>
        </w:numPr>
        <w:rPr>
          <w:rFonts w:ascii="Arial" w:cs="Arial" w:eastAsia="Arial" w:hAnsi="Arial"/>
          <w:sz w:val="15"/>
          <w:szCs w:val="15"/>
          <w:color w:val="auto"/>
        </w:rPr>
      </w:pPr>
      <w:r>
        <w:rPr>
          <w:rFonts w:ascii="Arial" w:cs="Arial" w:eastAsia="Arial" w:hAnsi="Arial"/>
          <w:sz w:val="15"/>
          <w:szCs w:val="15"/>
          <w:color w:val="auto"/>
        </w:rPr>
        <w:t>Human Resources/Compensation</w:t>
      </w:r>
    </w:p>
    <w:p>
      <w:pPr>
        <w:spacing w:after="0" w:line="124" w:lineRule="exact"/>
        <w:rPr>
          <w:rFonts w:ascii="Arial" w:cs="Arial" w:eastAsia="Arial" w:hAnsi="Arial"/>
          <w:sz w:val="15"/>
          <w:szCs w:val="15"/>
          <w:color w:val="auto"/>
        </w:rPr>
      </w:pPr>
    </w:p>
    <w:p>
      <w:pPr>
        <w:ind w:left="296" w:right="380" w:hanging="144"/>
        <w:spacing w:after="0" w:line="301" w:lineRule="auto"/>
        <w:tabs>
          <w:tab w:leader="none" w:pos="296" w:val="left"/>
        </w:tabs>
        <w:numPr>
          <w:ilvl w:val="1"/>
          <w:numId w:val="72"/>
        </w:numPr>
        <w:rPr>
          <w:rFonts w:ascii="Arial" w:cs="Arial" w:eastAsia="Arial" w:hAnsi="Arial"/>
          <w:sz w:val="15"/>
          <w:szCs w:val="15"/>
          <w:color w:val="auto"/>
        </w:rPr>
      </w:pPr>
      <w:r>
        <w:rPr>
          <w:rFonts w:ascii="Arial" w:cs="Arial" w:eastAsia="Arial" w:hAnsi="Arial"/>
          <w:sz w:val="15"/>
          <w:szCs w:val="15"/>
          <w:color w:val="auto"/>
        </w:rPr>
        <w:t>Board of Directors (including its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45085</wp:posOffset>
            </wp:positionV>
            <wp:extent cx="58807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207645</wp:posOffset>
            </wp:positionV>
            <wp:extent cx="5880735"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8" w:right="380" w:hanging="158"/>
        <w:spacing w:after="0" w:line="263" w:lineRule="auto"/>
        <w:tabs>
          <w:tab w:leader="none" w:pos="158"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addition to any topics raised by a shareholder, we solicit feedback on a range of topics, including:</w:t>
      </w:r>
    </w:p>
    <w:p>
      <w:pPr>
        <w:spacing w:after="0" w:line="93" w:lineRule="exact"/>
        <w:rPr>
          <w:rFonts w:ascii="Arial" w:cs="Arial" w:eastAsia="Arial" w:hAnsi="Arial"/>
          <w:sz w:val="15"/>
          <w:szCs w:val="15"/>
          <w:color w:val="auto"/>
        </w:rPr>
      </w:pPr>
    </w:p>
    <w:p>
      <w:pPr>
        <w:ind w:left="298" w:right="160" w:hanging="146"/>
        <w:spacing w:after="0" w:line="283" w:lineRule="auto"/>
        <w:tabs>
          <w:tab w:leader="none" w:pos="298" w:val="left"/>
        </w:tabs>
        <w:numPr>
          <w:ilvl w:val="1"/>
          <w:numId w:val="73"/>
        </w:numPr>
        <w:rPr>
          <w:rFonts w:ascii="Arial" w:cs="Arial" w:eastAsia="Arial" w:hAnsi="Arial"/>
          <w:sz w:val="15"/>
          <w:szCs w:val="15"/>
          <w:color w:val="auto"/>
        </w:rPr>
      </w:pPr>
      <w:r>
        <w:rPr>
          <w:rFonts w:ascii="Arial" w:cs="Arial" w:eastAsia="Arial" w:hAnsi="Arial"/>
          <w:sz w:val="15"/>
          <w:szCs w:val="15"/>
          <w:color w:val="auto"/>
        </w:rPr>
        <w:t>Executive compensation program and practices</w:t>
      </w:r>
    </w:p>
    <w:p>
      <w:pPr>
        <w:spacing w:after="0" w:line="79" w:lineRule="exact"/>
        <w:rPr>
          <w:rFonts w:ascii="Arial" w:cs="Arial" w:eastAsia="Arial" w:hAnsi="Arial"/>
          <w:sz w:val="15"/>
          <w:szCs w:val="15"/>
          <w:color w:val="auto"/>
        </w:rPr>
      </w:pPr>
    </w:p>
    <w:p>
      <w:pPr>
        <w:ind w:left="298" w:right="400" w:hanging="146"/>
        <w:spacing w:after="0" w:line="273" w:lineRule="auto"/>
        <w:tabs>
          <w:tab w:leader="none" w:pos="298" w:val="left"/>
        </w:tabs>
        <w:numPr>
          <w:ilvl w:val="1"/>
          <w:numId w:val="73"/>
        </w:numPr>
        <w:rPr>
          <w:rFonts w:ascii="Arial" w:cs="Arial" w:eastAsia="Arial" w:hAnsi="Arial"/>
          <w:sz w:val="15"/>
          <w:szCs w:val="15"/>
          <w:color w:val="auto"/>
        </w:rPr>
      </w:pPr>
      <w:r>
        <w:rPr>
          <w:rFonts w:ascii="Arial" w:cs="Arial" w:eastAsia="Arial" w:hAnsi="Arial"/>
          <w:sz w:val="15"/>
          <w:szCs w:val="15"/>
          <w:color w:val="auto"/>
        </w:rPr>
        <w:t>Corporate governance matters, including succession planning and Board refreshment</w:t>
      </w:r>
    </w:p>
    <w:p>
      <w:pPr>
        <w:spacing w:after="0" w:line="86" w:lineRule="exact"/>
        <w:rPr>
          <w:rFonts w:ascii="Arial" w:cs="Arial" w:eastAsia="Arial" w:hAnsi="Arial"/>
          <w:sz w:val="15"/>
          <w:szCs w:val="15"/>
          <w:color w:val="auto"/>
        </w:rPr>
      </w:pPr>
    </w:p>
    <w:p>
      <w:pPr>
        <w:jc w:val="both"/>
        <w:ind w:left="298" w:right="240" w:hanging="146"/>
        <w:spacing w:after="0" w:line="273" w:lineRule="auto"/>
        <w:tabs>
          <w:tab w:leader="none" w:pos="298" w:val="left"/>
        </w:tabs>
        <w:numPr>
          <w:ilvl w:val="1"/>
          <w:numId w:val="73"/>
        </w:numPr>
        <w:rPr>
          <w:rFonts w:ascii="Arial" w:cs="Arial" w:eastAsia="Arial" w:hAnsi="Arial"/>
          <w:sz w:val="15"/>
          <w:szCs w:val="15"/>
          <w:color w:val="auto"/>
        </w:rPr>
      </w:pPr>
      <w:r>
        <w:rPr>
          <w:rFonts w:ascii="Arial" w:cs="Arial" w:eastAsia="Arial" w:hAnsi="Arial"/>
          <w:sz w:val="15"/>
          <w:szCs w:val="15"/>
          <w:color w:val="auto"/>
        </w:rPr>
        <w:t>Environmental matters, including our greenhouse gas emissions reduction disclosures and goals</w:t>
      </w:r>
    </w:p>
    <w:p>
      <w:pPr>
        <w:spacing w:after="0" w:line="233" w:lineRule="exact"/>
        <w:rPr>
          <w:sz w:val="20"/>
          <w:szCs w:val="20"/>
          <w:color w:val="auto"/>
        </w:rPr>
      </w:pPr>
    </w:p>
    <w:p>
      <w:pPr>
        <w:sectPr>
          <w:pgSz w:w="11900" w:h="16838" w:orient="portrait"/>
          <w:cols w:equalWidth="0" w:num="3">
            <w:col w:w="3700" w:space="244"/>
            <w:col w:w="2776" w:space="302"/>
            <w:col w:w="2998"/>
          </w:cols>
          <w:pgMar w:left="580" w:top="97" w:right="1299" w:bottom="1440" w:gutter="0" w:footer="0" w:header="0"/>
          <w:type w:val="continuous"/>
        </w:sectPr>
      </w:pPr>
    </w:p>
    <w:p>
      <w:pPr>
        <w:spacing w:after="0" w:line="20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FFFFFF"/>
        </w:rPr>
        <w:t>​</w:t>
      </w:r>
    </w:p>
    <w:p>
      <w:pPr>
        <w:ind w:left="840" w:hanging="109"/>
        <w:spacing w:after="0" w:line="182" w:lineRule="auto"/>
        <w:tabs>
          <w:tab w:leader="none" w:pos="840" w:val="left"/>
        </w:tabs>
        <w:numPr>
          <w:ilvl w:val="0"/>
          <w:numId w:val="74"/>
        </w:numPr>
        <w:rPr>
          <w:rFonts w:ascii="Arial" w:cs="Arial" w:eastAsia="Arial" w:hAnsi="Arial"/>
          <w:sz w:val="26"/>
          <w:szCs w:val="26"/>
          <w:color w:val="auto"/>
          <w:vertAlign w:val="superscript"/>
        </w:rPr>
      </w:pPr>
      <w:r>
        <w:rPr>
          <w:rFonts w:ascii="Arial" w:cs="Arial" w:eastAsia="Arial" w:hAnsi="Arial"/>
          <w:sz w:val="14"/>
          <w:szCs w:val="14"/>
          <w:i w:val="1"/>
          <w:iCs w:val="1"/>
          <w:color w:val="auto"/>
        </w:rPr>
        <w:t>Engagement Objectives</w:t>
      </w:r>
    </w:p>
    <w:p>
      <w:pPr>
        <w:spacing w:after="0" w:line="124" w:lineRule="exact"/>
        <w:rPr>
          <w:rFonts w:ascii="Arial" w:cs="Arial" w:eastAsia="Arial" w:hAnsi="Arial"/>
          <w:sz w:val="26"/>
          <w:szCs w:val="26"/>
          <w:color w:val="auto"/>
          <w:vertAlign w:val="superscript"/>
        </w:rPr>
      </w:pPr>
    </w:p>
    <w:p>
      <w:pPr>
        <w:ind w:left="1000" w:hanging="161"/>
        <w:spacing w:after="0" w:line="250" w:lineRule="auto"/>
        <w:tabs>
          <w:tab w:leader="none" w:pos="1000"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As part of our annual meeting engagement process, we contacted shareholders representing </w:t>
      </w:r>
      <w:r>
        <w:rPr>
          <w:rFonts w:ascii="Arial" w:cs="Arial" w:eastAsia="Arial" w:hAnsi="Arial"/>
          <w:sz w:val="15"/>
          <w:szCs w:val="15"/>
          <w:b w:val="1"/>
          <w:bCs w:val="1"/>
          <w:color w:val="auto"/>
        </w:rPr>
        <w:t>65%</w:t>
      </w:r>
      <w:r>
        <w:rPr>
          <w:rFonts w:ascii="Arial" w:cs="Arial" w:eastAsia="Arial" w:hAnsi="Arial"/>
          <w:sz w:val="15"/>
          <w:szCs w:val="15"/>
          <w:color w:val="auto"/>
        </w:rPr>
        <w:t xml:space="preserve"> of our outstanding shares of common stock and engaged with shareholders representing approximately </w:t>
      </w:r>
      <w:r>
        <w:rPr>
          <w:rFonts w:ascii="Arial" w:cs="Arial" w:eastAsia="Arial" w:hAnsi="Arial"/>
          <w:sz w:val="15"/>
          <w:szCs w:val="15"/>
          <w:b w:val="1"/>
          <w:bCs w:val="1"/>
          <w:color w:val="auto"/>
        </w:rPr>
        <w:t>29%</w:t>
      </w:r>
      <w:r>
        <w:rPr>
          <w:rFonts w:ascii="Arial" w:cs="Arial" w:eastAsia="Arial" w:hAnsi="Arial"/>
          <w:sz w:val="15"/>
          <w:szCs w:val="15"/>
          <w:color w:val="auto"/>
        </w:rPr>
        <w:t xml:space="preserve"> of our outstanding shares in 2024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639"/>
        <w:spacing w:after="0"/>
        <w:rPr>
          <w:sz w:val="20"/>
          <w:szCs w:val="20"/>
          <w:color w:val="auto"/>
        </w:rPr>
      </w:pPr>
      <w:r>
        <w:rPr>
          <w:rFonts w:ascii="Arial" w:cs="Arial" w:eastAsia="Arial" w:hAnsi="Arial"/>
          <w:sz w:val="13"/>
          <w:szCs w:val="13"/>
          <w:b w:val="1"/>
          <w:bCs w:val="1"/>
          <w:color w:val="FFFFFF"/>
        </w:rPr>
        <w:t>Recent Shareholder Engagements</w:t>
      </w:r>
    </w:p>
    <w:p>
      <w:pPr>
        <w:spacing w:after="0" w:line="40" w:lineRule="exact"/>
        <w:rPr>
          <w:sz w:val="20"/>
          <w:szCs w:val="20"/>
          <w:color w:val="auto"/>
        </w:rPr>
      </w:pPr>
    </w:p>
    <w:p>
      <w:pPr>
        <w:ind w:left="99" w:hanging="99"/>
        <w:spacing w:after="0"/>
        <w:tabs>
          <w:tab w:leader="none" w:pos="99" w:val="left"/>
        </w:tabs>
        <w:numPr>
          <w:ilvl w:val="0"/>
          <w:numId w:val="75"/>
        </w:numPr>
        <w:rPr>
          <w:rFonts w:ascii="Arial" w:cs="Arial" w:eastAsia="Arial" w:hAnsi="Arial"/>
          <w:sz w:val="31"/>
          <w:szCs w:val="31"/>
          <w:color w:val="auto"/>
          <w:vertAlign w:val="superscript"/>
        </w:rPr>
      </w:pPr>
      <w:r>
        <w:rPr>
          <w:rFonts w:ascii="Arial" w:cs="Arial" w:eastAsia="Arial" w:hAnsi="Arial"/>
          <w:sz w:val="30"/>
          <w:szCs w:val="30"/>
          <w:color w:val="auto"/>
          <w:vertAlign w:val="superscript"/>
        </w:rPr>
        <w:t>​</w:t>
      </w:r>
      <w:r>
        <w:rPr>
          <w:rFonts w:ascii="Arial" w:cs="Arial" w:eastAsia="Arial" w:hAnsi="Arial"/>
          <w:sz w:val="15"/>
          <w:szCs w:val="15"/>
          <w:i w:val="1"/>
          <w:iCs w:val="1"/>
          <w:color w:val="auto"/>
        </w:rPr>
        <w:t xml:space="preserve"> Company Participants</w:t>
      </w:r>
    </w:p>
    <w:p>
      <w:pPr>
        <w:spacing w:after="0" w:line="8" w:lineRule="exact"/>
        <w:rPr>
          <w:rFonts w:ascii="Arial" w:cs="Arial" w:eastAsia="Arial" w:hAnsi="Arial"/>
          <w:sz w:val="31"/>
          <w:szCs w:val="31"/>
          <w:color w:val="auto"/>
          <w:vertAlign w:val="superscript"/>
        </w:rPr>
      </w:pPr>
    </w:p>
    <w:p>
      <w:pPr>
        <w:ind w:left="359" w:hanging="143"/>
        <w:spacing w:after="0" w:line="250" w:lineRule="auto"/>
        <w:tabs>
          <w:tab w:leader="none" w:pos="359" w:val="left"/>
        </w:tabs>
        <w:numPr>
          <w:ilvl w:val="1"/>
          <w:numId w:val="75"/>
        </w:numPr>
        <w:rPr>
          <w:rFonts w:ascii="Arial" w:cs="Arial" w:eastAsia="Arial" w:hAnsi="Arial"/>
          <w:sz w:val="15"/>
          <w:szCs w:val="15"/>
          <w:color w:val="auto"/>
        </w:rPr>
      </w:pPr>
      <w:r>
        <w:rPr>
          <w:rFonts w:ascii="Arial" w:cs="Arial" w:eastAsia="Arial" w:hAnsi="Arial"/>
          <w:sz w:val="15"/>
          <w:szCs w:val="15"/>
          <w:color w:val="auto"/>
        </w:rPr>
        <w:t>Shareholders met with key members of our executive leadership representing Human Resources, Investor Relations, and Corporate Governance</w:t>
      </w:r>
    </w:p>
    <w:p>
      <w:pPr>
        <w:spacing w:after="0" w:line="117" w:lineRule="exact"/>
        <w:rPr>
          <w:rFonts w:ascii="Arial" w:cs="Arial" w:eastAsia="Arial" w:hAnsi="Arial"/>
          <w:sz w:val="15"/>
          <w:szCs w:val="15"/>
          <w:color w:val="auto"/>
        </w:rPr>
      </w:pPr>
    </w:p>
    <w:p>
      <w:pPr>
        <w:ind w:left="359" w:hanging="143"/>
        <w:spacing w:after="0" w:line="253" w:lineRule="auto"/>
        <w:tabs>
          <w:tab w:leader="none" w:pos="359" w:val="left"/>
        </w:tabs>
        <w:numPr>
          <w:ilvl w:val="1"/>
          <w:numId w:val="75"/>
        </w:numPr>
        <w:rPr>
          <w:rFonts w:ascii="Arial" w:cs="Arial" w:eastAsia="Arial" w:hAnsi="Arial"/>
          <w:sz w:val="15"/>
          <w:szCs w:val="15"/>
          <w:color w:val="auto"/>
        </w:rPr>
      </w:pPr>
      <w:r>
        <w:rPr>
          <w:rFonts w:ascii="Arial" w:cs="Arial" w:eastAsia="Arial" w:hAnsi="Arial"/>
          <w:sz w:val="15"/>
          <w:szCs w:val="15"/>
          <w:color w:val="auto"/>
        </w:rPr>
        <w:t>For our 2024 engagement, the Chair of the Human Capital and Compensation Committee was available upon the request of the shareholder. Only one shareholder requested a meeting with the Chair of the Human Capital and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01" w:hanging="101"/>
        <w:spacing w:after="0"/>
        <w:tabs>
          <w:tab w:leader="none" w:pos="101" w:val="left"/>
        </w:tabs>
        <w:numPr>
          <w:ilvl w:val="0"/>
          <w:numId w:val="76"/>
        </w:numPr>
        <w:rPr>
          <w:rFonts w:ascii="Arial" w:cs="Arial" w:eastAsia="Arial" w:hAnsi="Arial"/>
          <w:sz w:val="31"/>
          <w:szCs w:val="31"/>
          <w:color w:val="auto"/>
          <w:vertAlign w:val="superscript"/>
        </w:rPr>
      </w:pPr>
      <w:r>
        <w:rPr>
          <w:rFonts w:ascii="Arial" w:cs="Arial" w:eastAsia="Arial" w:hAnsi="Arial"/>
          <w:sz w:val="30"/>
          <w:szCs w:val="30"/>
          <w:color w:val="auto"/>
          <w:vertAlign w:val="superscript"/>
        </w:rPr>
        <w:t>​</w:t>
      </w:r>
      <w:r>
        <w:rPr>
          <w:rFonts w:ascii="Arial" w:cs="Arial" w:eastAsia="Arial" w:hAnsi="Arial"/>
          <w:sz w:val="15"/>
          <w:szCs w:val="15"/>
          <w:i w:val="1"/>
          <w:iCs w:val="1"/>
          <w:color w:val="auto"/>
        </w:rPr>
        <w:t xml:space="preserve"> Topics Discussed</w:t>
      </w:r>
    </w:p>
    <w:p>
      <w:pPr>
        <w:spacing w:after="0" w:line="8" w:lineRule="exact"/>
        <w:rPr>
          <w:rFonts w:ascii="Arial" w:cs="Arial" w:eastAsia="Arial" w:hAnsi="Arial"/>
          <w:sz w:val="31"/>
          <w:szCs w:val="31"/>
          <w:color w:val="auto"/>
          <w:vertAlign w:val="superscript"/>
        </w:rPr>
      </w:pPr>
    </w:p>
    <w:p>
      <w:pPr>
        <w:ind w:left="361" w:hanging="145"/>
        <w:spacing w:after="0" w:line="253" w:lineRule="auto"/>
        <w:tabs>
          <w:tab w:leader="none" w:pos="361" w:val="left"/>
        </w:tabs>
        <w:numPr>
          <w:ilvl w:val="1"/>
          <w:numId w:val="76"/>
        </w:numPr>
        <w:rPr>
          <w:rFonts w:ascii="Arial" w:cs="Arial" w:eastAsia="Arial" w:hAnsi="Arial"/>
          <w:sz w:val="15"/>
          <w:szCs w:val="15"/>
          <w:color w:val="auto"/>
        </w:rPr>
      </w:pPr>
      <w:r>
        <w:rPr>
          <w:rFonts w:ascii="Arial" w:cs="Arial" w:eastAsia="Arial" w:hAnsi="Arial"/>
          <w:sz w:val="15"/>
          <w:szCs w:val="15"/>
          <w:color w:val="auto"/>
        </w:rPr>
        <w:t>In addition to any topics raised by a shareholder, we solicited feedback on a range of topics, including:</w:t>
      </w:r>
    </w:p>
    <w:p>
      <w:pPr>
        <w:spacing w:after="0" w:line="102" w:lineRule="exact"/>
        <w:rPr>
          <w:rFonts w:ascii="Arial" w:cs="Arial" w:eastAsia="Arial" w:hAnsi="Arial"/>
          <w:sz w:val="15"/>
          <w:szCs w:val="15"/>
          <w:color w:val="auto"/>
        </w:rPr>
      </w:pPr>
    </w:p>
    <w:p>
      <w:pPr>
        <w:ind w:left="521" w:hanging="153"/>
        <w:spacing w:after="0" w:line="301" w:lineRule="auto"/>
        <w:tabs>
          <w:tab w:leader="none" w:pos="521" w:val="left"/>
        </w:tabs>
        <w:numPr>
          <w:ilvl w:val="2"/>
          <w:numId w:val="76"/>
        </w:numPr>
        <w:rPr>
          <w:rFonts w:ascii="Arial" w:cs="Arial" w:eastAsia="Arial" w:hAnsi="Arial"/>
          <w:sz w:val="15"/>
          <w:szCs w:val="15"/>
          <w:color w:val="auto"/>
        </w:rPr>
      </w:pPr>
      <w:r>
        <w:rPr>
          <w:rFonts w:ascii="Arial" w:cs="Arial" w:eastAsia="Arial" w:hAnsi="Arial"/>
          <w:sz w:val="15"/>
          <w:szCs w:val="15"/>
          <w:color w:val="auto"/>
        </w:rPr>
        <w:t>Long-term strategic planning and risk evaluation;</w:t>
      </w:r>
    </w:p>
    <w:p>
      <w:pPr>
        <w:spacing w:after="0" w:line="66" w:lineRule="exact"/>
        <w:rPr>
          <w:rFonts w:ascii="Arial" w:cs="Arial" w:eastAsia="Arial" w:hAnsi="Arial"/>
          <w:sz w:val="15"/>
          <w:szCs w:val="15"/>
          <w:color w:val="auto"/>
        </w:rPr>
      </w:pPr>
    </w:p>
    <w:p>
      <w:pPr>
        <w:ind w:left="521" w:right="280" w:hanging="153"/>
        <w:spacing w:after="0" w:line="283" w:lineRule="auto"/>
        <w:tabs>
          <w:tab w:leader="none" w:pos="521" w:val="left"/>
        </w:tabs>
        <w:numPr>
          <w:ilvl w:val="2"/>
          <w:numId w:val="76"/>
        </w:numPr>
        <w:rPr>
          <w:rFonts w:ascii="Arial" w:cs="Arial" w:eastAsia="Arial" w:hAnsi="Arial"/>
          <w:sz w:val="15"/>
          <w:szCs w:val="15"/>
          <w:color w:val="auto"/>
        </w:rPr>
      </w:pPr>
      <w:r>
        <w:rPr>
          <w:rFonts w:ascii="Arial" w:cs="Arial" w:eastAsia="Arial" w:hAnsi="Arial"/>
          <w:sz w:val="15"/>
          <w:szCs w:val="15"/>
          <w:color w:val="auto"/>
        </w:rPr>
        <w:t>CEO transition and management succession planning;</w:t>
      </w:r>
    </w:p>
    <w:p>
      <w:pPr>
        <w:spacing w:after="0" w:line="79" w:lineRule="exact"/>
        <w:rPr>
          <w:rFonts w:ascii="Arial" w:cs="Arial" w:eastAsia="Arial" w:hAnsi="Arial"/>
          <w:sz w:val="15"/>
          <w:szCs w:val="15"/>
          <w:color w:val="auto"/>
        </w:rPr>
      </w:pPr>
    </w:p>
    <w:p>
      <w:pPr>
        <w:ind w:left="521" w:hanging="153"/>
        <w:spacing w:after="0"/>
        <w:tabs>
          <w:tab w:leader="none" w:pos="521" w:val="left"/>
        </w:tabs>
        <w:numPr>
          <w:ilvl w:val="2"/>
          <w:numId w:val="76"/>
        </w:numPr>
        <w:rPr>
          <w:rFonts w:ascii="Arial" w:cs="Arial" w:eastAsia="Arial" w:hAnsi="Arial"/>
          <w:sz w:val="15"/>
          <w:szCs w:val="15"/>
          <w:color w:val="auto"/>
        </w:rPr>
      </w:pPr>
      <w:r>
        <w:rPr>
          <w:rFonts w:ascii="Arial" w:cs="Arial" w:eastAsia="Arial" w:hAnsi="Arial"/>
          <w:sz w:val="15"/>
          <w:szCs w:val="15"/>
          <w:color w:val="auto"/>
        </w:rPr>
        <w:t>Executive compensation program;</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FFFFFF"/>
        </w:rPr>
        <w:t>​</w:t>
      </w:r>
    </w:p>
    <w:p>
      <w:pPr>
        <w:spacing w:after="0"/>
        <w:rPr>
          <w:sz w:val="20"/>
          <w:szCs w:val="20"/>
          <w:color w:val="auto"/>
        </w:rPr>
      </w:pPr>
      <w:r>
        <w:rPr>
          <w:rFonts w:ascii="Arial" w:cs="Arial" w:eastAsia="Arial" w:hAnsi="Arial"/>
          <w:sz w:val="15"/>
          <w:szCs w:val="15"/>
          <w:color w:val="auto"/>
        </w:rPr>
        <w:t>​</w:t>
      </w:r>
    </w:p>
    <w:p>
      <w:pPr>
        <w:spacing w:after="0" w:line="2106" w:lineRule="exact"/>
        <w:rPr>
          <w:sz w:val="20"/>
          <w:szCs w:val="20"/>
          <w:color w:val="auto"/>
        </w:rPr>
      </w:pPr>
    </w:p>
    <w:p>
      <w:pPr>
        <w:sectPr>
          <w:pgSz w:w="11900" w:h="16838" w:orient="portrait"/>
          <w:cols w:equalWidth="0" w:num="4">
            <w:col w:w="3580" w:space="121"/>
            <w:col w:w="2979" w:space="99"/>
            <w:col w:w="3001" w:space="100"/>
            <w:col w:w="140"/>
          </w:cols>
          <w:pgMar w:left="580" w:top="97" w:right="1299" w:bottom="1440" w:gutter="0" w:footer="0" w:header="0"/>
          <w:type w:val="continuous"/>
        </w:sectPr>
      </w:pPr>
    </w:p>
    <w:tbl>
      <w:tblPr>
        <w:tblLayout w:type="fixed"/>
        <w:tblInd w:w="4060" w:type="dxa"/>
        <w:tblCellMar>
          <w:top w:w="0" w:type="dxa"/>
          <w:left w:w="0" w:type="dxa"/>
          <w:bottom w:w="0" w:type="dxa"/>
          <w:right w:w="0" w:type="dxa"/>
        </w:tblCellMar>
      </w:tblPr>
      <w:tr>
        <w:trPr>
          <w:trHeight w:val="165"/>
        </w:trPr>
        <w:tc>
          <w:tcPr>
            <w:tcW w:w="2900" w:type="dxa"/>
            <w:vAlign w:val="bottom"/>
          </w:tcPr>
          <w:p>
            <w:pPr>
              <w:spacing w:after="0" w:line="164" w:lineRule="exact"/>
              <w:rPr>
                <w:sz w:val="20"/>
                <w:szCs w:val="20"/>
                <w:color w:val="auto"/>
              </w:rPr>
            </w:pPr>
            <w:r>
              <w:rPr>
                <w:rFonts w:ascii="Arial" w:cs="Arial" w:eastAsia="Arial" w:hAnsi="Arial"/>
                <w:sz w:val="15"/>
                <w:szCs w:val="15"/>
                <w:color w:val="auto"/>
              </w:rPr>
              <w:t>Compensation Committee, who met with</w:t>
            </w:r>
          </w:p>
        </w:tc>
        <w:tc>
          <w:tcPr>
            <w:tcW w:w="300" w:type="dxa"/>
            <w:vAlign w:val="bottom"/>
          </w:tcPr>
          <w:p>
            <w:pPr>
              <w:ind w:left="180"/>
              <w:spacing w:after="0" w:line="164" w:lineRule="exact"/>
              <w:rPr>
                <w:sz w:val="20"/>
                <w:szCs w:val="20"/>
                <w:color w:val="auto"/>
              </w:rPr>
            </w:pPr>
            <w:r>
              <w:rPr>
                <w:rFonts w:ascii="Arial" w:cs="Arial" w:eastAsia="Arial" w:hAnsi="Arial"/>
                <w:sz w:val="15"/>
                <w:szCs w:val="15"/>
                <w:color w:val="auto"/>
              </w:rPr>
              <w:t>•</w:t>
            </w:r>
          </w:p>
        </w:tc>
        <w:tc>
          <w:tcPr>
            <w:tcW w:w="2580" w:type="dxa"/>
            <w:vAlign w:val="bottom"/>
          </w:tcPr>
          <w:p>
            <w:pPr>
              <w:ind w:left="40"/>
              <w:spacing w:after="0" w:line="164" w:lineRule="exact"/>
              <w:rPr>
                <w:sz w:val="20"/>
                <w:szCs w:val="20"/>
                <w:color w:val="auto"/>
              </w:rPr>
            </w:pPr>
            <w:r>
              <w:rPr>
                <w:rFonts w:ascii="Arial" w:cs="Arial" w:eastAsia="Arial" w:hAnsi="Arial"/>
                <w:sz w:val="15"/>
                <w:szCs w:val="15"/>
                <w:color w:val="auto"/>
              </w:rPr>
              <w:t>Board succession planning; and</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20"/>
                <w:szCs w:val="20"/>
                <w:color w:val="auto"/>
              </w:rPr>
            </w:pPr>
            <w:r>
              <w:rPr>
                <w:rFonts w:ascii="Arial" w:cs="Arial" w:eastAsia="Arial" w:hAnsi="Arial"/>
                <w:sz w:val="15"/>
                <w:szCs w:val="15"/>
                <w:color w:val="auto"/>
              </w:rPr>
              <w:t>that shareholder.</w:t>
            </w:r>
          </w:p>
        </w:tc>
        <w:tc>
          <w:tcPr>
            <w:tcW w:w="30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2580" w:type="dxa"/>
            <w:vAlign w:val="bottom"/>
            <w:vMerge w:val="restart"/>
          </w:tcPr>
          <w:p>
            <w:pPr>
              <w:ind w:left="40"/>
              <w:spacing w:after="0"/>
              <w:rPr>
                <w:sz w:val="20"/>
                <w:szCs w:val="20"/>
                <w:color w:val="auto"/>
              </w:rPr>
            </w:pPr>
            <w:r>
              <w:rPr>
                <w:rFonts w:ascii="Arial" w:cs="Arial" w:eastAsia="Arial" w:hAnsi="Arial"/>
                <w:sz w:val="15"/>
                <w:szCs w:val="15"/>
                <w:color w:val="auto"/>
                <w:w w:val="99"/>
              </w:rPr>
              <w:t>Our generation transition and net zero</w:t>
            </w: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tcPr>
          <w:p>
            <w:pPr>
              <w:ind w:left="40"/>
              <w:spacing w:after="0"/>
              <w:rPr>
                <w:sz w:val="20"/>
                <w:szCs w:val="20"/>
                <w:color w:val="auto"/>
              </w:rPr>
            </w:pPr>
            <w:r>
              <w:rPr>
                <w:rFonts w:ascii="Arial" w:cs="Arial" w:eastAsia="Arial" w:hAnsi="Arial"/>
                <w:sz w:val="15"/>
                <w:szCs w:val="15"/>
                <w:color w:val="auto"/>
              </w:rPr>
              <w:t>and greenhouse gas emissions</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Arial" w:cs="Arial" w:eastAsia="Arial" w:hAnsi="Arial"/>
                <w:sz w:val="15"/>
                <w:szCs w:val="15"/>
                <w:color w:val="auto"/>
              </w:rPr>
              <w:t>reduction goals</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0020"/>
          </w:cols>
          <w:pgMar w:left="580" w:top="97" w:right="1299" w:bottom="1440" w:gutter="0" w:footer="0" w:header="0"/>
          <w:type w:val="continuous"/>
        </w:sectPr>
      </w:pPr>
    </w:p>
    <w:tbl>
      <w:tblPr>
        <w:tblLayout w:type="fixed"/>
        <w:tblInd w:w="780" w:type="dxa"/>
        <w:tblCellMar>
          <w:top w:w="0" w:type="dxa"/>
          <w:left w:w="0" w:type="dxa"/>
          <w:bottom w:w="0" w:type="dxa"/>
          <w:right w:w="0" w:type="dxa"/>
        </w:tblCellMar>
      </w:tblPr>
      <w:tr>
        <w:trPr>
          <w:trHeight w:val="200"/>
        </w:trPr>
        <w:tc>
          <w:tcPr>
            <w:tcW w:w="1980" w:type="dxa"/>
            <w:vAlign w:val="bottom"/>
          </w:tcPr>
          <w:p>
            <w:pPr>
              <w:spacing w:after="0"/>
              <w:rPr>
                <w:sz w:val="20"/>
                <w:szCs w:val="20"/>
                <w:color w:val="auto"/>
              </w:rPr>
            </w:pPr>
            <w:r>
              <w:rPr>
                <w:rFonts w:ascii="Arial" w:cs="Arial" w:eastAsia="Arial" w:hAnsi="Arial"/>
                <w:sz w:val="15"/>
                <w:szCs w:val="15"/>
                <w:i w:val="1"/>
                <w:iCs w:val="1"/>
                <w:color w:val="auto"/>
              </w:rPr>
              <w:t>​</w:t>
            </w:r>
          </w:p>
        </w:tc>
        <w:tc>
          <w:tcPr>
            <w:tcW w:w="3280" w:type="dxa"/>
            <w:vAlign w:val="bottom"/>
            <w:vMerge w:val="restart"/>
          </w:tcPr>
          <w:p>
            <w:pPr>
              <w:ind w:left="1920"/>
              <w:spacing w:after="0"/>
              <w:rPr>
                <w:sz w:val="20"/>
                <w:szCs w:val="20"/>
                <w:color w:val="auto"/>
              </w:rPr>
            </w:pPr>
            <w:r>
              <w:rPr>
                <w:rFonts w:ascii="Arial" w:cs="Arial" w:eastAsia="Arial" w:hAnsi="Arial"/>
                <w:sz w:val="15"/>
                <w:szCs w:val="15"/>
                <w:i w:val="1"/>
                <w:iCs w:val="1"/>
                <w:color w:val="auto"/>
              </w:rPr>
              <w:t>Feedback Received</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840" w:hanging="109"/>
        <w:spacing w:after="0" w:line="199" w:lineRule="auto"/>
        <w:tabs>
          <w:tab w:leader="none" w:pos="840" w:val="left"/>
        </w:tabs>
        <w:numPr>
          <w:ilvl w:val="0"/>
          <w:numId w:val="77"/>
        </w:numPr>
        <w:rPr>
          <w:rFonts w:ascii="Arial" w:cs="Arial" w:eastAsia="Arial" w:hAnsi="Arial"/>
          <w:sz w:val="31"/>
          <w:szCs w:val="31"/>
          <w:color w:val="auto"/>
          <w:vertAlign w:val="superscript"/>
        </w:rPr>
      </w:pPr>
      <w:r>
        <w:rPr>
          <w:rFonts w:ascii="Arial" w:cs="Arial" w:eastAsia="Arial" w:hAnsi="Arial"/>
          <w:sz w:val="15"/>
          <w:szCs w:val="15"/>
          <w:color w:val="auto"/>
        </w:rPr>
        <w:t>• Shareholders were generally supportive of the Company’s executive compensation structure</w:t>
      </w:r>
    </w:p>
    <w:p>
      <w:pPr>
        <w:spacing w:after="0" w:line="111" w:lineRule="exact"/>
        <w:rPr>
          <w:rFonts w:ascii="Arial" w:cs="Arial" w:eastAsia="Arial" w:hAnsi="Arial"/>
          <w:sz w:val="31"/>
          <w:szCs w:val="31"/>
          <w:color w:val="auto"/>
          <w:vertAlign w:val="superscript"/>
        </w:rPr>
      </w:pPr>
    </w:p>
    <w:p>
      <w:pPr>
        <w:ind w:left="1000" w:hanging="161"/>
        <w:spacing w:after="0"/>
        <w:tabs>
          <w:tab w:leader="none" w:pos="10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At the 2024 Annual Meeting, approximately 93.4% of shareholders voted for the Company’s executive compensation</w:t>
      </w:r>
    </w:p>
    <w:p>
      <w:pPr>
        <w:spacing w:after="0" w:line="97" w:lineRule="exact"/>
        <w:rPr>
          <w:rFonts w:ascii="Arial" w:cs="Arial" w:eastAsia="Arial" w:hAnsi="Arial"/>
          <w:sz w:val="15"/>
          <w:szCs w:val="15"/>
          <w:color w:val="auto"/>
        </w:rPr>
      </w:pPr>
    </w:p>
    <w:p>
      <w:pPr>
        <w:ind w:left="1000" w:hanging="161"/>
        <w:spacing w:after="0"/>
        <w:tabs>
          <w:tab w:leader="none" w:pos="10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Shareholders were generally supportive of the Company’s sustainability efforts</w:t>
      </w:r>
    </w:p>
    <w:p>
      <w:pPr>
        <w:spacing w:after="0" w:line="124" w:lineRule="exact"/>
        <w:rPr>
          <w:rFonts w:ascii="Arial" w:cs="Arial" w:eastAsia="Arial" w:hAnsi="Arial"/>
          <w:sz w:val="15"/>
          <w:szCs w:val="15"/>
          <w:color w:val="auto"/>
        </w:rPr>
      </w:pPr>
    </w:p>
    <w:p>
      <w:pPr>
        <w:ind w:left="1000" w:hanging="161"/>
        <w:spacing w:after="0" w:line="283" w:lineRule="auto"/>
        <w:tabs>
          <w:tab w:leader="none" w:pos="10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Shareholders were pleased with the communication regarding the Company’s executive succession planning, noting that the Company’s organizational changes were effectively communicated through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18415</wp:posOffset>
            </wp:positionV>
            <wp:extent cx="58807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5"/>
          <w:szCs w:val="15"/>
          <w:i w:val="1"/>
          <w:iCs w:val="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79" w:lineRule="exact"/>
        <w:rPr>
          <w:sz w:val="20"/>
          <w:szCs w:val="20"/>
          <w:color w:val="auto"/>
        </w:rPr>
      </w:pPr>
    </w:p>
    <w:p>
      <w:pPr>
        <w:sectPr>
          <w:pgSz w:w="11900" w:h="16838" w:orient="portrait"/>
          <w:cols w:equalWidth="0" w:num="2">
            <w:col w:w="9260" w:space="620"/>
            <w:col w:w="140"/>
          </w:cols>
          <w:pgMar w:left="580" w:top="97" w:right="1299" w:bottom="1440" w:gutter="0" w:footer="0" w:header="0"/>
          <w:type w:val="continuous"/>
        </w:sectPr>
      </w:pPr>
    </w:p>
    <w:p>
      <w:pPr>
        <w:spacing w:after="0" w:line="11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Communications with Directors</w:t>
      </w:r>
    </w:p>
    <w:p>
      <w:pPr>
        <w:spacing w:after="0" w:line="112" w:lineRule="exact"/>
        <w:rPr>
          <w:sz w:val="20"/>
          <w:szCs w:val="20"/>
          <w:color w:val="auto"/>
        </w:rPr>
      </w:pPr>
    </w:p>
    <w:p>
      <w:pPr>
        <w:ind w:left="740" w:right="100"/>
        <w:spacing w:after="0" w:line="276" w:lineRule="auto"/>
        <w:rPr>
          <w:sz w:val="20"/>
          <w:szCs w:val="20"/>
          <w:color w:val="auto"/>
        </w:rPr>
      </w:pPr>
      <w:r>
        <w:rPr>
          <w:rFonts w:ascii="Arial" w:cs="Arial" w:eastAsia="Arial" w:hAnsi="Arial"/>
          <w:sz w:val="16"/>
          <w:szCs w:val="16"/>
          <w:color w:val="auto"/>
        </w:rPr>
        <w:t>Interested parties who wish to make concerns known to the non-management directors may communicate directly with the non-management directors by making a submission in writing to “Board of Directors (independent members)” in care of our Corporate Secretary at 1111 Louisiana, Houston, TX 77002 or for deliveries by U.S. Postal Service, P.O. Box 4567, Houston, TX 77210-4567. Shareholders may also communicate with the entire Board or any individual director by submitting a written communication addressed to the “Board of Directors” or such individual director, as applicable, in care of our Corporate Secretary at the same address. Our Corporate Secretary will review communications directed to any of our directors and will forward all communications determined to bear substantively on the business, management, or governance of the Company to the addressee(s).</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Website Availability of Documents</w:t>
      </w:r>
    </w:p>
    <w:p>
      <w:pPr>
        <w:spacing w:after="0" w:line="112" w:lineRule="exact"/>
        <w:rPr>
          <w:sz w:val="20"/>
          <w:szCs w:val="20"/>
          <w:color w:val="auto"/>
        </w:rPr>
      </w:pPr>
    </w:p>
    <w:p>
      <w:pPr>
        <w:ind w:left="740" w:right="180"/>
        <w:spacing w:after="0" w:line="282" w:lineRule="auto"/>
        <w:rPr>
          <w:sz w:val="20"/>
          <w:szCs w:val="20"/>
          <w:color w:val="auto"/>
        </w:rPr>
      </w:pPr>
      <w:r>
        <w:rPr>
          <w:rFonts w:ascii="Arial" w:cs="Arial" w:eastAsia="Arial" w:hAnsi="Arial"/>
          <w:sz w:val="16"/>
          <w:szCs w:val="16"/>
          <w:color w:val="auto"/>
        </w:rPr>
        <w:t xml:space="preserve">CenterPoint Energy’s Annual Report on Form 10-K, Corporate Governance Guidelines, the charters of the Audit Committee, Human Capital and Compensation Committee, Governance Committee, and the Safety and Operations Committee, the Code of Ethics for Chief Executive Officer and Senior Financial Officers, and the Ethics and Compliance Code can be found on its website at </w:t>
      </w:r>
      <w:r>
        <w:rPr>
          <w:rFonts w:ascii="Arial" w:cs="Arial" w:eastAsia="Arial" w:hAnsi="Arial"/>
          <w:sz w:val="16"/>
          <w:szCs w:val="16"/>
          <w:i w:val="1"/>
          <w:iCs w:val="1"/>
          <w:color w:val="auto"/>
        </w:rPr>
        <w:t>https://investors.centerpointenergy.com/governance</w:t>
      </w:r>
      <w:r>
        <w:rPr>
          <w:rFonts w:ascii="Arial" w:cs="Arial" w:eastAsia="Arial" w:hAnsi="Arial"/>
          <w:sz w:val="16"/>
          <w:szCs w:val="16"/>
          <w:color w:val="auto"/>
        </w:rPr>
        <w:t>. Unless specifically stated herein, documents and information on CenterPoint Energy’s websites are not incorporated by reference in this Proxy Statement.</w:t>
      </w:r>
    </w:p>
    <w:p>
      <w:pPr>
        <w:spacing w:after="0" w:line="19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Compensation of Directors</w:t>
      </w:r>
    </w:p>
    <w:p>
      <w:pPr>
        <w:spacing w:after="0" w:line="112" w:lineRule="exact"/>
        <w:rPr>
          <w:sz w:val="20"/>
          <w:szCs w:val="20"/>
          <w:color w:val="auto"/>
        </w:rPr>
      </w:pPr>
    </w:p>
    <w:p>
      <w:pPr>
        <w:ind w:left="740" w:right="160"/>
        <w:spacing w:after="0" w:line="284" w:lineRule="auto"/>
        <w:rPr>
          <w:sz w:val="20"/>
          <w:szCs w:val="20"/>
          <w:color w:val="auto"/>
        </w:rPr>
      </w:pPr>
      <w:r>
        <w:rPr>
          <w:rFonts w:ascii="Arial" w:cs="Arial" w:eastAsia="Arial" w:hAnsi="Arial"/>
          <w:sz w:val="15"/>
          <w:szCs w:val="15"/>
          <w:color w:val="auto"/>
        </w:rPr>
        <w:t>The Governance Committee of the Board oversees fee levels and other elements of compensation for CenterPoint Energy’s non-employee directors. The Governance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Committee’s independent compensation consultant annually benchmarks and evaluates the competitiveness of CenterPoint Energy’s non-employee director compensation program, including a comparison of the compensation components to that of peer companies. Based on the Governance Committee’s recommendations, the Board then determines the final compensation for all non-employee directors each year.</w:t>
      </w:r>
    </w:p>
    <w:p>
      <w:pPr>
        <w:spacing w:after="0" w:line="9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Directors receive a cash retainer and are eligible to receive annual grants of our common stock under the CenterPoint Energy, Inc.</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Stock Plan for Outside Directors, as amended. Directors do not receive meeting fees.</w:t>
      </w:r>
    </w:p>
    <w:p>
      <w:pPr>
        <w:spacing w:after="0" w:line="138"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Retainer Fees</w:t>
      </w:r>
    </w:p>
    <w:p>
      <w:pPr>
        <w:spacing w:after="0" w:line="122" w:lineRule="exact"/>
        <w:rPr>
          <w:sz w:val="20"/>
          <w:szCs w:val="20"/>
          <w:color w:val="auto"/>
        </w:rPr>
      </w:pPr>
    </w:p>
    <w:p>
      <w:pPr>
        <w:ind w:left="740" w:right="260"/>
        <w:spacing w:after="0" w:line="269" w:lineRule="auto"/>
        <w:rPr>
          <w:sz w:val="20"/>
          <w:szCs w:val="20"/>
          <w:color w:val="auto"/>
        </w:rPr>
      </w:pPr>
      <w:r>
        <w:rPr>
          <w:rFonts w:ascii="Arial" w:cs="Arial" w:eastAsia="Arial" w:hAnsi="Arial"/>
          <w:sz w:val="16"/>
          <w:szCs w:val="16"/>
          <w:color w:val="auto"/>
        </w:rPr>
        <w:t>Retainers are paid to our non-employee directors on a quarterly basis in arrears. Our non-employee directors receive an annual retainer of $125,000. The Chairs of the Audit, Compensation, and Governance Committees each receive a supplemental annual retainer for service as committee chair. In addition to the annual retainer, our Independent Chair of the Board receives a supplemental retainer for his services to the Board. Our current non-employee annual and supplemental retainer fees are as follows:</w:t>
      </w:r>
    </w:p>
    <w:p>
      <w:pPr>
        <w:spacing w:after="0" w:line="113"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6020" w:type="dxa"/>
            <w:vAlign w:val="bottom"/>
            <w:gridSpan w:val="2"/>
            <w:shd w:val="clear" w:color="auto" w:fill="003763"/>
          </w:tcPr>
          <w:p>
            <w:pPr>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Type of Retainer Fee</w:t>
            </w:r>
          </w:p>
        </w:tc>
        <w:tc>
          <w:tcPr>
            <w:tcW w:w="1800" w:type="dxa"/>
            <w:vAlign w:val="bottom"/>
            <w:shd w:val="clear" w:color="auto" w:fill="003763"/>
          </w:tcPr>
          <w:p>
            <w:pPr>
              <w:ind w:left="170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340" w:type="dxa"/>
            <w:vAlign w:val="bottom"/>
            <w:gridSpan w:val="4"/>
            <w:shd w:val="clear" w:color="auto" w:fill="003763"/>
          </w:tcPr>
          <w:p>
            <w:pPr>
              <w:ind w:left="20"/>
              <w:spacing w:after="0"/>
              <w:rPr>
                <w:sz w:val="20"/>
                <w:szCs w:val="20"/>
                <w:color w:val="auto"/>
              </w:rPr>
            </w:pPr>
            <w:r>
              <w:rPr>
                <w:rFonts w:ascii="Arial" w:cs="Arial" w:eastAsia="Arial" w:hAnsi="Arial"/>
                <w:sz w:val="13"/>
                <w:szCs w:val="13"/>
                <w:b w:val="1"/>
                <w:bCs w:val="1"/>
                <w:color w:val="FFFFFF"/>
              </w:rPr>
              <w:t>Current Retainer Fee</w:t>
            </w:r>
            <w:r>
              <w:rPr>
                <w:rFonts w:ascii="Arial" w:cs="Arial" w:eastAsia="Arial" w:hAnsi="Arial"/>
                <w:sz w:val="25"/>
                <w:szCs w:val="25"/>
                <w:b w:val="1"/>
                <w:bCs w:val="1"/>
                <w:color w:val="FFFFFF"/>
                <w:vertAlign w:val="subscript"/>
              </w:rPr>
              <w:t>​</w:t>
            </w:r>
          </w:p>
        </w:tc>
      </w:tr>
      <w:tr>
        <w:trPr>
          <w:trHeight w:val="283"/>
        </w:trPr>
        <w:tc>
          <w:tcPr>
            <w:tcW w:w="6020" w:type="dxa"/>
            <w:vAlign w:val="bottom"/>
            <w:tcBorders>
              <w:bottom w:val="single" w:sz="8" w:color="CCCCCC"/>
            </w:tcBorders>
            <w:gridSpan w:val="2"/>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Annual Cash Retainer for Non-Employee Directors</w:t>
            </w:r>
          </w:p>
        </w:tc>
        <w:tc>
          <w:tcPr>
            <w:tcW w:w="1800" w:type="dxa"/>
            <w:vAlign w:val="bottom"/>
            <w:tcBorders>
              <w:bottom w:val="single" w:sz="8" w:color="CCCCCC"/>
            </w:tcBorders>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CCCC"/>
            </w:tcBorders>
            <w:gridSpan w:val="2"/>
          </w:tcPr>
          <w:p>
            <w:pPr>
              <w:ind w:left="340"/>
              <w:spacing w:after="0" w:line="284"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$125,000</w:t>
            </w:r>
          </w:p>
        </w:tc>
        <w:tc>
          <w:tcPr>
            <w:tcW w:w="18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r>
      <w:tr>
        <w:trPr>
          <w:trHeight w:val="264"/>
        </w:trPr>
        <w:tc>
          <w:tcPr>
            <w:tcW w:w="602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Annual Standing Committee Chair Supplemental Retainers</w:t>
            </w:r>
          </w:p>
        </w:tc>
        <w:tc>
          <w:tcPr>
            <w:tcW w:w="190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 ​</w:t>
            </w:r>
          </w:p>
        </w:tc>
        <w:tc>
          <w:tcPr>
            <w:tcW w:w="480" w:type="dxa"/>
            <w:vAlign w:val="bottom"/>
            <w:tcBorders>
              <w:bottom w:val="single" w:sz="8" w:color="CCCCCC"/>
            </w:tcBorders>
            <w:shd w:val="clear" w:color="auto" w:fill="F2F2F2"/>
          </w:tcPr>
          <w:p>
            <w:pPr>
              <w:ind w:left="34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460" w:type="dxa"/>
            <w:vAlign w:val="bottom"/>
            <w:tcBorders>
              <w:bottom w:val="single" w:sz="8" w:color="CCCCCC"/>
            </w:tcBorders>
            <w:shd w:val="clear" w:color="auto" w:fill="F2F2F2"/>
          </w:tcPr>
          <w:p>
            <w:pPr>
              <w:spacing w:after="0"/>
              <w:rPr>
                <w:sz w:val="22"/>
                <w:szCs w:val="22"/>
                <w:color w:val="auto"/>
              </w:rPr>
            </w:pPr>
          </w:p>
        </w:tc>
        <w:tc>
          <w:tcPr>
            <w:tcW w:w="18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w:t>
            </w:r>
          </w:p>
        </w:tc>
      </w:tr>
      <w:tr>
        <w:trPr>
          <w:trHeight w:val="263"/>
        </w:trPr>
        <w:tc>
          <w:tcPr>
            <w:tcW w:w="14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5880" w:type="dxa"/>
            <w:vAlign w:val="bottom"/>
            <w:tcBorders>
              <w:bottom w:val="single" w:sz="8" w:color="CCCCCC"/>
            </w:tcBorders>
          </w:tcPr>
          <w:p>
            <w:pPr>
              <w:ind w:left="80"/>
              <w:spacing w:after="0"/>
              <w:rPr>
                <w:sz w:val="20"/>
                <w:szCs w:val="20"/>
                <w:color w:val="auto"/>
              </w:rPr>
            </w:pPr>
            <w:r>
              <w:rPr>
                <w:rFonts w:ascii="Arial" w:cs="Arial" w:eastAsia="Arial" w:hAnsi="Arial"/>
                <w:sz w:val="14"/>
                <w:szCs w:val="14"/>
                <w:i w:val="1"/>
                <w:iCs w:val="1"/>
                <w:color w:val="auto"/>
              </w:rPr>
              <w:t>Audit Committee Chair</w:t>
            </w:r>
          </w:p>
        </w:tc>
        <w:tc>
          <w:tcPr>
            <w:tcW w:w="1800" w:type="dxa"/>
            <w:vAlign w:val="bottom"/>
            <w:tcBorders>
              <w:bottom w:val="single" w:sz="8" w:color="CCCCCC"/>
            </w:tcBorders>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tcPr>
          <w:p>
            <w:pPr>
              <w:ind w:left="3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tcBorders>
              <w:bottom w:val="single" w:sz="8" w:color="CCCCCC"/>
            </w:tcBorders>
          </w:tcPr>
          <w:p>
            <w:pPr>
              <w:spacing w:after="0"/>
              <w:rPr>
                <w:sz w:val="22"/>
                <w:szCs w:val="22"/>
                <w:color w:val="auto"/>
              </w:rPr>
            </w:pPr>
          </w:p>
        </w:tc>
        <w:tc>
          <w:tcPr>
            <w:tcW w:w="2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r>
      <w:tr>
        <w:trPr>
          <w:trHeight w:val="263"/>
        </w:trPr>
        <w:tc>
          <w:tcPr>
            <w:tcW w:w="14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58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i w:val="1"/>
                <w:iCs w:val="1"/>
                <w:color w:val="auto"/>
              </w:rPr>
              <w:t>Human Capital and Compensation Committee Chair</w:t>
            </w:r>
          </w:p>
        </w:tc>
        <w:tc>
          <w:tcPr>
            <w:tcW w:w="1800" w:type="dxa"/>
            <w:vAlign w:val="bottom"/>
            <w:tcBorders>
              <w:bottom w:val="single" w:sz="8" w:color="CCCCCC"/>
            </w:tcBorders>
            <w:shd w:val="clear" w:color="auto" w:fill="F2F2F2"/>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shd w:val="clear" w:color="auto" w:fill="F2F2F2"/>
          </w:tcPr>
          <w:p>
            <w:pPr>
              <w:ind w:left="3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tcBorders>
              <w:bottom w:val="single" w:sz="8" w:color="CCCCCC"/>
            </w:tcBorders>
            <w:shd w:val="clear" w:color="auto" w:fill="F2F2F2"/>
          </w:tcPr>
          <w:p>
            <w:pPr>
              <w:spacing w:after="0"/>
              <w:rPr>
                <w:sz w:val="22"/>
                <w:szCs w:val="22"/>
                <w:color w:val="auto"/>
              </w:rPr>
            </w:pPr>
          </w:p>
        </w:tc>
        <w:tc>
          <w:tcPr>
            <w:tcW w:w="2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w:t>
            </w:r>
          </w:p>
        </w:tc>
      </w:tr>
      <w:tr>
        <w:trPr>
          <w:trHeight w:val="264"/>
        </w:trPr>
        <w:tc>
          <w:tcPr>
            <w:tcW w:w="14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5880" w:type="dxa"/>
            <w:vAlign w:val="bottom"/>
            <w:tcBorders>
              <w:bottom w:val="single" w:sz="8" w:color="CCCCCC"/>
            </w:tcBorders>
          </w:tcPr>
          <w:p>
            <w:pPr>
              <w:ind w:left="80"/>
              <w:spacing w:after="0"/>
              <w:rPr>
                <w:sz w:val="20"/>
                <w:szCs w:val="20"/>
                <w:color w:val="auto"/>
              </w:rPr>
            </w:pPr>
            <w:r>
              <w:rPr>
                <w:rFonts w:ascii="Arial" w:cs="Arial" w:eastAsia="Arial" w:hAnsi="Arial"/>
                <w:sz w:val="14"/>
                <w:szCs w:val="14"/>
                <w:i w:val="1"/>
                <w:iCs w:val="1"/>
                <w:color w:val="auto"/>
              </w:rPr>
              <w:t>Governance Committee Chair</w:t>
            </w:r>
          </w:p>
        </w:tc>
        <w:tc>
          <w:tcPr>
            <w:tcW w:w="1800" w:type="dxa"/>
            <w:vAlign w:val="bottom"/>
            <w:tcBorders>
              <w:bottom w:val="single" w:sz="8" w:color="CCCCCC"/>
            </w:tcBorders>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tcPr>
          <w:p>
            <w:pPr>
              <w:ind w:left="3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15,000</w:t>
            </w:r>
          </w:p>
        </w:tc>
        <w:tc>
          <w:tcPr>
            <w:tcW w:w="180" w:type="dxa"/>
            <w:vAlign w:val="bottom"/>
            <w:tcBorders>
              <w:bottom w:val="single" w:sz="8" w:color="CCCCCC"/>
            </w:tcBorders>
          </w:tcPr>
          <w:p>
            <w:pPr>
              <w:spacing w:after="0"/>
              <w:rPr>
                <w:sz w:val="22"/>
                <w:szCs w:val="22"/>
                <w:color w:val="auto"/>
              </w:rPr>
            </w:pPr>
          </w:p>
        </w:tc>
        <w:tc>
          <w:tcPr>
            <w:tcW w:w="2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r>
      <w:tr>
        <w:trPr>
          <w:trHeight w:val="263"/>
        </w:trPr>
        <w:tc>
          <w:tcPr>
            <w:tcW w:w="14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58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i w:val="1"/>
                <w:iCs w:val="1"/>
                <w:color w:val="auto"/>
              </w:rPr>
              <w:t>Safety and Operations Committee Chair</w:t>
            </w:r>
          </w:p>
        </w:tc>
        <w:tc>
          <w:tcPr>
            <w:tcW w:w="1800" w:type="dxa"/>
            <w:vAlign w:val="bottom"/>
            <w:tcBorders>
              <w:bottom w:val="single" w:sz="8" w:color="CCCCCC"/>
            </w:tcBorders>
            <w:shd w:val="clear" w:color="auto" w:fill="F2F2F2"/>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shd w:val="clear" w:color="auto" w:fill="F2F2F2"/>
          </w:tcPr>
          <w:p>
            <w:pPr>
              <w:ind w:left="3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15,000</w:t>
            </w:r>
          </w:p>
        </w:tc>
        <w:tc>
          <w:tcPr>
            <w:tcW w:w="180" w:type="dxa"/>
            <w:vAlign w:val="bottom"/>
            <w:tcBorders>
              <w:bottom w:val="single" w:sz="8" w:color="CCCCCC"/>
            </w:tcBorders>
            <w:shd w:val="clear" w:color="auto" w:fill="F2F2F2"/>
          </w:tcPr>
          <w:p>
            <w:pPr>
              <w:spacing w:after="0"/>
              <w:rPr>
                <w:sz w:val="22"/>
                <w:szCs w:val="22"/>
                <w:color w:val="auto"/>
              </w:rPr>
            </w:pPr>
          </w:p>
        </w:tc>
        <w:tc>
          <w:tcPr>
            <w:tcW w:w="2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w:t>
            </w:r>
          </w:p>
        </w:tc>
      </w:tr>
      <w:tr>
        <w:trPr>
          <w:trHeight w:val="263"/>
        </w:trPr>
        <w:tc>
          <w:tcPr>
            <w:tcW w:w="602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Annual Independent Chair of the Board Supplemental Retainer</w:t>
            </w:r>
          </w:p>
        </w:tc>
        <w:tc>
          <w:tcPr>
            <w:tcW w:w="1800" w:type="dxa"/>
            <w:vAlign w:val="bottom"/>
            <w:tcBorders>
              <w:bottom w:val="single" w:sz="8" w:color="CCCCCC"/>
            </w:tcBorders>
          </w:tcPr>
          <w:p>
            <w:pPr>
              <w:ind w:left="1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CCCC"/>
            </w:tcBorders>
            <w:gridSpan w:val="2"/>
          </w:tcPr>
          <w:p>
            <w:pPr>
              <w:ind w:left="340"/>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$185,000</w:t>
            </w:r>
          </w:p>
        </w:tc>
        <w:tc>
          <w:tcPr>
            <w:tcW w:w="180" w:type="dxa"/>
            <w:vAlign w:val="bottom"/>
            <w:tcBorders>
              <w:bottom w:val="single" w:sz="8" w:color="CCCCCC"/>
            </w:tcBorders>
          </w:tcPr>
          <w:p>
            <w:pPr>
              <w:spacing w:after="0"/>
              <w:rPr>
                <w:sz w:val="22"/>
                <w:szCs w:val="22"/>
                <w:color w:val="auto"/>
              </w:rPr>
            </w:pPr>
          </w:p>
        </w:tc>
        <w:tc>
          <w:tcPr>
            <w:tcW w:w="2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Fees earned or paid in 2024 are set forth in the Fees Earned or Paid in Cash column of the Director Compensation Table.</w:t>
      </w:r>
    </w:p>
    <w:p>
      <w:pPr>
        <w:spacing w:after="0" w:line="23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Independent Chair Retainer</w:t>
      </w:r>
    </w:p>
    <w:p>
      <w:pPr>
        <w:spacing w:after="0" w:line="122" w:lineRule="exact"/>
        <w:rPr>
          <w:sz w:val="20"/>
          <w:szCs w:val="20"/>
          <w:color w:val="auto"/>
        </w:rPr>
      </w:pPr>
    </w:p>
    <w:p>
      <w:pPr>
        <w:ind w:left="740" w:right="20"/>
        <w:spacing w:after="0" w:line="265" w:lineRule="auto"/>
        <w:rPr>
          <w:sz w:val="20"/>
          <w:szCs w:val="20"/>
          <w:color w:val="auto"/>
        </w:rPr>
      </w:pPr>
      <w:r>
        <w:rPr>
          <w:rFonts w:ascii="Arial" w:cs="Arial" w:eastAsia="Arial" w:hAnsi="Arial"/>
          <w:sz w:val="16"/>
          <w:szCs w:val="16"/>
          <w:color w:val="auto"/>
        </w:rPr>
        <w:t>The Board believes that, given the important role of the Independent Chair as the leader of the Board, a retainer for the Independent Chair continues to be warranted and is generally consistent with the practice at other large public companies who have an Independent Chair. For example, the Independent Chair serves as a trusted advisor to the Chief Executive Officer, and a qualified and experienced Independent Chair supports the Company’s performance as it continues to execute on its near- and long-term strategic plan. In addition, the Independent Chair takes on additional responsibilities as discussed above in “Board Leadership.”</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Stock Plan for Outside Directors</w:t>
      </w:r>
    </w:p>
    <w:p>
      <w:pPr>
        <w:spacing w:after="0" w:line="122" w:lineRule="exact"/>
        <w:rPr>
          <w:sz w:val="20"/>
          <w:szCs w:val="20"/>
          <w:color w:val="auto"/>
        </w:rPr>
      </w:pPr>
    </w:p>
    <w:p>
      <w:pPr>
        <w:ind w:left="740" w:right="100"/>
        <w:spacing w:after="0" w:line="265" w:lineRule="auto"/>
        <w:rPr>
          <w:sz w:val="20"/>
          <w:szCs w:val="20"/>
          <w:color w:val="auto"/>
        </w:rPr>
      </w:pPr>
      <w:r>
        <w:rPr>
          <w:rFonts w:ascii="Arial" w:cs="Arial" w:eastAsia="Arial" w:hAnsi="Arial"/>
          <w:sz w:val="16"/>
          <w:szCs w:val="16"/>
          <w:color w:val="auto"/>
        </w:rPr>
        <w:t>Each non-employee director serving as of May 1, 2024 was granted an annual stock award under our Stock Plan for Outside Directors in 2024. The cash value of these awards, as of the grant date, is set annually by the Board. The number of shares awarded is then determined by dividing the cash value by the fair market value of the common stock on the grant date. In 2024, for each non-employee director serving as of May 1, 2024, the Board determined a cash value for the stock award, as of the grant date, of $170,000, resulting in a stock award to each non-employee director of 5,798 shares of common stock. The annual stock awards granted under our Stock Plan for Outside Directors are immediately fully vested upon grant.</w:t>
      </w:r>
    </w:p>
    <w:p>
      <w:pPr>
        <w:spacing w:after="0" w:line="104" w:lineRule="exact"/>
        <w:rPr>
          <w:sz w:val="20"/>
          <w:szCs w:val="20"/>
          <w:color w:val="auto"/>
        </w:rPr>
      </w:pPr>
    </w:p>
    <w:p>
      <w:pPr>
        <w:ind w:left="740" w:right="100"/>
        <w:spacing w:after="0" w:line="268" w:lineRule="auto"/>
        <w:rPr>
          <w:sz w:val="20"/>
          <w:szCs w:val="20"/>
          <w:color w:val="auto"/>
        </w:rPr>
      </w:pPr>
      <w:r>
        <w:rPr>
          <w:rFonts w:ascii="Arial" w:cs="Arial" w:eastAsia="Arial" w:hAnsi="Arial"/>
          <w:sz w:val="16"/>
          <w:szCs w:val="16"/>
          <w:color w:val="auto"/>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No such one-time, initial grants were made under the Stock Plan for Outside Directors in 2024. However, in connection with Mr. Seavers’s appointment as a member of the Board, which was effective December 31, 2024, the Board made a one-time initial grant under this provision to Mr. Seavers on January 2, 2025, with a cash value of $56,357, resulting in a stock award to Mr. Seavers of 1,790 shares of common stock.</w:t>
      </w:r>
    </w:p>
    <w:p>
      <w:pPr>
        <w:sectPr>
          <w:pgSz w:w="11900" w:h="16838" w:orient="portrait"/>
          <w:cols w:equalWidth="0" w:num="1">
            <w:col w:w="10020"/>
          </w:cols>
          <w:pgMar w:left="580" w:top="97" w:right="1299" w:bottom="1440" w:gutter="0" w:footer="0" w:header="0"/>
        </w:sectPr>
      </w:pPr>
    </w:p>
    <w:p>
      <w:pPr>
        <w:spacing w:after="0" w:line="22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Deferred Compensation Plan</w:t>
      </w:r>
    </w:p>
    <w:p>
      <w:pPr>
        <w:spacing w:after="0" w:line="122" w:lineRule="exact"/>
        <w:rPr>
          <w:sz w:val="20"/>
          <w:szCs w:val="20"/>
          <w:color w:val="auto"/>
        </w:rPr>
      </w:pPr>
    </w:p>
    <w:p>
      <w:pPr>
        <w:ind w:left="740" w:right="20"/>
        <w:spacing w:after="0" w:line="265" w:lineRule="auto"/>
        <w:rPr>
          <w:sz w:val="20"/>
          <w:szCs w:val="20"/>
          <w:color w:val="auto"/>
        </w:rPr>
      </w:pPr>
      <w:r>
        <w:rPr>
          <w:rFonts w:ascii="Arial" w:cs="Arial" w:eastAsia="Arial" w:hAnsi="Arial"/>
          <w:sz w:val="16"/>
          <w:szCs w:val="16"/>
          <w:color w:val="auto"/>
        </w:rPr>
        <w:t>We maintain a deferred compensation plan that, prior to 2023, permitted directors to elect each year to defer all or part of their annual retainer and any supplemental annual retainer for committee chairpersonship or independent chairpersonship. The plan was frozen as of January 1, 2023 such that no further compensation may be deferred under the plan after that date. However, interest continues to accrue on prior deferrals at a rate, adjusted annually, equal to the average yield during the year of the Moody’s Long-Term Corporate Bond Index plus two percent.</w:t>
      </w:r>
    </w:p>
    <w:p>
      <w:pPr>
        <w:spacing w:after="0" w:line="105" w:lineRule="exact"/>
        <w:rPr>
          <w:sz w:val="20"/>
          <w:szCs w:val="20"/>
          <w:color w:val="auto"/>
        </w:rPr>
      </w:pPr>
    </w:p>
    <w:p>
      <w:pPr>
        <w:ind w:left="740" w:right="260"/>
        <w:spacing w:after="0" w:line="304" w:lineRule="auto"/>
        <w:rPr>
          <w:sz w:val="20"/>
          <w:szCs w:val="20"/>
          <w:color w:val="auto"/>
        </w:rPr>
      </w:pPr>
      <w:r>
        <w:rPr>
          <w:rFonts w:ascii="Arial" w:cs="Arial" w:eastAsia="Arial" w:hAnsi="Arial"/>
          <w:sz w:val="16"/>
          <w:szCs w:val="16"/>
          <w:color w:val="auto"/>
        </w:rPr>
        <w:t>Directors who participated in this plan prior to 2023 could elect at the time of their deferral election to receive distributions of their deferred compensation and interest in three ways:</w:t>
      </w:r>
    </w:p>
    <w:p>
      <w:pPr>
        <w:spacing w:after="0" w:line="114" w:lineRule="exact"/>
        <w:rPr>
          <w:sz w:val="20"/>
          <w:szCs w:val="20"/>
          <w:color w:val="auto"/>
        </w:rPr>
      </w:pPr>
    </w:p>
    <w:p>
      <w:pPr>
        <w:ind w:left="740"/>
        <w:spacing w:after="0"/>
        <w:tabs>
          <w:tab w:leader="none" w:pos="9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5880735" cy="1551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80735" cy="1551305"/>
                    </a:xfrm>
                    <a:prstGeom prst="rect">
                      <a:avLst/>
                    </a:prstGeom>
                    <a:noFill/>
                  </pic:spPr>
                </pic:pic>
              </a:graphicData>
            </a:graphic>
          </wp:anchor>
        </w:drawing>
      </w:r>
    </w:p>
    <w:p>
      <w:pPr>
        <w:spacing w:after="0" w:line="188" w:lineRule="exact"/>
        <w:rPr>
          <w:sz w:val="20"/>
          <w:szCs w:val="20"/>
          <w:color w:val="auto"/>
        </w:rPr>
      </w:pPr>
    </w:p>
    <w:p>
      <w:pPr>
        <w:ind w:left="1320" w:right="500" w:hanging="157"/>
        <w:spacing w:after="0" w:line="275" w:lineRule="auto"/>
        <w:tabs>
          <w:tab w:leader="none" w:pos="1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w:t>
      </w:r>
    </w:p>
    <w:p>
      <w:pPr>
        <w:spacing w:after="0" w:line="110" w:lineRule="exact"/>
        <w:rPr>
          <w:rFonts w:ascii="Arial" w:cs="Arial" w:eastAsia="Arial" w:hAnsi="Arial"/>
          <w:sz w:val="16"/>
          <w:szCs w:val="16"/>
          <w:color w:val="auto"/>
        </w:rPr>
      </w:pPr>
    </w:p>
    <w:p>
      <w:pPr>
        <w:ind w:left="1320" w:right="660" w:hanging="157"/>
        <w:spacing w:after="0" w:line="286" w:lineRule="auto"/>
        <w:tabs>
          <w:tab w:leader="none" w:pos="1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lump sum distribution payable in the year after the year in which they reach their normal retirement date or leave the Board, whichever is later; or</w:t>
      </w:r>
    </w:p>
    <w:p>
      <w:pPr>
        <w:spacing w:after="0" w:line="101" w:lineRule="exact"/>
        <w:rPr>
          <w:rFonts w:ascii="Arial" w:cs="Arial" w:eastAsia="Arial" w:hAnsi="Arial"/>
          <w:sz w:val="16"/>
          <w:szCs w:val="16"/>
          <w:color w:val="auto"/>
        </w:rPr>
      </w:pPr>
    </w:p>
    <w:p>
      <w:pPr>
        <w:ind w:left="1320" w:right="560" w:hanging="157"/>
        <w:spacing w:after="0" w:line="286" w:lineRule="auto"/>
        <w:tabs>
          <w:tab w:leader="none" w:pos="1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15 annual installments beginning on the first of the month coincident with or next following their normal retirement date or upon leaving the Board, whichever is later.</w:t>
      </w:r>
    </w:p>
    <w:p>
      <w:pPr>
        <w:spacing w:after="0" w:line="200" w:lineRule="exact"/>
        <w:rPr>
          <w:sz w:val="20"/>
          <w:szCs w:val="20"/>
          <w:color w:val="auto"/>
        </w:rPr>
      </w:pPr>
    </w:p>
    <w:p>
      <w:pPr>
        <w:spacing w:after="0" w:line="388" w:lineRule="exact"/>
        <w:rPr>
          <w:sz w:val="20"/>
          <w:szCs w:val="20"/>
          <w:color w:val="auto"/>
        </w:rPr>
      </w:pPr>
    </w:p>
    <w:p>
      <w:pPr>
        <w:ind w:left="740" w:right="20"/>
        <w:spacing w:after="0" w:line="271" w:lineRule="auto"/>
        <w:rPr>
          <w:sz w:val="20"/>
          <w:szCs w:val="20"/>
          <w:color w:val="auto"/>
        </w:rPr>
      </w:pPr>
      <w:r>
        <w:rPr>
          <w:rFonts w:ascii="Arial" w:cs="Arial" w:eastAsia="Arial" w:hAnsi="Arial"/>
          <w:sz w:val="16"/>
          <w:szCs w:val="16"/>
          <w:color w:val="auto"/>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Other Compensation</w:t>
      </w:r>
    </w:p>
    <w:p>
      <w:pPr>
        <w:spacing w:after="0" w:line="122" w:lineRule="exact"/>
        <w:rPr>
          <w:sz w:val="20"/>
          <w:szCs w:val="20"/>
          <w:color w:val="auto"/>
        </w:rPr>
      </w:pPr>
    </w:p>
    <w:p>
      <w:pPr>
        <w:ind w:left="740" w:right="60"/>
        <w:spacing w:after="0" w:line="271" w:lineRule="auto"/>
        <w:rPr>
          <w:sz w:val="20"/>
          <w:szCs w:val="20"/>
          <w:color w:val="auto"/>
        </w:rPr>
      </w:pPr>
      <w:r>
        <w:rPr>
          <w:rFonts w:ascii="Arial" w:cs="Arial" w:eastAsia="Arial" w:hAnsi="Arial"/>
          <w:sz w:val="16"/>
          <w:szCs w:val="16"/>
          <w:color w:val="auto"/>
        </w:rPr>
        <w:t>Each director may participate in CenterPoint Energy Foundation, Inc.’s Easy Match Program (the Easy Match Program). The Easy Match Program matches dollar-for-dollar contributions made by directors and employees of CenterPoint Energy to qualified charitable contributions up to a certain amount each year. Directors may have their qualifying charitable contributions up to $50,000 per year matched under the Easy Match Program.</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Director Compensation Table</w:t>
      </w:r>
    </w:p>
    <w:p>
      <w:pPr>
        <w:spacing w:after="0" w:line="112" w:lineRule="exact"/>
        <w:rPr>
          <w:sz w:val="20"/>
          <w:szCs w:val="20"/>
          <w:color w:val="auto"/>
        </w:rPr>
      </w:pPr>
    </w:p>
    <w:p>
      <w:pPr>
        <w:ind w:left="740" w:right="120"/>
        <w:spacing w:after="0" w:line="275" w:lineRule="auto"/>
        <w:rPr>
          <w:sz w:val="20"/>
          <w:szCs w:val="20"/>
          <w:color w:val="auto"/>
        </w:rPr>
      </w:pPr>
      <w:r>
        <w:rPr>
          <w:rFonts w:ascii="Arial" w:cs="Arial" w:eastAsia="Arial" w:hAnsi="Arial"/>
          <w:sz w:val="16"/>
          <w:szCs w:val="16"/>
          <w:color w:val="auto"/>
        </w:rPr>
        <w:t>The table below and the narrative in the footnotes provide compensation amounts for our non-employee directors for 2024, as well as additional material information in connection with such amounts. For summary information on the provision of the plans and programs, refer to the “Compensation of Directors” discussion immediately preceding this table.</w:t>
      </w:r>
    </w:p>
    <w:p>
      <w:pPr>
        <w:spacing w:after="0" w:line="151"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80" w:type="dxa"/>
            <w:vAlign w:val="bottom"/>
            <w:shd w:val="clear" w:color="auto" w:fill="003763"/>
          </w:tcPr>
          <w:p>
            <w:pPr>
              <w:spacing w:after="0"/>
              <w:rPr>
                <w:sz w:val="16"/>
                <w:szCs w:val="16"/>
                <w:color w:val="auto"/>
              </w:rPr>
            </w:pPr>
          </w:p>
        </w:tc>
        <w:tc>
          <w:tcPr>
            <w:tcW w:w="2840" w:type="dxa"/>
            <w:vAlign w:val="bottom"/>
            <w:shd w:val="clear" w:color="auto" w:fill="003763"/>
          </w:tcPr>
          <w:p>
            <w:pPr>
              <w:spacing w:after="0"/>
              <w:rPr>
                <w:sz w:val="16"/>
                <w:szCs w:val="16"/>
                <w:color w:val="auto"/>
              </w:rPr>
            </w:pPr>
          </w:p>
        </w:tc>
        <w:tc>
          <w:tcPr>
            <w:tcW w:w="1420" w:type="dxa"/>
            <w:vAlign w:val="bottom"/>
            <w:shd w:val="clear" w:color="auto" w:fill="003763"/>
          </w:tcPr>
          <w:p>
            <w:pPr>
              <w:spacing w:after="0"/>
              <w:rPr>
                <w:sz w:val="16"/>
                <w:szCs w:val="16"/>
                <w:color w:val="auto"/>
              </w:rPr>
            </w:pPr>
          </w:p>
        </w:tc>
        <w:tc>
          <w:tcPr>
            <w:tcW w:w="160" w:type="dxa"/>
            <w:vAlign w:val="bottom"/>
            <w:shd w:val="clear" w:color="auto" w:fill="003763"/>
          </w:tcPr>
          <w:p>
            <w:pPr>
              <w:spacing w:after="0"/>
              <w:rPr>
                <w:sz w:val="16"/>
                <w:szCs w:val="16"/>
                <w:color w:val="auto"/>
              </w:rPr>
            </w:pPr>
          </w:p>
        </w:tc>
        <w:tc>
          <w:tcPr>
            <w:tcW w:w="600" w:type="dxa"/>
            <w:vAlign w:val="bottom"/>
            <w:shd w:val="clear" w:color="auto" w:fill="003763"/>
          </w:tcPr>
          <w:p>
            <w:pPr>
              <w:spacing w:after="0"/>
              <w:rPr>
                <w:sz w:val="16"/>
                <w:szCs w:val="16"/>
                <w:color w:val="auto"/>
              </w:rPr>
            </w:pPr>
          </w:p>
        </w:tc>
        <w:tc>
          <w:tcPr>
            <w:tcW w:w="320" w:type="dxa"/>
            <w:vAlign w:val="bottom"/>
            <w:shd w:val="clear" w:color="auto" w:fill="003763"/>
          </w:tcPr>
          <w:p>
            <w:pPr>
              <w:spacing w:after="0"/>
              <w:rPr>
                <w:sz w:val="16"/>
                <w:szCs w:val="16"/>
                <w:color w:val="auto"/>
              </w:rPr>
            </w:pPr>
          </w:p>
        </w:tc>
        <w:tc>
          <w:tcPr>
            <w:tcW w:w="480" w:type="dxa"/>
            <w:vAlign w:val="bottom"/>
            <w:shd w:val="clear" w:color="auto" w:fill="003763"/>
          </w:tcPr>
          <w:p>
            <w:pPr>
              <w:spacing w:after="0"/>
              <w:rPr>
                <w:sz w:val="16"/>
                <w:szCs w:val="16"/>
                <w:color w:val="auto"/>
              </w:rPr>
            </w:pPr>
          </w:p>
        </w:tc>
        <w:tc>
          <w:tcPr>
            <w:tcW w:w="240" w:type="dxa"/>
            <w:vAlign w:val="bottom"/>
            <w:shd w:val="clear" w:color="auto" w:fill="003763"/>
          </w:tcPr>
          <w:p>
            <w:pPr>
              <w:spacing w:after="0"/>
              <w:rPr>
                <w:sz w:val="16"/>
                <w:szCs w:val="16"/>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240" w:type="dxa"/>
            <w:vAlign w:val="bottom"/>
            <w:shd w:val="clear" w:color="auto" w:fill="003763"/>
          </w:tcPr>
          <w:p>
            <w:pPr>
              <w:spacing w:after="0"/>
              <w:rPr>
                <w:sz w:val="16"/>
                <w:szCs w:val="16"/>
                <w:color w:val="auto"/>
              </w:rPr>
            </w:pPr>
          </w:p>
        </w:tc>
        <w:tc>
          <w:tcPr>
            <w:tcW w:w="320" w:type="dxa"/>
            <w:vAlign w:val="bottom"/>
            <w:shd w:val="clear" w:color="auto" w:fill="003763"/>
          </w:tcPr>
          <w:p>
            <w:pPr>
              <w:spacing w:after="0"/>
              <w:rPr>
                <w:sz w:val="16"/>
                <w:szCs w:val="16"/>
                <w:color w:val="auto"/>
              </w:rPr>
            </w:pPr>
          </w:p>
        </w:tc>
        <w:tc>
          <w:tcPr>
            <w:tcW w:w="660" w:type="dxa"/>
            <w:vAlign w:val="bottom"/>
            <w:shd w:val="clear" w:color="auto" w:fill="003763"/>
          </w:tcPr>
          <w:p>
            <w:pPr>
              <w:spacing w:after="0"/>
              <w:rPr>
                <w:sz w:val="16"/>
                <w:szCs w:val="16"/>
                <w:color w:val="auto"/>
              </w:rPr>
            </w:pPr>
          </w:p>
        </w:tc>
        <w:tc>
          <w:tcPr>
            <w:tcW w:w="320" w:type="dxa"/>
            <w:vAlign w:val="bottom"/>
            <w:shd w:val="clear" w:color="auto" w:fill="003763"/>
          </w:tcPr>
          <w:p>
            <w:pPr>
              <w:spacing w:after="0"/>
              <w:rPr>
                <w:sz w:val="16"/>
                <w:szCs w:val="16"/>
                <w:color w:val="auto"/>
              </w:rPr>
            </w:pPr>
          </w:p>
        </w:tc>
        <w:tc>
          <w:tcPr>
            <w:tcW w:w="46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2840" w:type="dxa"/>
            <w:vAlign w:val="bottom"/>
            <w:shd w:val="clear" w:color="auto" w:fill="003763"/>
          </w:tcPr>
          <w:p>
            <w:pPr>
              <w:spacing w:after="0"/>
              <w:rPr>
                <w:sz w:val="12"/>
                <w:szCs w:val="12"/>
                <w:color w:val="auto"/>
              </w:rPr>
            </w:pPr>
          </w:p>
        </w:tc>
        <w:tc>
          <w:tcPr>
            <w:tcW w:w="142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60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Pension Value</w:t>
            </w:r>
          </w:p>
        </w:tc>
        <w:tc>
          <w:tcPr>
            <w:tcW w:w="24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46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2840" w:type="dxa"/>
            <w:vAlign w:val="bottom"/>
            <w:shd w:val="clear" w:color="auto" w:fill="003763"/>
          </w:tcPr>
          <w:p>
            <w:pPr>
              <w:spacing w:after="0"/>
              <w:rPr>
                <w:sz w:val="12"/>
                <w:szCs w:val="12"/>
                <w:color w:val="auto"/>
              </w:rPr>
            </w:pPr>
          </w:p>
        </w:tc>
        <w:tc>
          <w:tcPr>
            <w:tcW w:w="142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60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and Nonqualified</w:t>
            </w:r>
          </w:p>
        </w:tc>
        <w:tc>
          <w:tcPr>
            <w:tcW w:w="24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46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2840" w:type="dxa"/>
            <w:vAlign w:val="bottom"/>
            <w:shd w:val="clear" w:color="auto" w:fill="003763"/>
          </w:tcPr>
          <w:p>
            <w:pPr>
              <w:spacing w:after="0"/>
              <w:rPr>
                <w:sz w:val="14"/>
                <w:szCs w:val="14"/>
                <w:color w:val="auto"/>
              </w:rPr>
            </w:pPr>
          </w:p>
        </w:tc>
        <w:tc>
          <w:tcPr>
            <w:tcW w:w="1420" w:type="dxa"/>
            <w:vAlign w:val="bottom"/>
            <w:shd w:val="clear" w:color="auto" w:fill="003763"/>
          </w:tcPr>
          <w:p>
            <w:pPr>
              <w:spacing w:after="0"/>
              <w:rPr>
                <w:sz w:val="14"/>
                <w:szCs w:val="14"/>
                <w:color w:val="auto"/>
              </w:rPr>
            </w:pPr>
          </w:p>
        </w:tc>
        <w:tc>
          <w:tcPr>
            <w:tcW w:w="7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Fees Earned</w:t>
            </w:r>
          </w:p>
        </w:tc>
        <w:tc>
          <w:tcPr>
            <w:tcW w:w="320" w:type="dxa"/>
            <w:vAlign w:val="bottom"/>
            <w:shd w:val="clear" w:color="auto" w:fill="003763"/>
          </w:tcPr>
          <w:p>
            <w:pPr>
              <w:spacing w:after="0"/>
              <w:rPr>
                <w:sz w:val="14"/>
                <w:szCs w:val="14"/>
                <w:color w:val="auto"/>
              </w:rPr>
            </w:pPr>
          </w:p>
        </w:tc>
        <w:tc>
          <w:tcPr>
            <w:tcW w:w="480" w:type="dxa"/>
            <w:vAlign w:val="bottom"/>
            <w:vMerge w:val="restart"/>
            <w:shd w:val="clear" w:color="auto" w:fill="003763"/>
          </w:tcPr>
          <w:p>
            <w:pPr>
              <w:jc w:val="center"/>
              <w:ind w:right="33"/>
              <w:spacing w:after="0"/>
              <w:rPr>
                <w:sz w:val="20"/>
                <w:szCs w:val="20"/>
                <w:color w:val="auto"/>
              </w:rPr>
            </w:pPr>
            <w:r>
              <w:rPr>
                <w:rFonts w:ascii="Arial" w:cs="Arial" w:eastAsia="Arial" w:hAnsi="Arial"/>
                <w:sz w:val="13"/>
                <w:szCs w:val="13"/>
                <w:b w:val="1"/>
                <w:bCs w:val="1"/>
                <w:color w:val="FFFFFF"/>
                <w:w w:val="95"/>
              </w:rPr>
              <w:t>Stock</w:t>
            </w:r>
          </w:p>
        </w:tc>
        <w:tc>
          <w:tcPr>
            <w:tcW w:w="240" w:type="dxa"/>
            <w:vAlign w:val="bottom"/>
            <w:shd w:val="clear" w:color="auto" w:fill="003763"/>
          </w:tcPr>
          <w:p>
            <w:pPr>
              <w:spacing w:after="0"/>
              <w:rPr>
                <w:sz w:val="14"/>
                <w:szCs w:val="14"/>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Deferred</w:t>
            </w:r>
          </w:p>
        </w:tc>
        <w:tc>
          <w:tcPr>
            <w:tcW w:w="240" w:type="dxa"/>
            <w:vAlign w:val="bottom"/>
            <w:shd w:val="clear" w:color="auto" w:fill="003763"/>
          </w:tcPr>
          <w:p>
            <w:pPr>
              <w:spacing w:after="0"/>
              <w:rPr>
                <w:sz w:val="14"/>
                <w:szCs w:val="14"/>
                <w:color w:val="auto"/>
              </w:rPr>
            </w:pPr>
          </w:p>
        </w:tc>
        <w:tc>
          <w:tcPr>
            <w:tcW w:w="320" w:type="dxa"/>
            <w:vAlign w:val="bottom"/>
            <w:shd w:val="clear" w:color="auto" w:fill="003763"/>
          </w:tcPr>
          <w:p>
            <w:pPr>
              <w:spacing w:after="0"/>
              <w:rPr>
                <w:sz w:val="14"/>
                <w:szCs w:val="14"/>
                <w:color w:val="auto"/>
              </w:rPr>
            </w:pPr>
          </w:p>
        </w:tc>
        <w:tc>
          <w:tcPr>
            <w:tcW w:w="660" w:type="dxa"/>
            <w:vAlign w:val="bottom"/>
            <w:vMerge w:val="restart"/>
            <w:shd w:val="clear" w:color="auto" w:fill="003763"/>
          </w:tcPr>
          <w:p>
            <w:pPr>
              <w:jc w:val="center"/>
              <w:ind w:right="252"/>
              <w:spacing w:after="0"/>
              <w:rPr>
                <w:sz w:val="20"/>
                <w:szCs w:val="20"/>
                <w:color w:val="auto"/>
              </w:rPr>
            </w:pPr>
            <w:r>
              <w:rPr>
                <w:rFonts w:ascii="Arial" w:cs="Arial" w:eastAsia="Arial" w:hAnsi="Arial"/>
                <w:sz w:val="13"/>
                <w:szCs w:val="13"/>
                <w:b w:val="1"/>
                <w:bCs w:val="1"/>
                <w:color w:val="FFFFFF"/>
                <w:w w:val="97"/>
              </w:rPr>
              <w:t>Other</w:t>
            </w:r>
          </w:p>
        </w:tc>
        <w:tc>
          <w:tcPr>
            <w:tcW w:w="32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0" w:type="dxa"/>
            <w:vAlign w:val="bottom"/>
            <w:shd w:val="clear" w:color="auto" w:fill="003763"/>
          </w:tcPr>
          <w:p>
            <w:pPr>
              <w:spacing w:after="0"/>
              <w:rPr>
                <w:sz w:val="12"/>
                <w:szCs w:val="12"/>
                <w:color w:val="auto"/>
              </w:rPr>
            </w:pPr>
          </w:p>
        </w:tc>
        <w:tc>
          <w:tcPr>
            <w:tcW w:w="2840" w:type="dxa"/>
            <w:vAlign w:val="bottom"/>
            <w:shd w:val="clear" w:color="auto" w:fill="003763"/>
          </w:tcPr>
          <w:p>
            <w:pPr>
              <w:spacing w:after="0"/>
              <w:rPr>
                <w:sz w:val="12"/>
                <w:szCs w:val="12"/>
                <w:color w:val="auto"/>
              </w:rPr>
            </w:pPr>
          </w:p>
        </w:tc>
        <w:tc>
          <w:tcPr>
            <w:tcW w:w="142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114"/>
              <w:spacing w:after="0" w:line="139" w:lineRule="exact"/>
              <w:rPr>
                <w:sz w:val="20"/>
                <w:szCs w:val="20"/>
                <w:color w:val="auto"/>
              </w:rPr>
            </w:pPr>
            <w:r>
              <w:rPr>
                <w:rFonts w:ascii="Arial" w:cs="Arial" w:eastAsia="Arial" w:hAnsi="Arial"/>
                <w:sz w:val="13"/>
                <w:szCs w:val="13"/>
                <w:b w:val="1"/>
                <w:bCs w:val="1"/>
                <w:color w:val="FFFFFF"/>
                <w:w w:val="95"/>
              </w:rPr>
              <w:t>or Paid</w:t>
            </w:r>
          </w:p>
        </w:tc>
        <w:tc>
          <w:tcPr>
            <w:tcW w:w="320" w:type="dxa"/>
            <w:vAlign w:val="bottom"/>
            <w:shd w:val="clear" w:color="auto" w:fill="003763"/>
          </w:tcPr>
          <w:p>
            <w:pPr>
              <w:spacing w:after="0"/>
              <w:rPr>
                <w:sz w:val="12"/>
                <w:szCs w:val="12"/>
                <w:color w:val="auto"/>
              </w:rPr>
            </w:pPr>
          </w:p>
        </w:tc>
        <w:tc>
          <w:tcPr>
            <w:tcW w:w="480" w:type="dxa"/>
            <w:vAlign w:val="bottom"/>
            <w:vMerge w:val="continue"/>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1040" w:type="dxa"/>
            <w:vAlign w:val="bottom"/>
            <w:gridSpan w:val="2"/>
            <w:shd w:val="clear" w:color="auto" w:fill="003763"/>
          </w:tcPr>
          <w:p>
            <w:pPr>
              <w:jc w:val="center"/>
              <w:spacing w:after="0" w:line="139" w:lineRule="exact"/>
              <w:rPr>
                <w:sz w:val="20"/>
                <w:szCs w:val="20"/>
                <w:color w:val="auto"/>
              </w:rPr>
            </w:pPr>
            <w:r>
              <w:rPr>
                <w:rFonts w:ascii="Arial" w:cs="Arial" w:eastAsia="Arial" w:hAnsi="Arial"/>
                <w:sz w:val="13"/>
                <w:szCs w:val="13"/>
                <w:b w:val="1"/>
                <w:bCs w:val="1"/>
                <w:color w:val="FFFFFF"/>
                <w:w w:val="97"/>
              </w:rPr>
              <w:t>Compensation</w:t>
            </w:r>
          </w:p>
        </w:tc>
        <w:tc>
          <w:tcPr>
            <w:tcW w:w="24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660" w:type="dxa"/>
            <w:vAlign w:val="bottom"/>
            <w:vMerge w:val="continue"/>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460" w:type="dxa"/>
            <w:vAlign w:val="bottom"/>
            <w:vMerge w:val="restart"/>
            <w:shd w:val="clear" w:color="auto" w:fill="003763"/>
          </w:tcPr>
          <w:p>
            <w:pPr>
              <w:jc w:val="right"/>
              <w:ind w:right="74"/>
              <w:spacing w:after="0"/>
              <w:rPr>
                <w:sz w:val="20"/>
                <w:szCs w:val="20"/>
                <w:color w:val="auto"/>
              </w:rPr>
            </w:pPr>
            <w:r>
              <w:rPr>
                <w:rFonts w:ascii="Arial" w:cs="Arial" w:eastAsia="Arial" w:hAnsi="Arial"/>
                <w:sz w:val="13"/>
                <w:szCs w:val="13"/>
                <w:b w:val="1"/>
                <w:bCs w:val="1"/>
                <w:color w:val="FFFFFF"/>
                <w:w w:val="96"/>
              </w:rPr>
              <w:t>Total</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003763"/>
          </w:tcPr>
          <w:p>
            <w:pPr>
              <w:spacing w:after="0"/>
              <w:rPr>
                <w:sz w:val="13"/>
                <w:szCs w:val="13"/>
                <w:color w:val="auto"/>
              </w:rPr>
            </w:pPr>
          </w:p>
        </w:tc>
        <w:tc>
          <w:tcPr>
            <w:tcW w:w="2840" w:type="dxa"/>
            <w:vAlign w:val="bottom"/>
            <w:shd w:val="clear" w:color="auto" w:fill="003763"/>
          </w:tcPr>
          <w:p>
            <w:pPr>
              <w:spacing w:after="0"/>
              <w:rPr>
                <w:sz w:val="13"/>
                <w:szCs w:val="13"/>
                <w:color w:val="auto"/>
              </w:rPr>
            </w:pPr>
          </w:p>
        </w:tc>
        <w:tc>
          <w:tcPr>
            <w:tcW w:w="1420" w:type="dxa"/>
            <w:vAlign w:val="bottom"/>
            <w:shd w:val="clear" w:color="auto" w:fill="003763"/>
          </w:tcPr>
          <w:p>
            <w:pPr>
              <w:spacing w:after="0"/>
              <w:rPr>
                <w:sz w:val="13"/>
                <w:szCs w:val="13"/>
                <w:color w:val="auto"/>
              </w:rPr>
            </w:pPr>
          </w:p>
        </w:tc>
        <w:tc>
          <w:tcPr>
            <w:tcW w:w="760" w:type="dxa"/>
            <w:vAlign w:val="bottom"/>
            <w:gridSpan w:val="2"/>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89"/>
              </w:rPr>
              <w:t>in Cash</w:t>
            </w:r>
            <w:r>
              <w:rPr>
                <w:rFonts w:ascii="Arial" w:cs="Arial" w:eastAsia="Arial" w:hAnsi="Arial"/>
                <w:sz w:val="16"/>
                <w:szCs w:val="16"/>
                <w:b w:val="1"/>
                <w:bCs w:val="1"/>
                <w:color w:val="FFFFFF"/>
                <w:w w:val="89"/>
                <w:vertAlign w:val="superscript"/>
              </w:rPr>
              <w:t>(1)</w:t>
            </w:r>
          </w:p>
        </w:tc>
        <w:tc>
          <w:tcPr>
            <w:tcW w:w="800" w:type="dxa"/>
            <w:vAlign w:val="bottom"/>
            <w:gridSpan w:val="2"/>
            <w:shd w:val="clear" w:color="auto" w:fill="003763"/>
          </w:tcPr>
          <w:p>
            <w:pPr>
              <w:jc w:val="center"/>
              <w:ind w:left="180"/>
              <w:spacing w:after="0" w:line="158" w:lineRule="exact"/>
              <w:rPr>
                <w:sz w:val="20"/>
                <w:szCs w:val="20"/>
                <w:color w:val="auto"/>
              </w:rPr>
            </w:pPr>
            <w:r>
              <w:rPr>
                <w:rFonts w:ascii="Arial" w:cs="Arial" w:eastAsia="Arial" w:hAnsi="Arial"/>
                <w:sz w:val="13"/>
                <w:szCs w:val="13"/>
                <w:b w:val="1"/>
                <w:bCs w:val="1"/>
                <w:color w:val="FFFFFF"/>
                <w:w w:val="93"/>
              </w:rPr>
              <w:t>Awards</w:t>
            </w:r>
            <w:r>
              <w:rPr>
                <w:rFonts w:ascii="Arial" w:cs="Arial" w:eastAsia="Arial" w:hAnsi="Arial"/>
                <w:sz w:val="16"/>
                <w:szCs w:val="16"/>
                <w:b w:val="1"/>
                <w:bCs w:val="1"/>
                <w:color w:val="FFFFFF"/>
                <w:w w:val="93"/>
                <w:vertAlign w:val="superscript"/>
              </w:rPr>
              <w:t>(2)</w:t>
            </w:r>
          </w:p>
        </w:tc>
        <w:tc>
          <w:tcPr>
            <w:tcW w:w="240" w:type="dxa"/>
            <w:vAlign w:val="bottom"/>
            <w:shd w:val="clear" w:color="auto" w:fill="003763"/>
          </w:tcPr>
          <w:p>
            <w:pPr>
              <w:spacing w:after="0"/>
              <w:rPr>
                <w:sz w:val="13"/>
                <w:szCs w:val="13"/>
                <w:color w:val="auto"/>
              </w:rPr>
            </w:pPr>
          </w:p>
        </w:tc>
        <w:tc>
          <w:tcPr>
            <w:tcW w:w="1040" w:type="dxa"/>
            <w:vAlign w:val="bottom"/>
            <w:gridSpan w:val="2"/>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3"/>
              </w:rPr>
              <w:t>Earnings</w:t>
            </w:r>
            <w:r>
              <w:rPr>
                <w:rFonts w:ascii="Arial" w:cs="Arial" w:eastAsia="Arial" w:hAnsi="Arial"/>
                <w:sz w:val="16"/>
                <w:szCs w:val="16"/>
                <w:b w:val="1"/>
                <w:bCs w:val="1"/>
                <w:color w:val="FFFFFF"/>
                <w:w w:val="93"/>
                <w:vertAlign w:val="superscript"/>
              </w:rPr>
              <w:t>(3)</w:t>
            </w:r>
          </w:p>
        </w:tc>
        <w:tc>
          <w:tcPr>
            <w:tcW w:w="240" w:type="dxa"/>
            <w:vAlign w:val="bottom"/>
            <w:shd w:val="clear" w:color="auto" w:fill="003763"/>
          </w:tcPr>
          <w:p>
            <w:pPr>
              <w:spacing w:after="0"/>
              <w:rPr>
                <w:sz w:val="13"/>
                <w:szCs w:val="13"/>
                <w:color w:val="auto"/>
              </w:rPr>
            </w:pPr>
          </w:p>
        </w:tc>
        <w:tc>
          <w:tcPr>
            <w:tcW w:w="980" w:type="dxa"/>
            <w:vAlign w:val="bottom"/>
            <w:gridSpan w:val="2"/>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2"/>
              </w:rPr>
              <w:t>Compensation</w:t>
            </w:r>
            <w:r>
              <w:rPr>
                <w:rFonts w:ascii="Arial" w:cs="Arial" w:eastAsia="Arial" w:hAnsi="Arial"/>
                <w:sz w:val="16"/>
                <w:szCs w:val="16"/>
                <w:b w:val="1"/>
                <w:bCs w:val="1"/>
                <w:color w:val="FFFFFF"/>
                <w:w w:val="92"/>
                <w:vertAlign w:val="superscript"/>
              </w:rPr>
              <w:t>(4)</w:t>
            </w:r>
          </w:p>
        </w:tc>
        <w:tc>
          <w:tcPr>
            <w:tcW w:w="320" w:type="dxa"/>
            <w:vAlign w:val="bottom"/>
            <w:shd w:val="clear" w:color="auto" w:fill="003763"/>
          </w:tcPr>
          <w:p>
            <w:pPr>
              <w:spacing w:after="0"/>
              <w:rPr>
                <w:sz w:val="13"/>
                <w:szCs w:val="13"/>
                <w:color w:val="auto"/>
              </w:rPr>
            </w:pPr>
          </w:p>
        </w:tc>
        <w:tc>
          <w:tcPr>
            <w:tcW w:w="460" w:type="dxa"/>
            <w:vAlign w:val="bottom"/>
            <w:vMerge w:val="continue"/>
            <w:shd w:val="clear" w:color="auto" w:fill="003763"/>
          </w:tcPr>
          <w:p>
            <w:pPr>
              <w:spacing w:after="0"/>
              <w:rPr>
                <w:sz w:val="13"/>
                <w:szCs w:val="13"/>
                <w:color w:val="auto"/>
              </w:rPr>
            </w:pPr>
          </w:p>
        </w:tc>
        <w:tc>
          <w:tcPr>
            <w:tcW w:w="80" w:type="dxa"/>
            <w:vAlign w:val="bottom"/>
            <w:shd w:val="clear" w:color="auto" w:fill="00376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20" w:type="dxa"/>
            <w:vAlign w:val="bottom"/>
            <w:gridSpan w:val="2"/>
            <w:shd w:val="clear" w:color="auto" w:fill="003763"/>
          </w:tcPr>
          <w:p>
            <w:pPr>
              <w:ind w:left="4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Name</w:t>
            </w:r>
          </w:p>
        </w:tc>
        <w:tc>
          <w:tcPr>
            <w:tcW w:w="1420" w:type="dxa"/>
            <w:vAlign w:val="bottom"/>
            <w:shd w:val="clear" w:color="auto" w:fill="003763"/>
          </w:tcPr>
          <w:p>
            <w:pPr>
              <w:ind w:left="1260"/>
              <w:spacing w:after="0"/>
              <w:rPr>
                <w:sz w:val="20"/>
                <w:szCs w:val="20"/>
                <w:color w:val="auto"/>
              </w:rPr>
            </w:pPr>
            <w:r>
              <w:rPr>
                <w:rFonts w:ascii="Arial" w:cs="Arial" w:eastAsia="Arial" w:hAnsi="Arial"/>
                <w:sz w:val="13"/>
                <w:szCs w:val="13"/>
                <w:b w:val="1"/>
                <w:bCs w:val="1"/>
                <w:color w:val="FFFFFF"/>
              </w:rPr>
              <w:t>​ ​</w:t>
            </w:r>
          </w:p>
        </w:tc>
        <w:tc>
          <w:tcPr>
            <w:tcW w:w="160" w:type="dxa"/>
            <w:vAlign w:val="bottom"/>
            <w:shd w:val="clear" w:color="auto" w:fill="003763"/>
          </w:tcPr>
          <w:p>
            <w:pPr>
              <w:spacing w:after="0"/>
              <w:rPr>
                <w:sz w:val="19"/>
                <w:szCs w:val="19"/>
                <w:color w:val="auto"/>
              </w:rPr>
            </w:pPr>
          </w:p>
        </w:tc>
        <w:tc>
          <w:tcPr>
            <w:tcW w:w="600" w:type="dxa"/>
            <w:vAlign w:val="bottom"/>
            <w:shd w:val="clear" w:color="auto" w:fill="003763"/>
          </w:tcPr>
          <w:p>
            <w:pPr>
              <w:jc w:val="center"/>
              <w:ind w:right="74"/>
              <w:spacing w:after="0"/>
              <w:rPr>
                <w:sz w:val="20"/>
                <w:szCs w:val="20"/>
                <w:color w:val="auto"/>
              </w:rPr>
            </w:pPr>
            <w:r>
              <w:rPr>
                <w:rFonts w:ascii="Arial" w:cs="Arial" w:eastAsia="Arial" w:hAnsi="Arial"/>
                <w:sz w:val="13"/>
                <w:szCs w:val="13"/>
                <w:b w:val="1"/>
                <w:bCs w:val="1"/>
                <w:color w:val="FFFFFF"/>
                <w:w w:val="87"/>
              </w:rPr>
              <w:t>($)</w:t>
            </w:r>
          </w:p>
        </w:tc>
        <w:tc>
          <w:tcPr>
            <w:tcW w:w="320" w:type="dxa"/>
            <w:vAlign w:val="bottom"/>
            <w:shd w:val="clear" w:color="auto" w:fill="003763"/>
          </w:tcPr>
          <w:p>
            <w:pPr>
              <w:jc w:val="right"/>
              <w:ind w:right="40"/>
              <w:spacing w:after="0"/>
              <w:rPr>
                <w:sz w:val="20"/>
                <w:szCs w:val="20"/>
                <w:color w:val="auto"/>
              </w:rPr>
            </w:pPr>
            <w:r>
              <w:rPr>
                <w:rFonts w:ascii="Arial" w:cs="Arial" w:eastAsia="Arial" w:hAnsi="Arial"/>
                <w:sz w:val="13"/>
                <w:szCs w:val="13"/>
                <w:b w:val="1"/>
                <w:bCs w:val="1"/>
                <w:color w:val="FFFFFF"/>
              </w:rPr>
              <w:t>​ ​</w:t>
            </w:r>
          </w:p>
        </w:tc>
        <w:tc>
          <w:tcPr>
            <w:tcW w:w="4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2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420" w:type="dxa"/>
            <w:vAlign w:val="bottom"/>
            <w:shd w:val="clear" w:color="auto" w:fill="003763"/>
          </w:tcPr>
          <w:p>
            <w:pPr>
              <w:spacing w:after="0"/>
              <w:rPr>
                <w:sz w:val="19"/>
                <w:szCs w:val="19"/>
                <w:color w:val="auto"/>
              </w:rPr>
            </w:pPr>
          </w:p>
        </w:tc>
        <w:tc>
          <w:tcPr>
            <w:tcW w:w="620" w:type="dxa"/>
            <w:vAlign w:val="bottom"/>
            <w:shd w:val="clear" w:color="auto" w:fill="003763"/>
          </w:tcPr>
          <w:p>
            <w:pPr>
              <w:jc w:val="center"/>
              <w:ind w:right="329"/>
              <w:spacing w:after="0"/>
              <w:rPr>
                <w:sz w:val="20"/>
                <w:szCs w:val="20"/>
                <w:color w:val="auto"/>
              </w:rPr>
            </w:pPr>
            <w:r>
              <w:rPr>
                <w:rFonts w:ascii="Arial" w:cs="Arial" w:eastAsia="Arial" w:hAnsi="Arial"/>
                <w:sz w:val="13"/>
                <w:szCs w:val="13"/>
                <w:b w:val="1"/>
                <w:bCs w:val="1"/>
                <w:color w:val="FFFFFF"/>
                <w:w w:val="87"/>
              </w:rPr>
              <w:t>($)</w:t>
            </w:r>
          </w:p>
        </w:tc>
        <w:tc>
          <w:tcPr>
            <w:tcW w:w="2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320" w:type="dxa"/>
            <w:vAlign w:val="bottom"/>
            <w:shd w:val="clear" w:color="auto" w:fill="003763"/>
          </w:tcPr>
          <w:p>
            <w:pPr>
              <w:spacing w:after="0"/>
              <w:rPr>
                <w:sz w:val="19"/>
                <w:szCs w:val="19"/>
                <w:color w:val="auto"/>
              </w:rPr>
            </w:pPr>
          </w:p>
        </w:tc>
        <w:tc>
          <w:tcPr>
            <w:tcW w:w="660" w:type="dxa"/>
            <w:vAlign w:val="bottom"/>
            <w:shd w:val="clear" w:color="auto" w:fill="003763"/>
          </w:tcPr>
          <w:p>
            <w:pPr>
              <w:jc w:val="center"/>
              <w:ind w:right="232"/>
              <w:spacing w:after="0"/>
              <w:rPr>
                <w:sz w:val="20"/>
                <w:szCs w:val="20"/>
                <w:color w:val="auto"/>
              </w:rPr>
            </w:pPr>
            <w:r>
              <w:rPr>
                <w:rFonts w:ascii="Arial" w:cs="Arial" w:eastAsia="Arial" w:hAnsi="Arial"/>
                <w:sz w:val="13"/>
                <w:szCs w:val="13"/>
                <w:b w:val="1"/>
                <w:bCs w:val="1"/>
                <w:color w:val="FFFFFF"/>
              </w:rPr>
              <w:t>($)</w:t>
            </w:r>
          </w:p>
        </w:tc>
        <w:tc>
          <w:tcPr>
            <w:tcW w:w="320" w:type="dxa"/>
            <w:vAlign w:val="bottom"/>
            <w:shd w:val="clear" w:color="auto" w:fill="003763"/>
          </w:tcPr>
          <w:p>
            <w:pPr>
              <w:jc w:val="right"/>
              <w:ind w:right="40"/>
              <w:spacing w:after="0"/>
              <w:rPr>
                <w:sz w:val="20"/>
                <w:szCs w:val="20"/>
                <w:color w:val="auto"/>
              </w:rPr>
            </w:pPr>
            <w:r>
              <w:rPr>
                <w:rFonts w:ascii="Arial" w:cs="Arial" w:eastAsia="Arial" w:hAnsi="Arial"/>
                <w:sz w:val="13"/>
                <w:szCs w:val="13"/>
                <w:b w:val="1"/>
                <w:bCs w:val="1"/>
                <w:color w:val="FFFFFF"/>
              </w:rPr>
              <w:t>​ ​</w:t>
            </w:r>
          </w:p>
        </w:tc>
        <w:tc>
          <w:tcPr>
            <w:tcW w:w="460" w:type="dxa"/>
            <w:vAlign w:val="bottom"/>
            <w:shd w:val="clear" w:color="auto" w:fill="003763"/>
          </w:tcPr>
          <w:p>
            <w:pPr>
              <w:jc w:val="right"/>
              <w:ind w:right="114"/>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Wendy Montoya Cloonan</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​137,527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​11,750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​319,277</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Earl M. Cummings</w:t>
            </w:r>
            <w:r>
              <w:rPr>
                <w:rFonts w:ascii="Arial" w:cs="Arial" w:eastAsia="Arial" w:hAnsi="Arial"/>
                <w:sz w:val="17"/>
                <w:szCs w:val="17"/>
                <w:color w:val="auto"/>
                <w:vertAlign w:val="superscript"/>
              </w:rPr>
              <w:t>(5)</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​173,723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​25,000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​368,723</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Barbara J. Duganier</w:t>
            </w:r>
            <w:r>
              <w:rPr>
                <w:rFonts w:ascii="Arial" w:cs="Arial" w:eastAsia="Arial" w:hAnsi="Arial"/>
                <w:sz w:val="17"/>
                <w:szCs w:val="17"/>
                <w:color w:val="auto"/>
                <w:vertAlign w:val="superscript"/>
              </w:rPr>
              <w:t>(6)</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 98,791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​25,000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​293,791</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Christopher H. Franklin</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​135,220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​50,000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​355,220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Raquelle W. Lewis</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1040" w:type="dxa"/>
            <w:vAlign w:val="bottom"/>
            <w:gridSpan w:val="2"/>
          </w:tcPr>
          <w:p>
            <w:pPr>
              <w:ind w:left="340"/>
              <w:spacing w:after="0"/>
              <w:rPr>
                <w:sz w:val="20"/>
                <w:szCs w:val="20"/>
                <w:color w:val="auto"/>
              </w:rPr>
            </w:pPr>
            <w:r>
              <w:rPr>
                <w:rFonts w:ascii="Arial" w:cs="Arial" w:eastAsia="Arial" w:hAnsi="Arial"/>
                <w:sz w:val="14"/>
                <w:szCs w:val="14"/>
                <w:color w:val="auto"/>
              </w:rPr>
              <w:t>​2,450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​15,300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​312,750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Thaddeus J. Malik</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​38,279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​333,279</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Martin H. Nesbitt</w:t>
            </w:r>
            <w:r>
              <w:rPr>
                <w:rFonts w:ascii="Arial" w:cs="Arial" w:eastAsia="Arial" w:hAnsi="Arial"/>
                <w:sz w:val="17"/>
                <w:szCs w:val="17"/>
                <w:color w:val="auto"/>
                <w:vertAlign w:val="superscript"/>
              </w:rPr>
              <w:t>(7)</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 39,835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39,835</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Theodore F. Pound</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​145,000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​315,000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Ricky A. Raven</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​20,000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​315,000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line="183" w:lineRule="exact"/>
              <w:rPr>
                <w:sz w:val="20"/>
                <w:szCs w:val="20"/>
                <w:color w:val="auto"/>
              </w:rPr>
            </w:pPr>
            <w:r>
              <w:rPr>
                <w:rFonts w:ascii="Arial" w:cs="Arial" w:eastAsia="Arial" w:hAnsi="Arial"/>
                <w:sz w:val="14"/>
                <w:szCs w:val="14"/>
                <w:color w:val="auto"/>
              </w:rPr>
              <w:t>Dean L. Seavers</w:t>
            </w:r>
            <w:r>
              <w:rPr>
                <w:rFonts w:ascii="Arial" w:cs="Arial" w:eastAsia="Arial" w:hAnsi="Arial"/>
                <w:sz w:val="17"/>
                <w:szCs w:val="17"/>
                <w:color w:val="auto"/>
                <w:vertAlign w:val="superscript"/>
              </w:rPr>
              <w:t>(8)</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20" w:type="dxa"/>
            <w:vAlign w:val="bottom"/>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tcPr>
          <w:p>
            <w:pPr>
              <w:spacing w:after="0"/>
              <w:rPr>
                <w:sz w:val="9"/>
                <w:szCs w:val="9"/>
                <w:color w:val="auto"/>
              </w:rPr>
            </w:pPr>
          </w:p>
        </w:tc>
        <w:tc>
          <w:tcPr>
            <w:tcW w:w="2840" w:type="dxa"/>
            <w:vAlign w:val="bottom"/>
            <w:tcBorders>
              <w:bottom w:val="single" w:sz="8" w:color="CCCCCC"/>
            </w:tcBorders>
          </w:tcPr>
          <w:p>
            <w:pPr>
              <w:spacing w:after="0"/>
              <w:rPr>
                <w:sz w:val="9"/>
                <w:szCs w:val="9"/>
                <w:color w:val="auto"/>
              </w:rPr>
            </w:pPr>
          </w:p>
        </w:tc>
        <w:tc>
          <w:tcPr>
            <w:tcW w:w="1420" w:type="dxa"/>
            <w:vAlign w:val="bottom"/>
            <w:tcBorders>
              <w:bottom w:val="single" w:sz="8" w:color="CCCCCC"/>
            </w:tcBorders>
            <w:vMerge w:val="continue"/>
          </w:tcPr>
          <w:p>
            <w:pPr>
              <w:spacing w:after="0"/>
              <w:rPr>
                <w:sz w:val="9"/>
                <w:szCs w:val="9"/>
                <w:color w:val="auto"/>
              </w:rPr>
            </w:pPr>
          </w:p>
        </w:tc>
        <w:tc>
          <w:tcPr>
            <w:tcW w:w="160" w:type="dxa"/>
            <w:vAlign w:val="bottom"/>
            <w:tcBorders>
              <w:bottom w:val="single" w:sz="8" w:color="CCCCCC"/>
            </w:tcBorders>
          </w:tcPr>
          <w:p>
            <w:pPr>
              <w:ind w:left="120"/>
              <w:spacing w:after="0" w:line="108"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CCCCCC"/>
            </w:tcBorders>
          </w:tcPr>
          <w:p>
            <w:pPr>
              <w:spacing w:after="0"/>
              <w:rPr>
                <w:sz w:val="9"/>
                <w:szCs w:val="9"/>
                <w:color w:val="auto"/>
              </w:rPr>
            </w:pPr>
          </w:p>
        </w:tc>
        <w:tc>
          <w:tcPr>
            <w:tcW w:w="32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 ​ ​ ​</w:t>
            </w:r>
          </w:p>
        </w:tc>
        <w:tc>
          <w:tcPr>
            <w:tcW w:w="480" w:type="dxa"/>
            <w:vAlign w:val="bottom"/>
            <w:tcBorders>
              <w:bottom w:val="single" w:sz="8" w:color="CCCCCC"/>
            </w:tcBorders>
          </w:tcPr>
          <w:p>
            <w:pPr>
              <w:spacing w:after="0"/>
              <w:rPr>
                <w:sz w:val="9"/>
                <w:szCs w:val="9"/>
                <w:color w:val="auto"/>
              </w:rPr>
            </w:pPr>
          </w:p>
        </w:tc>
        <w:tc>
          <w:tcPr>
            <w:tcW w:w="240" w:type="dxa"/>
            <w:vAlign w:val="bottom"/>
            <w:tcBorders>
              <w:bottom w:val="single" w:sz="8" w:color="CCCCCC"/>
            </w:tcBorders>
            <w:vMerge w:val="continue"/>
          </w:tcPr>
          <w:p>
            <w:pPr>
              <w:spacing w:after="0"/>
              <w:rPr>
                <w:sz w:val="9"/>
                <w:szCs w:val="9"/>
                <w:color w:val="auto"/>
              </w:rPr>
            </w:pPr>
          </w:p>
        </w:tc>
        <w:tc>
          <w:tcPr>
            <w:tcW w:w="420" w:type="dxa"/>
            <w:vAlign w:val="bottom"/>
            <w:tcBorders>
              <w:bottom w:val="single" w:sz="8" w:color="CCCCCC"/>
            </w:tcBorders>
          </w:tcPr>
          <w:p>
            <w:pPr>
              <w:ind w:left="340"/>
              <w:spacing w:after="0" w:line="108"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CCCCCC"/>
            </w:tcBorders>
          </w:tcPr>
          <w:p>
            <w:pPr>
              <w:spacing w:after="0"/>
              <w:rPr>
                <w:sz w:val="9"/>
                <w:szCs w:val="9"/>
                <w:color w:val="auto"/>
              </w:rPr>
            </w:pPr>
          </w:p>
        </w:tc>
        <w:tc>
          <w:tcPr>
            <w:tcW w:w="240" w:type="dxa"/>
            <w:vAlign w:val="bottom"/>
            <w:tcBorders>
              <w:bottom w:val="single" w:sz="8" w:color="CCCCCC"/>
            </w:tcBorders>
            <w:vMerge w:val="continue"/>
          </w:tcPr>
          <w:p>
            <w:pPr>
              <w:spacing w:after="0"/>
              <w:rPr>
                <w:sz w:val="9"/>
                <w:szCs w:val="9"/>
                <w:color w:val="auto"/>
              </w:rPr>
            </w:pPr>
          </w:p>
        </w:tc>
        <w:tc>
          <w:tcPr>
            <w:tcW w:w="320" w:type="dxa"/>
            <w:vAlign w:val="bottom"/>
            <w:tcBorders>
              <w:bottom w:val="single" w:sz="8" w:color="CCCCCC"/>
            </w:tcBorders>
          </w:tcPr>
          <w:p>
            <w:pPr>
              <w:ind w:left="280"/>
              <w:spacing w:after="0" w:line="108"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CCCCCC"/>
            </w:tcBorders>
          </w:tcPr>
          <w:p>
            <w:pPr>
              <w:spacing w:after="0"/>
              <w:rPr>
                <w:sz w:val="9"/>
                <w:szCs w:val="9"/>
                <w:color w:val="auto"/>
              </w:rPr>
            </w:pPr>
          </w:p>
        </w:tc>
        <w:tc>
          <w:tcPr>
            <w:tcW w:w="32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 ​ ​</w:t>
            </w:r>
          </w:p>
        </w:tc>
        <w:tc>
          <w:tcPr>
            <w:tcW w:w="460" w:type="dxa"/>
            <w:vAlign w:val="bottom"/>
            <w:tcBorders>
              <w:bottom w:val="single" w:sz="8" w:color="CCCCCC"/>
            </w:tcBorders>
          </w:tcPr>
          <w:p>
            <w:pPr>
              <w:spacing w:after="0"/>
              <w:rPr>
                <w:sz w:val="9"/>
                <w:szCs w:val="9"/>
                <w:color w:val="auto"/>
              </w:rPr>
            </w:pPr>
          </w:p>
        </w:tc>
        <w:tc>
          <w:tcPr>
            <w:tcW w:w="80" w:type="dxa"/>
            <w:vAlign w:val="bottom"/>
            <w:tcBorders>
              <w:bottom w:val="single" w:sz="8" w:color="CCCC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Phillip R. Smith</w:t>
            </w:r>
            <w:r>
              <w:rPr>
                <w:rFonts w:ascii="Arial" w:cs="Arial" w:eastAsia="Arial" w:hAnsi="Arial"/>
                <w:sz w:val="17"/>
                <w:szCs w:val="17"/>
                <w:color w:val="auto"/>
                <w:vertAlign w:val="superscript"/>
              </w:rPr>
              <w:t>(9)</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​286,896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 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​457,896</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0"/>
                <w:szCs w:val="20"/>
                <w:color w:val="auto"/>
              </w:rPr>
            </w:pPr>
            <w:r>
              <w:rPr>
                <w:rFonts w:ascii="Arial" w:cs="Arial" w:eastAsia="Arial" w:hAnsi="Arial"/>
                <w:sz w:val="14"/>
                <w:szCs w:val="14"/>
                <w:color w:val="auto"/>
              </w:rPr>
              <w:t>Barry T. Smitherman</w:t>
            </w:r>
            <w:r>
              <w:rPr>
                <w:rFonts w:ascii="Arial" w:cs="Arial" w:eastAsia="Arial" w:hAnsi="Arial"/>
                <w:sz w:val="17"/>
                <w:szCs w:val="17"/>
                <w:color w:val="auto"/>
                <w:vertAlign w:val="superscript"/>
              </w:rPr>
              <w:t>(10)</w:t>
            </w:r>
          </w:p>
        </w:tc>
        <w:tc>
          <w:tcPr>
            <w:tcW w:w="1420" w:type="dxa"/>
            <w:vAlign w:val="bottom"/>
            <w:vMerge w:val="restart"/>
          </w:tcPr>
          <w:p>
            <w:pPr>
              <w:ind w:left="1260"/>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​125,000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​170,000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420" w:type="dxa"/>
            <w:vAlign w:val="bottom"/>
          </w:tcPr>
          <w:p>
            <w:pPr>
              <w:ind w:left="34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​35,125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​330,125</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840" w:type="dxa"/>
            <w:vAlign w:val="bottom"/>
            <w:tcBorders>
              <w:bottom w:val="single" w:sz="8" w:color="CCCCCC"/>
            </w:tcBorders>
          </w:tcPr>
          <w:p>
            <w:pPr>
              <w:spacing w:after="0"/>
              <w:rPr>
                <w:sz w:val="7"/>
                <w:szCs w:val="7"/>
                <w:color w:val="auto"/>
              </w:rPr>
            </w:pPr>
          </w:p>
        </w:tc>
        <w:tc>
          <w:tcPr>
            <w:tcW w:w="14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tcPr>
          <w:p>
            <w:pPr>
              <w:ind w:left="120"/>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 ​</w:t>
            </w:r>
          </w:p>
        </w:tc>
        <w:tc>
          <w:tcPr>
            <w:tcW w:w="48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420" w:type="dxa"/>
            <w:vAlign w:val="bottom"/>
            <w:tcBorders>
              <w:bottom w:val="single" w:sz="8" w:color="CCCCCC"/>
            </w:tcBorders>
          </w:tcPr>
          <w:p>
            <w:pPr>
              <w:ind w:left="340"/>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320" w:type="dxa"/>
            <w:vAlign w:val="bottom"/>
            <w:tcBorders>
              <w:bottom w:val="single" w:sz="8" w:color="CCCCCC"/>
            </w:tcBorders>
          </w:tcPr>
          <w:p>
            <w:pPr>
              <w:ind w:left="28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 ​</w:t>
            </w:r>
          </w:p>
        </w:tc>
        <w:tc>
          <w:tcPr>
            <w:tcW w:w="46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20" w:hanging="189"/>
        <w:spacing w:after="0"/>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Includes annual retainer and committee chair retainers for each director as more fully explained under “—Compensation of Directors—Retainer Fees.”</w:t>
      </w:r>
    </w:p>
    <w:p>
      <w:pPr>
        <w:spacing w:after="0" w:line="72" w:lineRule="exact"/>
        <w:rPr>
          <w:rFonts w:ascii="Arial" w:cs="Arial" w:eastAsia="Arial" w:hAnsi="Arial"/>
          <w:sz w:val="20"/>
          <w:szCs w:val="20"/>
          <w:color w:val="auto"/>
          <w:vertAlign w:val="superscript"/>
        </w:rPr>
      </w:pPr>
    </w:p>
    <w:p>
      <w:pPr>
        <w:ind w:left="920" w:right="600" w:hanging="189"/>
        <w:spacing w:after="0" w:line="193" w:lineRule="auto"/>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Reported amounts in the table represent the aggregate grant date fair value of awards computed in accordance with Financial Accounting Standards Board Accounting Standards Codification Topic 718: Compensation—Stock Compensation (FASB ASC Topic 718).</w:t>
      </w:r>
    </w:p>
    <w:p>
      <w:pPr>
        <w:spacing w:after="0" w:line="91" w:lineRule="exact"/>
        <w:rPr>
          <w:rFonts w:ascii="Arial" w:cs="Arial" w:eastAsia="Arial" w:hAnsi="Arial"/>
          <w:sz w:val="20"/>
          <w:szCs w:val="20"/>
          <w:color w:val="auto"/>
          <w:vertAlign w:val="superscript"/>
        </w:rPr>
      </w:pPr>
    </w:p>
    <w:p>
      <w:pPr>
        <w:ind w:left="920" w:right="100"/>
        <w:spacing w:after="0" w:line="250" w:lineRule="auto"/>
        <w:rPr>
          <w:rFonts w:ascii="Arial" w:cs="Arial" w:eastAsia="Arial" w:hAnsi="Arial"/>
          <w:sz w:val="20"/>
          <w:szCs w:val="20"/>
          <w:color w:val="auto"/>
          <w:vertAlign w:val="superscript"/>
        </w:rPr>
      </w:pPr>
      <w:r>
        <w:rPr>
          <w:rFonts w:ascii="Arial" w:cs="Arial" w:eastAsia="Arial" w:hAnsi="Arial"/>
          <w:sz w:val="13"/>
          <w:szCs w:val="13"/>
          <w:color w:val="auto"/>
        </w:rPr>
        <w:t>Each non-employee director then in office as of May 1, 2024 received an annual value-based stock award under our Stock Plan for Outside Directors in 2024. Upon the recommendation of the Governance Committee, the Board determined a cash value for each award, as of the grant date, of $170,000, resulting in a stock award of 5,798 shares of common stock for each non-employee director then in office as of May 1, 2024, based on the market price of our common stock on the New York Stock Exchange Composite Tape on that date of $29.32 per share. No stock awards under our Stock Plan for Outside Directors were outstanding at December 31, 2024.</w:t>
      </w:r>
    </w:p>
    <w:p>
      <w:pPr>
        <w:ind w:left="920" w:hanging="189"/>
        <w:spacing w:after="0"/>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In 2024, Ms. Lewis accrued above-market earnings on her deferred compensation account balance of $2,450.</w:t>
      </w:r>
    </w:p>
    <w:p>
      <w:pPr>
        <w:spacing w:after="0" w:line="61" w:lineRule="exact"/>
        <w:rPr>
          <w:rFonts w:ascii="Arial" w:cs="Arial" w:eastAsia="Arial" w:hAnsi="Arial"/>
          <w:sz w:val="20"/>
          <w:szCs w:val="20"/>
          <w:color w:val="auto"/>
          <w:vertAlign w:val="superscript"/>
        </w:rPr>
      </w:pPr>
    </w:p>
    <w:p>
      <w:pPr>
        <w:ind w:left="920" w:hanging="189"/>
        <w:spacing w:after="0" w:line="200" w:lineRule="auto"/>
        <w:tabs>
          <w:tab w:leader="none" w:pos="920" w:val="left"/>
        </w:tabs>
        <w:numPr>
          <w:ilvl w:val="0"/>
          <w:numId w:val="79"/>
        </w:numPr>
        <w:rPr>
          <w:rFonts w:ascii="Arial" w:cs="Arial" w:eastAsia="Arial" w:hAnsi="Arial"/>
          <w:sz w:val="16"/>
          <w:szCs w:val="16"/>
          <w:color w:val="auto"/>
          <w:vertAlign w:val="superscript"/>
        </w:rPr>
      </w:pPr>
      <w:r>
        <w:rPr>
          <w:rFonts w:ascii="Arial" w:cs="Arial" w:eastAsia="Arial" w:hAnsi="Arial"/>
          <w:sz w:val="11"/>
          <w:szCs w:val="11"/>
          <w:color w:val="auto"/>
        </w:rPr>
        <w:t>Other Compensation represents matching contributions made under the Easy Match Program. See “—Compensation of Directors—Other Compensation.”</w:t>
      </w:r>
    </w:p>
    <w:p>
      <w:pPr>
        <w:spacing w:after="0" w:line="76" w:lineRule="exact"/>
        <w:rPr>
          <w:rFonts w:ascii="Arial" w:cs="Arial" w:eastAsia="Arial" w:hAnsi="Arial"/>
          <w:sz w:val="16"/>
          <w:szCs w:val="16"/>
          <w:color w:val="auto"/>
          <w:vertAlign w:val="superscript"/>
        </w:rPr>
      </w:pPr>
    </w:p>
    <w:p>
      <w:pPr>
        <w:ind w:left="920" w:right="140" w:hanging="189"/>
        <w:spacing w:after="0" w:line="191" w:lineRule="auto"/>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Mr. Cummings served as Independent Chair of the Board until February 2024. The fees earned or paid in cash reflect a partial year of service as Independent Chair of the Board.</w:t>
      </w:r>
    </w:p>
    <w:p>
      <w:pPr>
        <w:ind w:left="920" w:hanging="189"/>
        <w:spacing w:after="0"/>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Ms. Duganier was elected to the Board effective April 26, 2024. The fees earned or paid in cash reflect a partial year of service.</w:t>
      </w:r>
    </w:p>
    <w:p>
      <w:pPr>
        <w:spacing w:after="0" w:line="71" w:lineRule="exact"/>
        <w:rPr>
          <w:rFonts w:ascii="Arial" w:cs="Arial" w:eastAsia="Arial" w:hAnsi="Arial"/>
          <w:sz w:val="20"/>
          <w:szCs w:val="20"/>
          <w:color w:val="auto"/>
          <w:vertAlign w:val="superscript"/>
        </w:rPr>
      </w:pPr>
    </w:p>
    <w:p>
      <w:pPr>
        <w:ind w:left="920" w:hanging="189"/>
        <w:spacing w:after="0" w:line="182" w:lineRule="auto"/>
        <w:tabs>
          <w:tab w:leader="none" w:pos="920" w:val="left"/>
        </w:tabs>
        <w:numPr>
          <w:ilvl w:val="0"/>
          <w:numId w:val="79"/>
        </w:numPr>
        <w:rPr>
          <w:rFonts w:ascii="Arial" w:cs="Arial" w:eastAsia="Arial" w:hAnsi="Arial"/>
          <w:sz w:val="18"/>
          <w:szCs w:val="18"/>
          <w:color w:val="auto"/>
          <w:vertAlign w:val="superscript"/>
        </w:rPr>
      </w:pPr>
      <w:r>
        <w:rPr>
          <w:rFonts w:ascii="Arial" w:cs="Arial" w:eastAsia="Arial" w:hAnsi="Arial"/>
          <w:sz w:val="11"/>
          <w:szCs w:val="11"/>
          <w:color w:val="auto"/>
        </w:rPr>
        <w:t>Mr. Nesbitt served on the Board until the 2024 Annual Meeting. The fees earned or paid in cash reflect a partial year of service.</w:t>
      </w:r>
    </w:p>
    <w:p>
      <w:pPr>
        <w:spacing w:after="0" w:line="62" w:lineRule="exact"/>
        <w:rPr>
          <w:rFonts w:ascii="Arial" w:cs="Arial" w:eastAsia="Arial" w:hAnsi="Arial"/>
          <w:sz w:val="18"/>
          <w:szCs w:val="18"/>
          <w:color w:val="auto"/>
          <w:vertAlign w:val="superscript"/>
        </w:rPr>
      </w:pPr>
    </w:p>
    <w:p>
      <w:pPr>
        <w:ind w:left="920" w:right="140" w:hanging="189"/>
        <w:spacing w:after="0" w:line="210" w:lineRule="auto"/>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Mr. Seavers was appointed to the Board effective December 31, 2024. In connection with his appointment as a member of the Board, the Board made a one-time initial grant under our Stock Plan for Outside Directors to Mr. Seavers on January 2, 2025, with a cash value of $56,357, resulting in a stock award to Mr. Seavers of 1,790 shares of common stock.</w:t>
      </w:r>
    </w:p>
    <w:p>
      <w:pPr>
        <w:spacing w:after="0" w:line="65" w:lineRule="exact"/>
        <w:rPr>
          <w:rFonts w:ascii="Arial" w:cs="Arial" w:eastAsia="Arial" w:hAnsi="Arial"/>
          <w:sz w:val="20"/>
          <w:szCs w:val="20"/>
          <w:color w:val="auto"/>
          <w:vertAlign w:val="superscript"/>
        </w:rPr>
      </w:pPr>
    </w:p>
    <w:p>
      <w:pPr>
        <w:ind w:left="920" w:right="260" w:hanging="189"/>
        <w:spacing w:after="0" w:line="198" w:lineRule="auto"/>
        <w:tabs>
          <w:tab w:leader="none" w:pos="920" w:val="left"/>
        </w:tabs>
        <w:numPr>
          <w:ilvl w:val="0"/>
          <w:numId w:val="79"/>
        </w:numPr>
        <w:rPr>
          <w:rFonts w:ascii="Arial" w:cs="Arial" w:eastAsia="Arial" w:hAnsi="Arial"/>
          <w:sz w:val="20"/>
          <w:szCs w:val="20"/>
          <w:color w:val="auto"/>
          <w:vertAlign w:val="superscript"/>
        </w:rPr>
      </w:pPr>
      <w:r>
        <w:rPr>
          <w:rFonts w:ascii="Arial" w:cs="Arial" w:eastAsia="Arial" w:hAnsi="Arial"/>
          <w:sz w:val="13"/>
          <w:szCs w:val="13"/>
          <w:color w:val="auto"/>
        </w:rPr>
        <w:t>Mr. Smith was appointed Independent Chair of the Board effective February 2024. The fees earned or paid in cash reflect a partial year of service as Independent Chair of the Board.</w:t>
      </w:r>
    </w:p>
    <w:p>
      <w:pPr>
        <w:spacing w:after="0" w:line="58"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79"/>
        </w:numPr>
        <w:rPr>
          <w:rFonts w:ascii="Arial" w:cs="Arial" w:eastAsia="Arial" w:hAnsi="Arial"/>
          <w:sz w:val="15"/>
          <w:szCs w:val="15"/>
          <w:color w:val="auto"/>
          <w:vertAlign w:val="superscript"/>
        </w:rPr>
      </w:pPr>
      <w:r>
        <w:rPr>
          <w:rFonts w:ascii="Arial" w:cs="Arial" w:eastAsia="Arial" w:hAnsi="Arial"/>
          <w:sz w:val="10"/>
          <w:szCs w:val="10"/>
          <w:color w:val="auto"/>
        </w:rPr>
        <w:t>Mr. Smitherman served on the Board until December 31,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Stock Ownership</w:t>
      </w: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Security Ownership of More Than Five Percent Shareholders</w:t>
      </w:r>
    </w:p>
    <w:p>
      <w:pPr>
        <w:spacing w:after="0" w:line="122" w:lineRule="exact"/>
        <w:rPr>
          <w:sz w:val="20"/>
          <w:szCs w:val="20"/>
          <w:color w:val="auto"/>
        </w:rPr>
      </w:pPr>
    </w:p>
    <w:p>
      <w:pPr>
        <w:jc w:val="both"/>
        <w:ind w:left="740" w:right="360"/>
        <w:spacing w:after="0" w:line="275" w:lineRule="auto"/>
        <w:rPr>
          <w:sz w:val="20"/>
          <w:szCs w:val="20"/>
          <w:color w:val="auto"/>
        </w:rPr>
      </w:pPr>
      <w:r>
        <w:rPr>
          <w:rFonts w:ascii="Arial" w:cs="Arial" w:eastAsia="Arial" w:hAnsi="Arial"/>
          <w:sz w:val="16"/>
          <w:szCs w:val="16"/>
          <w:color w:val="auto"/>
        </w:rPr>
        <w:t>The following table contains information with respect to the ownership of CenterPoint Energy common stock as of February 28, 2025 by each person known to the Company who is the beneficial owner of more than five percent of the outstanding common stock.</w:t>
      </w:r>
    </w:p>
    <w:p>
      <w:pPr>
        <w:spacing w:after="0" w:line="151"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4520" w:type="dxa"/>
            <w:vAlign w:val="bottom"/>
            <w:shd w:val="clear" w:color="auto" w:fill="003763"/>
          </w:tcPr>
          <w:p>
            <w:pPr>
              <w:spacing w:after="0"/>
              <w:rPr>
                <w:sz w:val="16"/>
                <w:szCs w:val="16"/>
                <w:color w:val="auto"/>
              </w:rPr>
            </w:pPr>
          </w:p>
        </w:tc>
        <w:tc>
          <w:tcPr>
            <w:tcW w:w="1720" w:type="dxa"/>
            <w:vAlign w:val="bottom"/>
            <w:shd w:val="clear" w:color="auto" w:fill="003763"/>
          </w:tcPr>
          <w:p>
            <w:pPr>
              <w:spacing w:after="0"/>
              <w:rPr>
                <w:sz w:val="16"/>
                <w:szCs w:val="16"/>
                <w:color w:val="auto"/>
              </w:rPr>
            </w:pPr>
          </w:p>
        </w:tc>
        <w:tc>
          <w:tcPr>
            <w:tcW w:w="1340" w:type="dxa"/>
            <w:vAlign w:val="bottom"/>
            <w:vMerge w:val="restart"/>
            <w:shd w:val="clear" w:color="auto" w:fill="003763"/>
          </w:tcPr>
          <w:p>
            <w:pPr>
              <w:ind w:left="100"/>
              <w:spacing w:after="0"/>
              <w:rPr>
                <w:sz w:val="20"/>
                <w:szCs w:val="20"/>
                <w:color w:val="auto"/>
              </w:rPr>
            </w:pPr>
            <w:r>
              <w:rPr>
                <w:rFonts w:ascii="Arial" w:cs="Arial" w:eastAsia="Arial" w:hAnsi="Arial"/>
                <w:sz w:val="13"/>
                <w:szCs w:val="13"/>
                <w:b w:val="1"/>
                <w:bCs w:val="1"/>
                <w:color w:val="FFFFFF"/>
              </w:rPr>
              <w:t>Shares of Common</w:t>
            </w:r>
          </w:p>
        </w:tc>
        <w:tc>
          <w:tcPr>
            <w:tcW w:w="320" w:type="dxa"/>
            <w:vAlign w:val="bottom"/>
            <w:shd w:val="clear" w:color="auto" w:fill="003763"/>
          </w:tcPr>
          <w:p>
            <w:pPr>
              <w:spacing w:after="0"/>
              <w:rPr>
                <w:sz w:val="16"/>
                <w:szCs w:val="16"/>
                <w:color w:val="auto"/>
              </w:rPr>
            </w:pPr>
          </w:p>
        </w:tc>
        <w:tc>
          <w:tcPr>
            <w:tcW w:w="12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Percent of Common</w:t>
            </w:r>
          </w:p>
        </w:tc>
        <w:tc>
          <w:tcPr>
            <w:tcW w:w="14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20" w:type="dxa"/>
            <w:vAlign w:val="bottom"/>
            <w:shd w:val="clear" w:color="auto" w:fill="003763"/>
          </w:tcPr>
          <w:p>
            <w:pPr>
              <w:spacing w:after="0"/>
              <w:rPr>
                <w:sz w:val="12"/>
                <w:szCs w:val="12"/>
                <w:color w:val="auto"/>
              </w:rPr>
            </w:pPr>
          </w:p>
        </w:tc>
        <w:tc>
          <w:tcPr>
            <w:tcW w:w="1720" w:type="dxa"/>
            <w:vAlign w:val="bottom"/>
            <w:shd w:val="clear" w:color="auto" w:fill="003763"/>
          </w:tcPr>
          <w:p>
            <w:pPr>
              <w:spacing w:after="0"/>
              <w:rPr>
                <w:sz w:val="12"/>
                <w:szCs w:val="12"/>
                <w:color w:val="auto"/>
              </w:rPr>
            </w:pPr>
          </w:p>
        </w:tc>
        <w:tc>
          <w:tcPr>
            <w:tcW w:w="1340" w:type="dxa"/>
            <w:vAlign w:val="bottom"/>
            <w:vMerge w:val="continue"/>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1220" w:type="dxa"/>
            <w:vAlign w:val="bottom"/>
            <w:shd w:val="clear" w:color="auto" w:fill="003763"/>
          </w:tcPr>
          <w:p>
            <w:pPr>
              <w:jc w:val="center"/>
              <w:spacing w:after="0" w:line="139" w:lineRule="exact"/>
              <w:rPr>
                <w:sz w:val="20"/>
                <w:szCs w:val="20"/>
                <w:color w:val="auto"/>
              </w:rPr>
            </w:pPr>
            <w:r>
              <w:rPr>
                <w:rFonts w:ascii="Arial" w:cs="Arial" w:eastAsia="Arial" w:hAnsi="Arial"/>
                <w:sz w:val="13"/>
                <w:szCs w:val="13"/>
                <w:b w:val="1"/>
                <w:bCs w:val="1"/>
                <w:color w:val="FFFFFF"/>
                <w:w w:val="94"/>
              </w:rPr>
              <w:t>Stock Owned</w:t>
            </w:r>
          </w:p>
        </w:tc>
        <w:tc>
          <w:tcPr>
            <w:tcW w:w="14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shd w:val="clear" w:color="auto" w:fill="003763"/>
          </w:tcPr>
          <w:p>
            <w:pPr>
              <w:ind w:left="4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Name</w:t>
            </w:r>
          </w:p>
        </w:tc>
        <w:tc>
          <w:tcPr>
            <w:tcW w:w="3380" w:type="dxa"/>
            <w:vAlign w:val="bottom"/>
            <w:tcBorders>
              <w:bottom w:val="single" w:sz="8" w:color="auto"/>
            </w:tcBorders>
            <w:gridSpan w:val="3"/>
            <w:shd w:val="clear" w:color="auto" w:fill="003763"/>
          </w:tcPr>
          <w:p>
            <w:pPr>
              <w:ind w:left="1460"/>
              <w:spacing w:after="0" w:line="216"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Stock Owned Beneficially </w:t>
            </w:r>
            <w:r>
              <w:rPr>
                <w:rFonts w:ascii="Arial" w:cs="Arial" w:eastAsia="Arial" w:hAnsi="Arial"/>
                <w:sz w:val="25"/>
                <w:szCs w:val="25"/>
                <w:b w:val="1"/>
                <w:bCs w:val="1"/>
                <w:color w:val="FFFFFF"/>
                <w:vertAlign w:val="subscript"/>
              </w:rPr>
              <w:t>​ ​</w:t>
            </w:r>
          </w:p>
        </w:tc>
        <w:tc>
          <w:tcPr>
            <w:tcW w:w="1220" w:type="dxa"/>
            <w:vAlign w:val="bottom"/>
            <w:tcBorders>
              <w:bottom w:val="single" w:sz="8" w:color="auto"/>
            </w:tcBorders>
            <w:shd w:val="clear" w:color="auto" w:fill="003763"/>
          </w:tcPr>
          <w:p>
            <w:pPr>
              <w:jc w:val="center"/>
              <w:spacing w:after="0"/>
              <w:rPr>
                <w:sz w:val="20"/>
                <w:szCs w:val="20"/>
                <w:color w:val="auto"/>
              </w:rPr>
            </w:pPr>
            <w:r>
              <w:rPr>
                <w:rFonts w:ascii="Arial" w:cs="Arial" w:eastAsia="Arial" w:hAnsi="Arial"/>
                <w:sz w:val="13"/>
                <w:szCs w:val="13"/>
                <w:b w:val="1"/>
                <w:bCs w:val="1"/>
                <w:color w:val="FFFFFF"/>
                <w:w w:val="91"/>
              </w:rPr>
              <w:t>Beneficially</w:t>
            </w:r>
            <w:r>
              <w:rPr>
                <w:rFonts w:ascii="Arial" w:cs="Arial" w:eastAsia="Arial" w:hAnsi="Arial"/>
                <w:sz w:val="16"/>
                <w:szCs w:val="16"/>
                <w:b w:val="1"/>
                <w:bCs w:val="1"/>
                <w:color w:val="FFFFFF"/>
                <w:w w:val="91"/>
                <w:vertAlign w:val="superscript"/>
              </w:rPr>
              <w:t>(6)</w:t>
            </w:r>
          </w:p>
        </w:tc>
        <w:tc>
          <w:tcPr>
            <w:tcW w:w="14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6"/>
        </w:trPr>
        <w:tc>
          <w:tcPr>
            <w:tcW w:w="4520" w:type="dxa"/>
            <w:vAlign w:val="bottom"/>
          </w:tcPr>
          <w:p>
            <w:pPr>
              <w:ind w:left="40"/>
              <w:spacing w:after="0"/>
              <w:rPr>
                <w:sz w:val="20"/>
                <w:szCs w:val="20"/>
                <w:color w:val="auto"/>
              </w:rPr>
            </w:pPr>
            <w:r>
              <w:rPr>
                <w:rFonts w:ascii="Arial" w:cs="Arial" w:eastAsia="Arial" w:hAnsi="Arial"/>
                <w:sz w:val="15"/>
                <w:szCs w:val="15"/>
                <w:color w:val="auto"/>
              </w:rPr>
              <w:t>​Capital International Investors</w:t>
            </w:r>
          </w:p>
        </w:tc>
        <w:tc>
          <w:tcPr>
            <w:tcW w:w="1720" w:type="dxa"/>
            <w:vAlign w:val="bottom"/>
          </w:tcPr>
          <w:p>
            <w:pPr>
              <w:ind w:left="1460"/>
              <w:spacing w:after="0"/>
              <w:rPr>
                <w:sz w:val="20"/>
                <w:szCs w:val="20"/>
                <w:color w:val="auto"/>
              </w:rPr>
            </w:pPr>
            <w:r>
              <w:rPr>
                <w:rFonts w:ascii="Arial" w:cs="Arial" w:eastAsia="Arial" w:hAnsi="Arial"/>
                <w:sz w:val="15"/>
                <w:szCs w:val="15"/>
                <w:color w:val="auto"/>
              </w:rPr>
              <w:t>​ ​</w:t>
            </w:r>
          </w:p>
        </w:tc>
        <w:tc>
          <w:tcPr>
            <w:tcW w:w="1340" w:type="dxa"/>
            <w:vAlign w:val="bottom"/>
          </w:tcPr>
          <w:p>
            <w:pPr>
              <w:ind w:left="300"/>
              <w:spacing w:after="0" w:line="205" w:lineRule="exact"/>
              <w:rPr>
                <w:sz w:val="20"/>
                <w:szCs w:val="20"/>
                <w:color w:val="auto"/>
              </w:rPr>
            </w:pPr>
            <w:r>
              <w:rPr>
                <w:rFonts w:ascii="Arial" w:cs="Arial" w:eastAsia="Arial" w:hAnsi="Arial"/>
                <w:sz w:val="15"/>
                <w:szCs w:val="15"/>
                <w:color w:val="auto"/>
              </w:rPr>
              <w:t>​84,810,750</w:t>
            </w:r>
            <w:r>
              <w:rPr>
                <w:rFonts w:ascii="Arial" w:cs="Arial" w:eastAsia="Arial" w:hAnsi="Arial"/>
                <w:sz w:val="19"/>
                <w:szCs w:val="19"/>
                <w:color w:val="auto"/>
                <w:vertAlign w:val="superscript"/>
              </w:rPr>
              <w:t>(1)</w:t>
            </w:r>
          </w:p>
        </w:tc>
        <w:tc>
          <w:tcPr>
            <w:tcW w:w="320" w:type="dxa"/>
            <w:vAlign w:val="bottom"/>
          </w:tcPr>
          <w:p>
            <w:pPr>
              <w:ind w:left="120"/>
              <w:spacing w:after="0"/>
              <w:rPr>
                <w:sz w:val="20"/>
                <w:szCs w:val="20"/>
                <w:color w:val="auto"/>
              </w:rPr>
            </w:pPr>
            <w:r>
              <w:rPr>
                <w:rFonts w:ascii="Arial" w:cs="Arial" w:eastAsia="Arial" w:hAnsi="Arial"/>
                <w:sz w:val="15"/>
                <w:szCs w:val="15"/>
                <w:color w:val="auto"/>
              </w:rPr>
              <w:t>​​ ​</w:t>
            </w:r>
          </w:p>
        </w:tc>
        <w:tc>
          <w:tcPr>
            <w:tcW w:w="1220" w:type="dxa"/>
            <w:vAlign w:val="bottom"/>
          </w:tcPr>
          <w:p>
            <w:pPr>
              <w:ind w:left="420"/>
              <w:spacing w:after="0"/>
              <w:rPr>
                <w:sz w:val="20"/>
                <w:szCs w:val="20"/>
                <w:color w:val="auto"/>
              </w:rPr>
            </w:pPr>
            <w:r>
              <w:rPr>
                <w:rFonts w:ascii="Arial" w:cs="Arial" w:eastAsia="Arial" w:hAnsi="Arial"/>
                <w:sz w:val="15"/>
                <w:szCs w:val="15"/>
                <w:color w:val="auto"/>
              </w:rPr>
              <w:t>​12.99%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line="216" w:lineRule="exact"/>
              <w:rPr>
                <w:sz w:val="20"/>
                <w:szCs w:val="20"/>
                <w:color w:val="auto"/>
              </w:rPr>
            </w:pPr>
            <w:r>
              <w:rPr>
                <w:rFonts w:ascii="Arial" w:cs="Arial" w:eastAsia="Arial" w:hAnsi="Arial"/>
                <w:sz w:val="15"/>
                <w:szCs w:val="15"/>
                <w:color w:val="auto"/>
              </w:rPr>
              <w:t>333 South Hope Street, 55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00"/>
              <w:spacing w:after="0"/>
              <w:rPr>
                <w:sz w:val="20"/>
                <w:szCs w:val="20"/>
                <w:color w:val="auto"/>
              </w:rPr>
            </w:pPr>
            <w:r>
              <w:rPr>
                <w:rFonts w:ascii="Arial" w:cs="Arial" w:eastAsia="Arial" w:hAnsi="Arial"/>
                <w:sz w:val="15"/>
                <w:szCs w:val="15"/>
                <w:color w:val="auto"/>
              </w:rPr>
              <w:t>Los Angeles, CA 90071</w:t>
            </w: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20" w:type="dxa"/>
            <w:vAlign w:val="bottom"/>
            <w:tcBorders>
              <w:bottom w:val="single" w:sz="8" w:color="CCCCCC"/>
            </w:tcBorders>
          </w:tcPr>
          <w:p>
            <w:pPr>
              <w:spacing w:after="0"/>
              <w:rPr>
                <w:sz w:val="5"/>
                <w:szCs w:val="5"/>
                <w:color w:val="auto"/>
              </w:rPr>
            </w:pPr>
          </w:p>
        </w:tc>
        <w:tc>
          <w:tcPr>
            <w:tcW w:w="17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F2F2F2"/>
          </w:tcPr>
          <w:p>
            <w:pPr>
              <w:ind w:left="4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The Vanguard Group, Inc.</w:t>
            </w:r>
          </w:p>
        </w:tc>
        <w:tc>
          <w:tcPr>
            <w:tcW w:w="1720" w:type="dxa"/>
            <w:vAlign w:val="bottom"/>
            <w:shd w:val="clear" w:color="auto" w:fill="F2F2F2"/>
          </w:tcPr>
          <w:p>
            <w:pPr>
              <w:ind w:left="1460"/>
              <w:spacing w:after="0"/>
              <w:rPr>
                <w:sz w:val="20"/>
                <w:szCs w:val="20"/>
                <w:color w:val="auto"/>
              </w:rPr>
            </w:pPr>
            <w:r>
              <w:rPr>
                <w:rFonts w:ascii="Arial" w:cs="Arial" w:eastAsia="Arial" w:hAnsi="Arial"/>
                <w:sz w:val="15"/>
                <w:szCs w:val="15"/>
                <w:color w:val="auto"/>
              </w:rPr>
              <w:t>​ ​</w:t>
            </w:r>
          </w:p>
        </w:tc>
        <w:tc>
          <w:tcPr>
            <w:tcW w:w="1340" w:type="dxa"/>
            <w:vAlign w:val="bottom"/>
            <w:shd w:val="clear" w:color="auto" w:fill="F2F2F2"/>
          </w:tcPr>
          <w:p>
            <w:pPr>
              <w:ind w:left="30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​76,442,771</w:t>
            </w:r>
            <w:r>
              <w:rPr>
                <w:rFonts w:ascii="Arial" w:cs="Arial" w:eastAsia="Arial" w:hAnsi="Arial"/>
                <w:sz w:val="17"/>
                <w:szCs w:val="17"/>
                <w:color w:val="auto"/>
                <w:vertAlign w:val="superscript"/>
              </w:rPr>
              <w:t>(2)</w:t>
            </w:r>
          </w:p>
        </w:tc>
        <w:tc>
          <w:tcPr>
            <w:tcW w:w="32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F2F2F2"/>
          </w:tcPr>
          <w:p>
            <w:pPr>
              <w:ind w:left="42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​11.71%</w:t>
            </w:r>
          </w:p>
        </w:tc>
        <w:tc>
          <w:tcPr>
            <w:tcW w:w="140" w:type="dxa"/>
            <w:vAlign w:val="bottom"/>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5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100 Vanguard Blvd.</w:t>
            </w:r>
          </w:p>
        </w:tc>
        <w:tc>
          <w:tcPr>
            <w:tcW w:w="1720" w:type="dxa"/>
            <w:vAlign w:val="bottom"/>
            <w:shd w:val="clear" w:color="auto" w:fill="F2F2F2"/>
          </w:tcPr>
          <w:p>
            <w:pPr>
              <w:spacing w:after="0"/>
              <w:rPr>
                <w:sz w:val="16"/>
                <w:szCs w:val="16"/>
                <w:color w:val="auto"/>
              </w:rPr>
            </w:pPr>
          </w:p>
        </w:tc>
        <w:tc>
          <w:tcPr>
            <w:tcW w:w="134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5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Malvern, Pennsylvania 19355</w:t>
            </w:r>
          </w:p>
        </w:tc>
        <w:tc>
          <w:tcPr>
            <w:tcW w:w="1720" w:type="dxa"/>
            <w:vAlign w:val="bottom"/>
            <w:tcBorders>
              <w:bottom w:val="single" w:sz="8" w:color="F2F2F2"/>
            </w:tcBorders>
            <w:shd w:val="clear" w:color="auto" w:fill="F2F2F2"/>
          </w:tcPr>
          <w:p>
            <w:pPr>
              <w:spacing w:after="0"/>
              <w:rPr>
                <w:sz w:val="22"/>
                <w:szCs w:val="22"/>
                <w:color w:val="auto"/>
              </w:rPr>
            </w:pPr>
          </w:p>
        </w:tc>
        <w:tc>
          <w:tcPr>
            <w:tcW w:w="134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spacing w:after="0"/>
              <w:rPr>
                <w:sz w:val="22"/>
                <w:szCs w:val="22"/>
                <w:color w:val="auto"/>
              </w:rPr>
            </w:pPr>
          </w:p>
        </w:tc>
        <w:tc>
          <w:tcPr>
            <w:tcW w:w="1220" w:type="dxa"/>
            <w:vAlign w:val="bottom"/>
            <w:tcBorders>
              <w:bottom w:val="single" w:sz="8" w:color="F2F2F2"/>
            </w:tcBorders>
            <w:shd w:val="clear" w:color="auto" w:fill="F2F2F2"/>
          </w:tcPr>
          <w:p>
            <w:pPr>
              <w:spacing w:after="0"/>
              <w:rPr>
                <w:sz w:val="22"/>
                <w:szCs w:val="22"/>
                <w:color w:val="auto"/>
              </w:rPr>
            </w:pPr>
          </w:p>
        </w:tc>
        <w:tc>
          <w:tcPr>
            <w:tcW w:w="14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520" w:type="dxa"/>
            <w:vAlign w:val="bottom"/>
            <w:tcBorders>
              <w:top w:val="single" w:sz="8" w:color="CCCCCC"/>
            </w:tcBorders>
          </w:tcPr>
          <w:p>
            <w:pPr>
              <w:ind w:left="4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BlackRock, Inc.</w:t>
            </w:r>
          </w:p>
        </w:tc>
        <w:tc>
          <w:tcPr>
            <w:tcW w:w="1720" w:type="dxa"/>
            <w:vAlign w:val="bottom"/>
            <w:tcBorders>
              <w:top w:val="single" w:sz="8" w:color="CCCCCC"/>
            </w:tcBorders>
          </w:tcPr>
          <w:p>
            <w:pPr>
              <w:ind w:left="1460"/>
              <w:spacing w:after="0"/>
              <w:rPr>
                <w:sz w:val="20"/>
                <w:szCs w:val="20"/>
                <w:color w:val="auto"/>
              </w:rPr>
            </w:pPr>
            <w:r>
              <w:rPr>
                <w:rFonts w:ascii="Arial" w:cs="Arial" w:eastAsia="Arial" w:hAnsi="Arial"/>
                <w:sz w:val="15"/>
                <w:szCs w:val="15"/>
                <w:color w:val="auto"/>
              </w:rPr>
              <w:t>​ ​</w:t>
            </w:r>
          </w:p>
        </w:tc>
        <w:tc>
          <w:tcPr>
            <w:tcW w:w="1340" w:type="dxa"/>
            <w:vAlign w:val="bottom"/>
            <w:tcBorders>
              <w:top w:val="single" w:sz="8" w:color="CCCCCC"/>
            </w:tcBorders>
          </w:tcPr>
          <w:p>
            <w:pPr>
              <w:ind w:left="30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​49,577,998</w:t>
            </w:r>
            <w:r>
              <w:rPr>
                <w:rFonts w:ascii="Arial" w:cs="Arial" w:eastAsia="Arial" w:hAnsi="Arial"/>
                <w:sz w:val="17"/>
                <w:szCs w:val="17"/>
                <w:color w:val="auto"/>
                <w:vertAlign w:val="superscript"/>
              </w:rPr>
              <w:t>(3)</w:t>
            </w:r>
          </w:p>
        </w:tc>
        <w:tc>
          <w:tcPr>
            <w:tcW w:w="320" w:type="dxa"/>
            <w:vAlign w:val="bottom"/>
            <w:tcBorders>
              <w:top w:val="single" w:sz="8" w:color="CCCCCC"/>
            </w:tcBorders>
          </w:tcPr>
          <w:p>
            <w:pPr>
              <w:ind w:left="120"/>
              <w:spacing w:after="0"/>
              <w:rPr>
                <w:sz w:val="20"/>
                <w:szCs w:val="20"/>
                <w:color w:val="auto"/>
              </w:rPr>
            </w:pPr>
            <w:r>
              <w:rPr>
                <w:rFonts w:ascii="Arial" w:cs="Arial" w:eastAsia="Arial" w:hAnsi="Arial"/>
                <w:sz w:val="15"/>
                <w:szCs w:val="15"/>
                <w:color w:val="auto"/>
              </w:rPr>
              <w:t>​​ ​</w:t>
            </w:r>
          </w:p>
        </w:tc>
        <w:tc>
          <w:tcPr>
            <w:tcW w:w="1220" w:type="dxa"/>
            <w:vAlign w:val="bottom"/>
            <w:tcBorders>
              <w:top w:val="single" w:sz="8" w:color="CCCCCC"/>
            </w:tcBorders>
          </w:tcPr>
          <w:p>
            <w:pPr>
              <w:ind w:left="42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7.6%</w:t>
            </w:r>
          </w:p>
        </w:tc>
        <w:tc>
          <w:tcPr>
            <w:tcW w:w="14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line="216" w:lineRule="exact"/>
              <w:rPr>
                <w:sz w:val="20"/>
                <w:szCs w:val="20"/>
                <w:color w:val="auto"/>
              </w:rPr>
            </w:pPr>
            <w:r>
              <w:rPr>
                <w:rFonts w:ascii="Arial" w:cs="Arial" w:eastAsia="Arial" w:hAnsi="Arial"/>
                <w:sz w:val="15"/>
                <w:szCs w:val="15"/>
                <w:color w:val="auto"/>
              </w:rPr>
              <w:t>55 East 52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Street</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00"/>
              <w:spacing w:after="0"/>
              <w:rPr>
                <w:sz w:val="20"/>
                <w:szCs w:val="20"/>
                <w:color w:val="auto"/>
              </w:rPr>
            </w:pPr>
            <w:r>
              <w:rPr>
                <w:rFonts w:ascii="Arial" w:cs="Arial" w:eastAsia="Arial" w:hAnsi="Arial"/>
                <w:sz w:val="15"/>
                <w:szCs w:val="15"/>
                <w:color w:val="auto"/>
              </w:rPr>
              <w:t>New York, New York 10055</w:t>
            </w: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20" w:type="dxa"/>
            <w:vAlign w:val="bottom"/>
            <w:tcBorders>
              <w:bottom w:val="single" w:sz="8" w:color="CCCCCC"/>
            </w:tcBorders>
          </w:tcPr>
          <w:p>
            <w:pPr>
              <w:spacing w:after="0"/>
              <w:rPr>
                <w:sz w:val="5"/>
                <w:szCs w:val="5"/>
                <w:color w:val="auto"/>
              </w:rPr>
            </w:pPr>
          </w:p>
        </w:tc>
        <w:tc>
          <w:tcPr>
            <w:tcW w:w="17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F2F2F2"/>
          </w:tcPr>
          <w:p>
            <w:pPr>
              <w:ind w:left="4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Capital Research Global Investors</w:t>
            </w:r>
          </w:p>
        </w:tc>
        <w:tc>
          <w:tcPr>
            <w:tcW w:w="1720" w:type="dxa"/>
            <w:vAlign w:val="bottom"/>
            <w:shd w:val="clear" w:color="auto" w:fill="F2F2F2"/>
          </w:tcPr>
          <w:p>
            <w:pPr>
              <w:ind w:left="1460"/>
              <w:spacing w:after="0"/>
              <w:rPr>
                <w:sz w:val="20"/>
                <w:szCs w:val="20"/>
                <w:color w:val="auto"/>
              </w:rPr>
            </w:pPr>
            <w:r>
              <w:rPr>
                <w:rFonts w:ascii="Arial" w:cs="Arial" w:eastAsia="Arial" w:hAnsi="Arial"/>
                <w:sz w:val="15"/>
                <w:szCs w:val="15"/>
                <w:color w:val="auto"/>
              </w:rPr>
              <w:t>​ ​</w:t>
            </w:r>
          </w:p>
        </w:tc>
        <w:tc>
          <w:tcPr>
            <w:tcW w:w="1340" w:type="dxa"/>
            <w:vAlign w:val="bottom"/>
            <w:shd w:val="clear" w:color="auto" w:fill="F2F2F2"/>
          </w:tcPr>
          <w:p>
            <w:pPr>
              <w:ind w:left="30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​45,573,115</w:t>
            </w:r>
            <w:r>
              <w:rPr>
                <w:rFonts w:ascii="Arial" w:cs="Arial" w:eastAsia="Arial" w:hAnsi="Arial"/>
                <w:sz w:val="17"/>
                <w:szCs w:val="17"/>
                <w:color w:val="auto"/>
                <w:vertAlign w:val="superscript"/>
              </w:rPr>
              <w:t>(4)</w:t>
            </w:r>
          </w:p>
        </w:tc>
        <w:tc>
          <w:tcPr>
            <w:tcW w:w="32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F2F2F2"/>
          </w:tcPr>
          <w:p>
            <w:pPr>
              <w:ind w:left="42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6.98%</w:t>
            </w:r>
          </w:p>
        </w:tc>
        <w:tc>
          <w:tcPr>
            <w:tcW w:w="140" w:type="dxa"/>
            <w:vAlign w:val="bottom"/>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F2F2F2"/>
          </w:tcPr>
          <w:p>
            <w:pPr>
              <w:ind w:left="100"/>
              <w:spacing w:after="0" w:line="216" w:lineRule="exact"/>
              <w:rPr>
                <w:sz w:val="20"/>
                <w:szCs w:val="20"/>
                <w:color w:val="auto"/>
              </w:rPr>
            </w:pPr>
            <w:r>
              <w:rPr>
                <w:rFonts w:ascii="Arial" w:cs="Arial" w:eastAsia="Arial" w:hAnsi="Arial"/>
                <w:sz w:val="15"/>
                <w:szCs w:val="15"/>
                <w:color w:val="auto"/>
              </w:rPr>
              <w:t>333 South Hope Street, 55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w:t>
            </w:r>
          </w:p>
        </w:tc>
        <w:tc>
          <w:tcPr>
            <w:tcW w:w="1720" w:type="dxa"/>
            <w:vAlign w:val="bottom"/>
            <w:shd w:val="clear" w:color="auto" w:fill="F2F2F2"/>
          </w:tcPr>
          <w:p>
            <w:pPr>
              <w:spacing w:after="0"/>
              <w:rPr>
                <w:sz w:val="18"/>
                <w:szCs w:val="18"/>
                <w:color w:val="auto"/>
              </w:rPr>
            </w:pPr>
          </w:p>
        </w:tc>
        <w:tc>
          <w:tcPr>
            <w:tcW w:w="1340" w:type="dxa"/>
            <w:vAlign w:val="bottom"/>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5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Los Angeles, CA 90071</w:t>
            </w:r>
          </w:p>
        </w:tc>
        <w:tc>
          <w:tcPr>
            <w:tcW w:w="1720" w:type="dxa"/>
            <w:vAlign w:val="bottom"/>
            <w:tcBorders>
              <w:bottom w:val="single" w:sz="8" w:color="F2F2F2"/>
            </w:tcBorders>
            <w:shd w:val="clear" w:color="auto" w:fill="F2F2F2"/>
          </w:tcPr>
          <w:p>
            <w:pPr>
              <w:spacing w:after="0"/>
              <w:rPr>
                <w:sz w:val="22"/>
                <w:szCs w:val="22"/>
                <w:color w:val="auto"/>
              </w:rPr>
            </w:pPr>
          </w:p>
        </w:tc>
        <w:tc>
          <w:tcPr>
            <w:tcW w:w="134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spacing w:after="0"/>
              <w:rPr>
                <w:sz w:val="22"/>
                <w:szCs w:val="22"/>
                <w:color w:val="auto"/>
              </w:rPr>
            </w:pPr>
          </w:p>
        </w:tc>
        <w:tc>
          <w:tcPr>
            <w:tcW w:w="1220" w:type="dxa"/>
            <w:vAlign w:val="bottom"/>
            <w:tcBorders>
              <w:bottom w:val="single" w:sz="8" w:color="F2F2F2"/>
            </w:tcBorders>
            <w:shd w:val="clear" w:color="auto" w:fill="F2F2F2"/>
          </w:tcPr>
          <w:p>
            <w:pPr>
              <w:spacing w:after="0"/>
              <w:rPr>
                <w:sz w:val="22"/>
                <w:szCs w:val="22"/>
                <w:color w:val="auto"/>
              </w:rPr>
            </w:pPr>
          </w:p>
        </w:tc>
        <w:tc>
          <w:tcPr>
            <w:tcW w:w="14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520" w:type="dxa"/>
            <w:vAlign w:val="bottom"/>
            <w:tcBorders>
              <w:top w:val="single" w:sz="8" w:color="CCCCCC"/>
            </w:tcBorders>
          </w:tcPr>
          <w:p>
            <w:pPr>
              <w:ind w:left="4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T. Rowe Price Investment Management, Inc.</w:t>
            </w:r>
          </w:p>
        </w:tc>
        <w:tc>
          <w:tcPr>
            <w:tcW w:w="1720" w:type="dxa"/>
            <w:vAlign w:val="bottom"/>
            <w:tcBorders>
              <w:top w:val="single" w:sz="8" w:color="CCCCCC"/>
            </w:tcBorders>
          </w:tcPr>
          <w:p>
            <w:pPr>
              <w:ind w:left="1460"/>
              <w:spacing w:after="0"/>
              <w:rPr>
                <w:sz w:val="20"/>
                <w:szCs w:val="20"/>
                <w:color w:val="auto"/>
              </w:rPr>
            </w:pPr>
            <w:r>
              <w:rPr>
                <w:rFonts w:ascii="Arial" w:cs="Arial" w:eastAsia="Arial" w:hAnsi="Arial"/>
                <w:sz w:val="15"/>
                <w:szCs w:val="15"/>
                <w:color w:val="auto"/>
              </w:rPr>
              <w:t>​ ​</w:t>
            </w:r>
          </w:p>
        </w:tc>
        <w:tc>
          <w:tcPr>
            <w:tcW w:w="1340" w:type="dxa"/>
            <w:vAlign w:val="bottom"/>
            <w:tcBorders>
              <w:top w:val="single" w:sz="8" w:color="CCCCCC"/>
            </w:tcBorders>
          </w:tcPr>
          <w:p>
            <w:pPr>
              <w:ind w:left="30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​44,731,705</w:t>
            </w:r>
            <w:r>
              <w:rPr>
                <w:rFonts w:ascii="Arial" w:cs="Arial" w:eastAsia="Arial" w:hAnsi="Arial"/>
                <w:sz w:val="17"/>
                <w:szCs w:val="17"/>
                <w:color w:val="auto"/>
                <w:vertAlign w:val="superscript"/>
              </w:rPr>
              <w:t>(5)</w:t>
            </w:r>
          </w:p>
        </w:tc>
        <w:tc>
          <w:tcPr>
            <w:tcW w:w="320" w:type="dxa"/>
            <w:vAlign w:val="bottom"/>
            <w:tcBorders>
              <w:top w:val="single" w:sz="8" w:color="CCCCCC"/>
            </w:tcBorders>
          </w:tcPr>
          <w:p>
            <w:pPr>
              <w:ind w:left="120"/>
              <w:spacing w:after="0"/>
              <w:rPr>
                <w:sz w:val="20"/>
                <w:szCs w:val="20"/>
                <w:color w:val="auto"/>
              </w:rPr>
            </w:pPr>
            <w:r>
              <w:rPr>
                <w:rFonts w:ascii="Arial" w:cs="Arial" w:eastAsia="Arial" w:hAnsi="Arial"/>
                <w:sz w:val="15"/>
                <w:szCs w:val="15"/>
                <w:color w:val="auto"/>
              </w:rPr>
              <w:t>​​ ​</w:t>
            </w:r>
          </w:p>
        </w:tc>
        <w:tc>
          <w:tcPr>
            <w:tcW w:w="1220" w:type="dxa"/>
            <w:vAlign w:val="bottom"/>
            <w:tcBorders>
              <w:top w:val="single" w:sz="8" w:color="CCCCCC"/>
            </w:tcBorders>
          </w:tcPr>
          <w:p>
            <w:pPr>
              <w:ind w:left="420"/>
              <w:spacing w:after="0" w:line="232"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6.85%</w:t>
            </w:r>
          </w:p>
        </w:tc>
        <w:tc>
          <w:tcPr>
            <w:tcW w:w="14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520" w:type="dxa"/>
            <w:vAlign w:val="bottom"/>
          </w:tcPr>
          <w:p>
            <w:pPr>
              <w:ind w:left="100"/>
              <w:spacing w:after="0"/>
              <w:rPr>
                <w:sz w:val="20"/>
                <w:szCs w:val="20"/>
                <w:color w:val="auto"/>
              </w:rPr>
            </w:pPr>
            <w:r>
              <w:rPr>
                <w:rFonts w:ascii="Arial" w:cs="Arial" w:eastAsia="Arial" w:hAnsi="Arial"/>
                <w:sz w:val="15"/>
                <w:szCs w:val="15"/>
                <w:color w:val="auto"/>
              </w:rPr>
              <w:t>101 E. Pratt Street</w:t>
            </w: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00"/>
              <w:spacing w:after="0"/>
              <w:rPr>
                <w:sz w:val="20"/>
                <w:szCs w:val="20"/>
                <w:color w:val="auto"/>
              </w:rPr>
            </w:pPr>
            <w:r>
              <w:rPr>
                <w:rFonts w:ascii="Arial" w:cs="Arial" w:eastAsia="Arial" w:hAnsi="Arial"/>
                <w:sz w:val="15"/>
                <w:szCs w:val="15"/>
                <w:color w:val="auto"/>
              </w:rPr>
              <w:t>Baltimore, Maryland 21201</w:t>
            </w: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20" w:type="dxa"/>
            <w:vAlign w:val="bottom"/>
            <w:tcBorders>
              <w:bottom w:val="single" w:sz="8" w:color="CCCCCC"/>
            </w:tcBorders>
          </w:tcPr>
          <w:p>
            <w:pPr>
              <w:spacing w:after="0"/>
              <w:rPr>
                <w:sz w:val="5"/>
                <w:szCs w:val="5"/>
                <w:color w:val="auto"/>
              </w:rPr>
            </w:pPr>
          </w:p>
        </w:tc>
        <w:tc>
          <w:tcPr>
            <w:tcW w:w="1720" w:type="dxa"/>
            <w:vAlign w:val="bottom"/>
            <w:tcBorders>
              <w:bottom w:val="single" w:sz="8" w:color="CCCCCC"/>
            </w:tcBorders>
          </w:tcPr>
          <w:p>
            <w:pPr>
              <w:spacing w:after="0"/>
              <w:rPr>
                <w:sz w:val="5"/>
                <w:szCs w:val="5"/>
                <w:color w:val="auto"/>
              </w:rPr>
            </w:pPr>
          </w:p>
        </w:tc>
        <w:tc>
          <w:tcPr>
            <w:tcW w:w="13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920" w:right="120" w:hanging="189"/>
        <w:spacing w:after="0" w:line="210"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This information is based on a Schedule 13G filed with the SEC on February 9, 2024 by Capital International Investors. The Schedule 13G reports sole voting power for 84,719,174 shares of common stock, no shared voting power for shares of common stock, sole dispositive power for 84,810,750 shares of common stock and no shared dispositive power for shares of common stock.</w:t>
      </w:r>
    </w:p>
    <w:p>
      <w:pPr>
        <w:spacing w:after="0" w:line="63" w:lineRule="exact"/>
        <w:rPr>
          <w:rFonts w:ascii="Arial" w:cs="Arial" w:eastAsia="Arial" w:hAnsi="Arial"/>
          <w:sz w:val="20"/>
          <w:szCs w:val="20"/>
          <w:color w:val="auto"/>
          <w:vertAlign w:val="superscript"/>
        </w:rPr>
      </w:pPr>
    </w:p>
    <w:p>
      <w:pPr>
        <w:ind w:left="920" w:right="160" w:hanging="189"/>
        <w:spacing w:after="0" w:line="216"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This information is based on a Schedule 13G/A filed with the SEC on February 13, 2024 by The Vanguard Group, Inc. The Schedule 13G/A reports no sole voting power for shares of common stock, shared voting power for 1,085,664 shares of common stock, sole dispositive power for 73,446,347 shares of common stock and shared dispositive power for 2,996,424 shares of common stock.</w:t>
      </w:r>
    </w:p>
    <w:p>
      <w:pPr>
        <w:spacing w:after="0" w:line="50" w:lineRule="exact"/>
        <w:rPr>
          <w:rFonts w:ascii="Arial" w:cs="Arial" w:eastAsia="Arial" w:hAnsi="Arial"/>
          <w:sz w:val="20"/>
          <w:szCs w:val="20"/>
          <w:color w:val="auto"/>
          <w:vertAlign w:val="superscript"/>
        </w:rPr>
      </w:pPr>
    </w:p>
    <w:p>
      <w:pPr>
        <w:ind w:left="920" w:right="300" w:hanging="189"/>
        <w:spacing w:after="0" w:line="216"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This information is based on a Schedule 13G/A filed with the SEC on January 26, 2024 by BlackRock, Inc. The Schedule 13G/A reports sole voting power for 45,573,798 shares of common stock, no shared voting power for shares of common stock, sole dispositive power for 49,577,998 shares of common stock and no shared dispositive power for shares of common stock.</w:t>
      </w:r>
    </w:p>
    <w:p>
      <w:pPr>
        <w:spacing w:after="0" w:line="63" w:lineRule="exact"/>
        <w:rPr>
          <w:rFonts w:ascii="Arial" w:cs="Arial" w:eastAsia="Arial" w:hAnsi="Arial"/>
          <w:sz w:val="20"/>
          <w:szCs w:val="20"/>
          <w:color w:val="auto"/>
          <w:vertAlign w:val="superscript"/>
        </w:rPr>
      </w:pPr>
    </w:p>
    <w:p>
      <w:pPr>
        <w:jc w:val="both"/>
        <w:ind w:left="920" w:right="160" w:hanging="189"/>
        <w:spacing w:after="0" w:line="210"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This information is based on a Schedule 13G filed with the SEC on February 13, 2025 by Capital Research Global Investors. The Schedule 13G reports sole voting power for 45,566,474 shares of common stock, no shared voting power for shares of common stock, sole dispositive power for 45,573,115 shares of common stock and no shared dispositive power for shares of common stock.</w:t>
      </w:r>
    </w:p>
    <w:p>
      <w:pPr>
        <w:spacing w:after="0" w:line="63" w:lineRule="exact"/>
        <w:rPr>
          <w:rFonts w:ascii="Arial" w:cs="Arial" w:eastAsia="Arial" w:hAnsi="Arial"/>
          <w:sz w:val="20"/>
          <w:szCs w:val="20"/>
          <w:color w:val="auto"/>
          <w:vertAlign w:val="superscript"/>
        </w:rPr>
      </w:pPr>
    </w:p>
    <w:p>
      <w:pPr>
        <w:ind w:left="920" w:right="200" w:hanging="189"/>
        <w:spacing w:after="0" w:line="216"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This information is based on a Schedule 13G filed with the SEC on November 14, 2024 by T. Rowe Price Investment Management, Inc. The Schedule 13G reports sole voting power for 41,748,886 shares of common stock, no shared voting power for shares of common stock, sole dispositive power for 44,731,705 shares of common stock and no shared dispositive power for shares of common stock.</w:t>
      </w:r>
    </w:p>
    <w:p>
      <w:pPr>
        <w:ind w:left="920" w:hanging="189"/>
        <w:spacing w:after="0" w:line="225" w:lineRule="auto"/>
        <w:tabs>
          <w:tab w:leader="none" w:pos="92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Based on 652,726,754 shares of common stock outstanding on February 28, 2025.</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Security Ownership of Directors and Management</w:t>
      </w:r>
    </w:p>
    <w:p>
      <w:pPr>
        <w:spacing w:after="0" w:line="122" w:lineRule="exact"/>
        <w:rPr>
          <w:sz w:val="20"/>
          <w:szCs w:val="20"/>
          <w:color w:val="auto"/>
        </w:rPr>
      </w:pPr>
    </w:p>
    <w:p>
      <w:pPr>
        <w:ind w:left="740" w:right="60"/>
        <w:spacing w:after="0" w:line="265" w:lineRule="auto"/>
        <w:rPr>
          <w:sz w:val="20"/>
          <w:szCs w:val="20"/>
          <w:color w:val="auto"/>
        </w:rPr>
      </w:pPr>
      <w:r>
        <w:rPr>
          <w:rFonts w:ascii="Arial" w:cs="Arial" w:eastAsia="Arial" w:hAnsi="Arial"/>
          <w:sz w:val="16"/>
          <w:szCs w:val="16"/>
          <w:color w:val="auto"/>
        </w:rPr>
        <w:t>The following table sets forth certain information known to the Company with respect to beneficial ownership of CenterPoint Energy common stock as of February 28, 2025, for (i) each director and nominee for director of the Company, (ii) each named executive officer as named in the Summary Compensation Table below, and (iii) all current executive officers, directors, and nominees for director as a group.</w:t>
      </w:r>
    </w:p>
    <w:p>
      <w:pPr>
        <w:spacing w:after="0" w:line="160"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80" w:type="dxa"/>
            <w:vAlign w:val="bottom"/>
            <w:shd w:val="clear" w:color="auto" w:fill="003763"/>
          </w:tcPr>
          <w:p>
            <w:pPr>
              <w:spacing w:after="0"/>
              <w:rPr>
                <w:sz w:val="16"/>
                <w:szCs w:val="16"/>
                <w:color w:val="auto"/>
              </w:rPr>
            </w:pPr>
          </w:p>
        </w:tc>
        <w:tc>
          <w:tcPr>
            <w:tcW w:w="6240" w:type="dxa"/>
            <w:vAlign w:val="bottom"/>
            <w:shd w:val="clear" w:color="auto" w:fill="003763"/>
          </w:tcPr>
          <w:p>
            <w:pPr>
              <w:spacing w:after="0"/>
              <w:rPr>
                <w:sz w:val="16"/>
                <w:szCs w:val="16"/>
                <w:color w:val="auto"/>
              </w:rPr>
            </w:pPr>
          </w:p>
        </w:tc>
        <w:tc>
          <w:tcPr>
            <w:tcW w:w="72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1280" w:type="dxa"/>
            <w:vAlign w:val="bottom"/>
            <w:gridSpan w:val="2"/>
            <w:shd w:val="clear" w:color="auto" w:fill="003763"/>
          </w:tcPr>
          <w:p>
            <w:pPr>
              <w:ind w:left="20"/>
              <w:spacing w:after="0"/>
              <w:rPr>
                <w:sz w:val="20"/>
                <w:szCs w:val="20"/>
                <w:color w:val="auto"/>
              </w:rPr>
            </w:pPr>
            <w:r>
              <w:rPr>
                <w:rFonts w:ascii="Arial" w:cs="Arial" w:eastAsia="Arial" w:hAnsi="Arial"/>
                <w:sz w:val="13"/>
                <w:szCs w:val="13"/>
                <w:b w:val="1"/>
                <w:bCs w:val="1"/>
                <w:color w:val="FFFFFF"/>
                <w:w w:val="96"/>
              </w:rPr>
              <w:t>Number of Shares of</w:t>
            </w:r>
          </w:p>
        </w:tc>
        <w:tc>
          <w:tcPr>
            <w:tcW w:w="140" w:type="dxa"/>
            <w:vAlign w:val="bottom"/>
            <w:shd w:val="clear" w:color="auto" w:fill="003763"/>
          </w:tcPr>
          <w:p>
            <w:pPr>
              <w:spacing w:after="0"/>
              <w:rPr>
                <w:sz w:val="16"/>
                <w:szCs w:val="16"/>
                <w:color w:val="auto"/>
              </w:rPr>
            </w:pPr>
          </w:p>
        </w:tc>
        <w:tc>
          <w:tcPr>
            <w:tcW w:w="100" w:type="dxa"/>
            <w:vAlign w:val="bottom"/>
            <w:shd w:val="clear" w:color="auto" w:fill="003763"/>
          </w:tcPr>
          <w:p>
            <w:pPr>
              <w:spacing w:after="0"/>
              <w:rPr>
                <w:sz w:val="16"/>
                <w:szCs w:val="16"/>
                <w:color w:val="auto"/>
              </w:rPr>
            </w:pPr>
          </w:p>
        </w:tc>
        <w:tc>
          <w:tcPr>
            <w:tcW w:w="540" w:type="dxa"/>
            <w:vAlign w:val="bottom"/>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Percent</w:t>
            </w:r>
          </w:p>
        </w:tc>
        <w:tc>
          <w:tcPr>
            <w:tcW w:w="8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shd w:val="clear" w:color="auto" w:fill="003763"/>
          </w:tcPr>
          <w:p>
            <w:pPr>
              <w:spacing w:after="0"/>
              <w:rPr>
                <w:sz w:val="12"/>
                <w:szCs w:val="12"/>
                <w:color w:val="auto"/>
              </w:rPr>
            </w:pPr>
          </w:p>
        </w:tc>
        <w:tc>
          <w:tcPr>
            <w:tcW w:w="6240" w:type="dxa"/>
            <w:vAlign w:val="bottom"/>
            <w:shd w:val="clear" w:color="auto" w:fill="003763"/>
          </w:tcPr>
          <w:p>
            <w:pPr>
              <w:spacing w:after="0"/>
              <w:rPr>
                <w:sz w:val="12"/>
                <w:szCs w:val="12"/>
                <w:color w:val="auto"/>
              </w:rPr>
            </w:pPr>
          </w:p>
        </w:tc>
        <w:tc>
          <w:tcPr>
            <w:tcW w:w="7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1280" w:type="dxa"/>
            <w:vAlign w:val="bottom"/>
            <w:gridSpan w:val="2"/>
            <w:shd w:val="clear" w:color="auto" w:fill="003763"/>
          </w:tcPr>
          <w:p>
            <w:pPr>
              <w:ind w:left="160"/>
              <w:spacing w:after="0" w:line="139" w:lineRule="exact"/>
              <w:rPr>
                <w:sz w:val="20"/>
                <w:szCs w:val="20"/>
                <w:color w:val="auto"/>
              </w:rPr>
            </w:pPr>
            <w:r>
              <w:rPr>
                <w:rFonts w:ascii="Arial" w:cs="Arial" w:eastAsia="Arial" w:hAnsi="Arial"/>
                <w:sz w:val="13"/>
                <w:szCs w:val="13"/>
                <w:b w:val="1"/>
                <w:bCs w:val="1"/>
                <w:color w:val="FFFFFF"/>
              </w:rPr>
              <w:t>Common Stock</w:t>
            </w:r>
          </w:p>
        </w:tc>
        <w:tc>
          <w:tcPr>
            <w:tcW w:w="1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540" w:type="dxa"/>
            <w:vAlign w:val="bottom"/>
            <w:vMerge w:val="continue"/>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003763"/>
          </w:tcPr>
          <w:p>
            <w:pPr>
              <w:ind w:left="40"/>
              <w:spacing w:after="0" w:line="229"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Name</w:t>
            </w:r>
          </w:p>
        </w:tc>
        <w:tc>
          <w:tcPr>
            <w:tcW w:w="720" w:type="dxa"/>
            <w:vAlign w:val="bottom"/>
            <w:shd w:val="clear" w:color="auto" w:fill="003763"/>
          </w:tcPr>
          <w:p>
            <w:pPr>
              <w:ind w:left="640"/>
              <w:spacing w:after="0"/>
              <w:rPr>
                <w:sz w:val="20"/>
                <w:szCs w:val="20"/>
                <w:color w:val="auto"/>
              </w:rPr>
            </w:pPr>
            <w:r>
              <w:rPr>
                <w:rFonts w:ascii="Arial" w:cs="Arial" w:eastAsia="Arial" w:hAnsi="Arial"/>
                <w:sz w:val="13"/>
                <w:szCs w:val="13"/>
                <w:b w:val="1"/>
                <w:bCs w:val="1"/>
                <w:color w:val="FFFFFF"/>
              </w:rPr>
              <w:t>​</w:t>
            </w:r>
          </w:p>
        </w:tc>
        <w:tc>
          <w:tcPr>
            <w:tcW w:w="1360" w:type="dxa"/>
            <w:vAlign w:val="bottom"/>
            <w:gridSpan w:val="3"/>
            <w:shd w:val="clear" w:color="auto" w:fill="003763"/>
          </w:tcPr>
          <w:p>
            <w:pPr>
              <w:ind w:left="20"/>
              <w:spacing w:after="0" w:line="229" w:lineRule="exact"/>
              <w:rPr>
                <w:sz w:val="20"/>
                <w:szCs w:val="20"/>
                <w:color w:val="auto"/>
              </w:rPr>
            </w:pPr>
            <w:r>
              <w:rPr>
                <w:rFonts w:ascii="Arial" w:cs="Arial" w:eastAsia="Arial" w:hAnsi="Arial"/>
                <w:sz w:val="25"/>
                <w:szCs w:val="25"/>
                <w:b w:val="1"/>
                <w:bCs w:val="1"/>
                <w:color w:val="FFFFFF"/>
                <w:w w:val="97"/>
                <w:vertAlign w:val="subscript"/>
              </w:rPr>
              <w:t>​</w:t>
            </w:r>
            <w:r>
              <w:rPr>
                <w:rFonts w:ascii="Arial" w:cs="Arial" w:eastAsia="Arial" w:hAnsi="Arial"/>
                <w:sz w:val="13"/>
                <w:szCs w:val="13"/>
                <w:b w:val="1"/>
                <w:bCs w:val="1"/>
                <w:color w:val="FFFFFF"/>
                <w:w w:val="97"/>
              </w:rPr>
              <w:t xml:space="preserve"> Beneficially Owned</w:t>
            </w:r>
            <w:r>
              <w:rPr>
                <w:rFonts w:ascii="Arial" w:cs="Arial" w:eastAsia="Arial" w:hAnsi="Arial"/>
                <w:sz w:val="16"/>
                <w:szCs w:val="16"/>
                <w:b w:val="1"/>
                <w:bCs w:val="1"/>
                <w:color w:val="FFFFFF"/>
                <w:w w:val="97"/>
                <w:vertAlign w:val="superscript"/>
              </w:rPr>
              <w:t>(1)</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40" w:type="dxa"/>
            <w:vAlign w:val="bottom"/>
            <w:gridSpan w:val="2"/>
            <w:shd w:val="clear" w:color="auto" w:fill="003763"/>
          </w:tcPr>
          <w:p>
            <w:pPr>
              <w:ind w:left="40"/>
              <w:spacing w:after="0" w:line="229" w:lineRule="exact"/>
              <w:rPr>
                <w:sz w:val="20"/>
                <w:szCs w:val="20"/>
                <w:color w:val="auto"/>
              </w:rPr>
            </w:pPr>
            <w:r>
              <w:rPr>
                <w:rFonts w:ascii="Arial" w:cs="Arial" w:eastAsia="Arial" w:hAnsi="Arial"/>
                <w:sz w:val="25"/>
                <w:szCs w:val="25"/>
                <w:b w:val="1"/>
                <w:bCs w:val="1"/>
                <w:color w:val="FFFFFF"/>
                <w:w w:val="96"/>
                <w:vertAlign w:val="subscript"/>
              </w:rPr>
              <w:t>​</w:t>
            </w:r>
            <w:r>
              <w:rPr>
                <w:rFonts w:ascii="Arial" w:cs="Arial" w:eastAsia="Arial" w:hAnsi="Arial"/>
                <w:sz w:val="13"/>
                <w:szCs w:val="13"/>
                <w:b w:val="1"/>
                <w:bCs w:val="1"/>
                <w:color w:val="FFFFFF"/>
                <w:w w:val="96"/>
              </w:rPr>
              <w:t xml:space="preserve"> Owned</w:t>
            </w:r>
            <w:r>
              <w:rPr>
                <w:rFonts w:ascii="Arial" w:cs="Arial" w:eastAsia="Arial" w:hAnsi="Arial"/>
                <w:sz w:val="16"/>
                <w:szCs w:val="16"/>
                <w:b w:val="1"/>
                <w:bCs w:val="1"/>
                <w:color w:val="FFFFFF"/>
                <w:w w:val="96"/>
                <w:vertAlign w:val="superscript"/>
              </w:rPr>
              <w:t>(2)</w:t>
            </w: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Wendy Montoya Cloonan</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22,815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Earl M. Cummings</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30,802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Barbara J. Duganier</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5,798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Laurie L. Fitch</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Christopher A. Foster</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47,995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Christopher H. Franklin</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16,468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Lynne Harkel-Rumford</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103,367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Monica Karuturi</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133,752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David J. Lesar</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320"/>
              <w:spacing w:after="0" w:line="183" w:lineRule="exact"/>
              <w:rPr>
                <w:sz w:val="20"/>
                <w:szCs w:val="20"/>
                <w:color w:val="auto"/>
              </w:rPr>
            </w:pPr>
            <w:r>
              <w:rPr>
                <w:rFonts w:ascii="Arial" w:cs="Arial" w:eastAsia="Arial" w:hAnsi="Arial"/>
                <w:sz w:val="14"/>
                <w:szCs w:val="14"/>
                <w:color w:val="auto"/>
              </w:rPr>
              <w:t>​1,641,323</w:t>
            </w:r>
            <w:r>
              <w:rPr>
                <w:rFonts w:ascii="Arial" w:cs="Arial" w:eastAsia="Arial" w:hAnsi="Arial"/>
                <w:sz w:val="17"/>
                <w:szCs w:val="17"/>
                <w:color w:val="auto"/>
                <w:vertAlign w:val="superscript"/>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Raquelle W. Lewis</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20,087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Thaddeus J. Malik</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9,584</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Manuel B. Miranda</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Theodore F. Pound</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52,906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Ricky A. Raven</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9,584</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Jason M. Ryan</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line="183" w:lineRule="exact"/>
              <w:rPr>
                <w:sz w:val="20"/>
                <w:szCs w:val="20"/>
                <w:color w:val="auto"/>
              </w:rPr>
            </w:pPr>
            <w:r>
              <w:rPr>
                <w:rFonts w:ascii="Arial" w:cs="Arial" w:eastAsia="Arial" w:hAnsi="Arial"/>
                <w:sz w:val="14"/>
                <w:szCs w:val="14"/>
                <w:color w:val="auto"/>
              </w:rPr>
              <w:t>136,106</w:t>
            </w:r>
            <w:r>
              <w:rPr>
                <w:rFonts w:ascii="Arial" w:cs="Arial" w:eastAsia="Arial" w:hAnsi="Arial"/>
                <w:sz w:val="17"/>
                <w:szCs w:val="17"/>
                <w:color w:val="auto"/>
                <w:vertAlign w:val="superscript"/>
              </w:rPr>
              <w:t>(4)</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Dean L. Seavers</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1,790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Phillip R. Smith</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67,243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Jason P. Wells</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line="183" w:lineRule="exact"/>
              <w:rPr>
                <w:sz w:val="20"/>
                <w:szCs w:val="20"/>
                <w:color w:val="auto"/>
              </w:rPr>
            </w:pPr>
            <w:r>
              <w:rPr>
                <w:rFonts w:ascii="Arial" w:cs="Arial" w:eastAsia="Arial" w:hAnsi="Arial"/>
                <w:sz w:val="14"/>
                <w:szCs w:val="14"/>
                <w:color w:val="auto"/>
              </w:rPr>
              <w:t>297,182</w:t>
            </w:r>
            <w:r>
              <w:rPr>
                <w:rFonts w:ascii="Arial" w:cs="Arial" w:eastAsia="Arial" w:hAnsi="Arial"/>
                <w:sz w:val="17"/>
                <w:szCs w:val="17"/>
                <w:color w:val="auto"/>
                <w:vertAlign w:val="superscript"/>
              </w:rPr>
              <w:t>(5)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240" w:type="dxa"/>
            <w:vAlign w:val="bottom"/>
          </w:tcPr>
          <w:p>
            <w:pPr>
              <w:spacing w:after="0"/>
              <w:rPr>
                <w:sz w:val="20"/>
                <w:szCs w:val="20"/>
                <w:color w:val="auto"/>
              </w:rPr>
            </w:pPr>
            <w:r>
              <w:rPr>
                <w:rFonts w:ascii="Arial" w:cs="Arial" w:eastAsia="Arial" w:hAnsi="Arial"/>
                <w:sz w:val="14"/>
                <w:szCs w:val="14"/>
                <w:color w:val="auto"/>
              </w:rPr>
              <w:t>Lynnae K. Wilson</w:t>
            </w:r>
          </w:p>
        </w:tc>
        <w:tc>
          <w:tcPr>
            <w:tcW w:w="7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6240" w:type="dxa"/>
            <w:vAlign w:val="bottom"/>
            <w:tcBorders>
              <w:bottom w:val="single" w:sz="8" w:color="CCCCCC"/>
            </w:tcBorders>
          </w:tcPr>
          <w:p>
            <w:pPr>
              <w:spacing w:after="0"/>
              <w:rPr>
                <w:sz w:val="7"/>
                <w:szCs w:val="7"/>
                <w:color w:val="auto"/>
              </w:rPr>
            </w:pPr>
          </w:p>
        </w:tc>
        <w:tc>
          <w:tcPr>
            <w:tcW w:w="720" w:type="dxa"/>
            <w:vAlign w:val="bottom"/>
            <w:tcBorders>
              <w:bottom w:val="single" w:sz="8" w:color="CCCCCC"/>
            </w:tcBorders>
            <w:vMerge w:val="continue"/>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400" w:type="dxa"/>
            <w:vAlign w:val="bottom"/>
            <w:tcBorders>
              <w:bottom w:val="single" w:sz="8" w:color="CCCCCC"/>
            </w:tcBorders>
          </w:tcPr>
          <w:p>
            <w:pPr>
              <w:ind w:left="320"/>
              <w:spacing w:after="0" w:line="81" w:lineRule="exact"/>
              <w:rPr>
                <w:sz w:val="20"/>
                <w:szCs w:val="20"/>
                <w:color w:val="auto"/>
              </w:rPr>
            </w:pPr>
            <w:r>
              <w:rPr>
                <w:rFonts w:ascii="Arial" w:cs="Arial" w:eastAsia="Arial" w:hAnsi="Arial"/>
                <w:sz w:val="9"/>
                <w:szCs w:val="9"/>
                <w:color w:val="auto"/>
              </w:rPr>
              <w:t>​</w:t>
            </w:r>
          </w:p>
        </w:tc>
        <w:tc>
          <w:tcPr>
            <w:tcW w:w="8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100" w:type="dxa"/>
            <w:vAlign w:val="bottom"/>
            <w:tcBorders>
              <w:bottom w:val="single" w:sz="8" w:color="CCCCCC"/>
            </w:tcBorders>
            <w:vMerge w:val="continue"/>
          </w:tcPr>
          <w:p>
            <w:pPr>
              <w:spacing w:after="0"/>
              <w:rPr>
                <w:sz w:val="7"/>
                <w:szCs w:val="7"/>
                <w:color w:val="auto"/>
              </w:rPr>
            </w:pPr>
          </w:p>
        </w:tc>
        <w:tc>
          <w:tcPr>
            <w:tcW w:w="54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320" w:type="dxa"/>
            <w:vAlign w:val="bottom"/>
            <w:gridSpan w:val="2"/>
            <w:vMerge w:val="restart"/>
          </w:tcPr>
          <w:p>
            <w:pPr>
              <w:ind w:left="40"/>
              <w:spacing w:after="0"/>
              <w:rPr>
                <w:sz w:val="20"/>
                <w:szCs w:val="20"/>
                <w:color w:val="auto"/>
              </w:rPr>
            </w:pPr>
            <w:r>
              <w:rPr>
                <w:rFonts w:ascii="Arial" w:cs="Arial" w:eastAsia="Arial" w:hAnsi="Arial"/>
                <w:sz w:val="14"/>
                <w:szCs w:val="14"/>
                <w:color w:val="auto"/>
              </w:rPr>
              <w:t>​All current executive officers, directors, and nominees for director as a group (16 persons)</w:t>
            </w:r>
          </w:p>
        </w:tc>
        <w:tc>
          <w:tcPr>
            <w:tcW w:w="800" w:type="dxa"/>
            <w:vAlign w:val="bottom"/>
            <w:gridSpan w:val="2"/>
            <w:vMerge w:val="restart"/>
          </w:tcPr>
          <w:p>
            <w:pPr>
              <w:ind w:left="640"/>
              <w:spacing w:after="0"/>
              <w:rPr>
                <w:sz w:val="20"/>
                <w:szCs w:val="20"/>
                <w:color w:val="auto"/>
              </w:rPr>
            </w:pPr>
            <w:r>
              <w:rPr>
                <w:rFonts w:ascii="Arial" w:cs="Arial" w:eastAsia="Arial" w:hAnsi="Arial"/>
                <w:sz w:val="14"/>
                <w:szCs w:val="14"/>
                <w:color w:val="auto"/>
              </w:rPr>
              <w:t>​ ​</w:t>
            </w:r>
          </w:p>
        </w:tc>
        <w:tc>
          <w:tcPr>
            <w:tcW w:w="40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w w:val="99"/>
              </w:rPr>
              <w:t>941,086</w:t>
            </w:r>
            <w:r>
              <w:rPr>
                <w:rFonts w:ascii="Arial" w:cs="Arial" w:eastAsia="Arial" w:hAnsi="Arial"/>
                <w:sz w:val="17"/>
                <w:szCs w:val="17"/>
                <w:color w:val="auto"/>
                <w:w w:val="99"/>
                <w:vertAlign w:val="superscript"/>
              </w:rPr>
              <w:t>(4)(6)</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20" w:type="dxa"/>
            <w:vAlign w:val="bottom"/>
            <w:tcBorders>
              <w:bottom w:val="single" w:sz="8" w:color="CCCCCC"/>
            </w:tcBorders>
            <w:gridSpan w:val="2"/>
            <w:vMerge w:val="continue"/>
          </w:tcPr>
          <w:p>
            <w:pPr>
              <w:spacing w:after="0"/>
              <w:rPr>
                <w:sz w:val="12"/>
                <w:szCs w:val="12"/>
                <w:color w:val="auto"/>
              </w:rPr>
            </w:pPr>
          </w:p>
        </w:tc>
        <w:tc>
          <w:tcPr>
            <w:tcW w:w="800" w:type="dxa"/>
            <w:vAlign w:val="bottom"/>
            <w:tcBorders>
              <w:bottom w:val="single" w:sz="8" w:color="CCCCCC"/>
            </w:tcBorders>
            <w:gridSpan w:val="2"/>
            <w:vMerge w:val="continue"/>
          </w:tcPr>
          <w:p>
            <w:pPr>
              <w:spacing w:after="0"/>
              <w:rPr>
                <w:sz w:val="12"/>
                <w:szCs w:val="12"/>
                <w:color w:val="auto"/>
              </w:rPr>
            </w:pPr>
          </w:p>
        </w:tc>
        <w:tc>
          <w:tcPr>
            <w:tcW w:w="400" w:type="dxa"/>
            <w:vAlign w:val="bottom"/>
            <w:tcBorders>
              <w:bottom w:val="single" w:sz="8" w:color="CCCCCC"/>
            </w:tcBorders>
          </w:tcPr>
          <w:p>
            <w:pPr>
              <w:ind w:left="32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CCCC"/>
            </w:tcBorders>
          </w:tcPr>
          <w:p>
            <w:pPr>
              <w:spacing w:after="0"/>
              <w:rPr>
                <w:sz w:val="12"/>
                <w:szCs w:val="12"/>
                <w:color w:val="auto"/>
              </w:rPr>
            </w:pPr>
          </w:p>
        </w:tc>
        <w:tc>
          <w:tcPr>
            <w:tcW w:w="240" w:type="dxa"/>
            <w:vAlign w:val="bottom"/>
            <w:tcBorders>
              <w:bottom w:val="single" w:sz="8" w:color="CCCCCC"/>
            </w:tcBorders>
            <w:gridSpan w:val="2"/>
            <w:vMerge w:val="continue"/>
          </w:tcPr>
          <w:p>
            <w:pPr>
              <w:spacing w:after="0"/>
              <w:rPr>
                <w:sz w:val="12"/>
                <w:szCs w:val="12"/>
                <w:color w:val="auto"/>
              </w:rPr>
            </w:pPr>
          </w:p>
        </w:tc>
        <w:tc>
          <w:tcPr>
            <w:tcW w:w="540" w:type="dxa"/>
            <w:vAlign w:val="bottom"/>
            <w:tcBorders>
              <w:bottom w:val="single" w:sz="8" w:color="CCCCCC"/>
            </w:tcBorders>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20" w:hanging="189"/>
        <w:spacing w:after="0"/>
        <w:tabs>
          <w:tab w:leader="none" w:pos="9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80" w:lineRule="exact"/>
        <w:rPr>
          <w:sz w:val="20"/>
          <w:szCs w:val="20"/>
          <w:color w:val="auto"/>
        </w:rPr>
      </w:pPr>
    </w:p>
    <w:p>
      <w:pPr>
        <w:ind w:left="920" w:right="160" w:hanging="189"/>
        <w:spacing w:after="0" w:line="198" w:lineRule="auto"/>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The address of all persons listed in “Security Ownership of Directors and Management” table is c/o CenterPoint Energy, Inc., 1111 Louisiana Street, Houston, Texas 77002.</w:t>
      </w:r>
    </w:p>
    <w:p>
      <w:pPr>
        <w:spacing w:after="0" w:line="64" w:lineRule="exact"/>
        <w:rPr>
          <w:rFonts w:ascii="Arial" w:cs="Arial" w:eastAsia="Arial" w:hAnsi="Arial"/>
          <w:sz w:val="20"/>
          <w:szCs w:val="20"/>
          <w:color w:val="auto"/>
          <w:vertAlign w:val="superscript"/>
        </w:rPr>
      </w:pPr>
    </w:p>
    <w:p>
      <w:pPr>
        <w:ind w:left="920" w:right="80" w:hanging="189"/>
        <w:spacing w:after="0" w:line="210" w:lineRule="auto"/>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For each individual and group included in the above table, percentage ownership is calculated by dividing the number of shares beneficially owned by such person or group as described above by the sum of the 652,726,754 shares of common stock outstanding on February 28, 2025, and the number of shares of common stock that such person or group had the right to acquire on or within 60 days of February 28, 2025.</w:t>
      </w:r>
    </w:p>
    <w:p>
      <w:pPr>
        <w:ind w:left="920" w:hanging="189"/>
        <w:spacing w:after="0"/>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Includes 687,244 shares of CenterPoint Energy common stock held indirectly by Mr. Lesar’s spouse.</w:t>
      </w:r>
    </w:p>
    <w:p>
      <w:pPr>
        <w:spacing w:after="0" w:line="71" w:lineRule="exact"/>
        <w:rPr>
          <w:rFonts w:ascii="Arial" w:cs="Arial" w:eastAsia="Arial" w:hAnsi="Arial"/>
          <w:sz w:val="20"/>
          <w:szCs w:val="20"/>
          <w:color w:val="auto"/>
          <w:vertAlign w:val="superscript"/>
        </w:rPr>
      </w:pPr>
    </w:p>
    <w:p>
      <w:pPr>
        <w:ind w:left="920" w:right="100" w:hanging="189"/>
        <w:spacing w:after="0" w:line="206" w:lineRule="auto"/>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p>
    <w:p>
      <w:pPr>
        <w:ind w:left="920" w:hanging="189"/>
        <w:spacing w:after="0"/>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Includes 55,560 shares of CenterPoint Energy common stock held indirectly in a trust.</w:t>
      </w:r>
    </w:p>
    <w:p>
      <w:pPr>
        <w:spacing w:after="0" w:line="71" w:lineRule="exact"/>
        <w:rPr>
          <w:rFonts w:ascii="Arial" w:cs="Arial" w:eastAsia="Arial" w:hAnsi="Arial"/>
          <w:sz w:val="20"/>
          <w:szCs w:val="20"/>
          <w:color w:val="auto"/>
          <w:vertAlign w:val="superscript"/>
        </w:rPr>
      </w:pPr>
    </w:p>
    <w:p>
      <w:pPr>
        <w:ind w:left="920" w:right="280" w:hanging="189"/>
        <w:spacing w:after="0" w:line="193" w:lineRule="auto"/>
        <w:tabs>
          <w:tab w:leader="none" w:pos="92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Does not include Mr. Lesar (who retired from the Company on January 5, 2024), Ms. Wilson (who departed from the Company on July 26, 2024), Mr. Smitherman (who departed from the Board on December 31, 2024), or Ms. Harkel-Rumford (who retired from the Company on February 3, 2025).</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Compensation Discussion and Analysis</w:t>
      </w:r>
    </w:p>
    <w:p>
      <w:pPr>
        <w:spacing w:after="0" w:line="200" w:lineRule="exact"/>
        <w:rPr>
          <w:sz w:val="20"/>
          <w:szCs w:val="20"/>
          <w:color w:val="auto"/>
        </w:rPr>
      </w:pPr>
    </w:p>
    <w:p>
      <w:pPr>
        <w:spacing w:after="0" w:line="265" w:lineRule="exact"/>
        <w:rPr>
          <w:sz w:val="20"/>
          <w:szCs w:val="20"/>
          <w:color w:val="auto"/>
        </w:rPr>
      </w:pPr>
    </w:p>
    <w:p>
      <w:pPr>
        <w:ind w:left="740" w:right="180"/>
        <w:spacing w:after="0" w:line="254" w:lineRule="auto"/>
        <w:rPr>
          <w:sz w:val="20"/>
          <w:szCs w:val="20"/>
          <w:color w:val="auto"/>
        </w:rPr>
      </w:pPr>
      <w:r>
        <w:rPr>
          <w:rFonts w:ascii="Arial" w:cs="Arial" w:eastAsia="Arial" w:hAnsi="Arial"/>
          <w:sz w:val="16"/>
          <w:szCs w:val="16"/>
          <w:color w:val="auto"/>
        </w:rPr>
        <w:t>The Human Capital and Compensation Committee has developed a compensation program to align executive compensation with short-term and long-term performance against financial, operational, and strategic goals that are key to our long-term success for the benefit of our stakeholders and delivering long-term value for our shareholders. This Compensation Discussion and Analysis (CD&amp;A) describes our executive compensation program, including the objectives and elements of compensation, as well as recommendations and determinations made by the Human Capital and Compensation Committee regarding the compensation of our named executive officers.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Executive Summary</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named executive officers for 2024 include the individuals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132080</wp:posOffset>
            </wp:positionV>
            <wp:extent cx="4629150" cy="1791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2915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 Mr. Wells was appointed President and Chief Executive Officer of the Company, effective January 5, 2024, upon the retirement of Mr. David J. Lesar.</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named executive officers for 2024 also include the following individuals who have departed from the Company:</w:t>
      </w:r>
    </w:p>
    <w:p>
      <w:pPr>
        <w:spacing w:after="0" w:line="113" w:lineRule="exact"/>
        <w:rPr>
          <w:sz w:val="20"/>
          <w:szCs w:val="20"/>
          <w:color w:val="auto"/>
        </w:rPr>
      </w:pPr>
    </w:p>
    <w:p>
      <w:pPr>
        <w:ind w:left="920" w:hanging="189"/>
        <w:spacing w:after="0"/>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David J. Lesar, our former Chief Executive Officer and Director (who retired on January 5, 2024).</w:t>
      </w:r>
    </w:p>
    <w:p>
      <w:pPr>
        <w:spacing w:after="0" w:line="99" w:lineRule="exact"/>
        <w:rPr>
          <w:rFonts w:ascii="Arial" w:cs="Arial" w:eastAsia="Arial" w:hAnsi="Arial"/>
          <w:sz w:val="16"/>
          <w:szCs w:val="16"/>
          <w:color w:val="auto"/>
        </w:rPr>
      </w:pPr>
    </w:p>
    <w:p>
      <w:pPr>
        <w:ind w:left="920" w:right="320" w:hanging="189"/>
        <w:spacing w:after="0" w:line="304" w:lineRule="auto"/>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Lynne Harkel-Rumford, our former Executive Vice President and Chief Human Resources Officer (who retired on February 3, 2025).</w:t>
      </w:r>
    </w:p>
    <w:p>
      <w:pPr>
        <w:spacing w:after="0" w:line="19" w:lineRule="exact"/>
        <w:rPr>
          <w:rFonts w:ascii="Arial" w:cs="Arial" w:eastAsia="Arial" w:hAnsi="Arial"/>
          <w:sz w:val="16"/>
          <w:szCs w:val="16"/>
          <w:color w:val="auto"/>
        </w:rPr>
      </w:pPr>
    </w:p>
    <w:p>
      <w:pPr>
        <w:ind w:left="920" w:hanging="189"/>
        <w:spacing w:after="0"/>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Lynnae K. Wilson, our former Senior Vice President, Electric Business (who departed the Company on July 26, 2024).</w:t>
      </w:r>
    </w:p>
    <w:p>
      <w:pPr>
        <w:spacing w:after="0" w:line="154" w:lineRule="exact"/>
        <w:rPr>
          <w:sz w:val="20"/>
          <w:szCs w:val="20"/>
          <w:color w:val="auto"/>
        </w:rPr>
      </w:pPr>
    </w:p>
    <w:p>
      <w:pPr>
        <w:ind w:left="740" w:right="660"/>
        <w:spacing w:after="0" w:line="286" w:lineRule="auto"/>
        <w:rPr>
          <w:sz w:val="20"/>
          <w:szCs w:val="20"/>
          <w:color w:val="auto"/>
        </w:rPr>
      </w:pPr>
      <w:r>
        <w:rPr>
          <w:rFonts w:ascii="Arial" w:cs="Arial" w:eastAsia="Arial" w:hAnsi="Arial"/>
          <w:sz w:val="16"/>
          <w:szCs w:val="16"/>
          <w:color w:val="auto"/>
        </w:rPr>
        <w:t>For information regarding payments to Mr. Lesar and Mses. Harkel-Rumford and Wilson in connection with their respective departures, see “—Retirements and Severance Arrangements” below.</w:t>
      </w:r>
    </w:p>
    <w:p>
      <w:pPr>
        <w:spacing w:after="0" w:line="88" w:lineRule="exact"/>
        <w:rPr>
          <w:sz w:val="20"/>
          <w:szCs w:val="20"/>
          <w:color w:val="auto"/>
        </w:rPr>
      </w:pPr>
    </w:p>
    <w:p>
      <w:pPr>
        <w:ind w:left="740" w:right="140"/>
        <w:spacing w:after="0" w:line="282" w:lineRule="auto"/>
        <w:rPr>
          <w:sz w:val="20"/>
          <w:szCs w:val="20"/>
          <w:color w:val="auto"/>
        </w:rPr>
      </w:pPr>
      <w:r>
        <w:rPr>
          <w:rFonts w:ascii="Arial" w:cs="Arial" w:eastAsia="Arial" w:hAnsi="Arial"/>
          <w:sz w:val="15"/>
          <w:szCs w:val="15"/>
          <w:color w:val="auto"/>
        </w:rPr>
        <w:t>In this Proxy Statement, we refer to our “executive officers,” who are the individuals identified by the Company as “executive officers” under Rule 3b-7 of the Exchange Act and include Jason P. Wells, Christopher A. Foster, Monica Karuturi, Jason M. Ryan, and, prior to their respective departures, David J. Lesar (January 5, 2024 departure), Lynne Harkel-Rumford (February 3, 2025, departure), and Lynnae K. Wilson (July 26, 2024 departure). Our “non-executives” are employees who are not executive officers.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Business Performance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During 2024, we continued to execute on our long-term corporate strategy and premium value proposition by, among other things:</w:t>
      </w:r>
    </w:p>
    <w:p>
      <w:pPr>
        <w:spacing w:after="0" w:line="113" w:lineRule="exact"/>
        <w:rPr>
          <w:sz w:val="20"/>
          <w:szCs w:val="20"/>
          <w:color w:val="auto"/>
        </w:rPr>
      </w:pPr>
    </w:p>
    <w:p>
      <w:pPr>
        <w:jc w:val="both"/>
        <w:ind w:left="920" w:right="460" w:hanging="189"/>
        <w:spacing w:after="0" w:line="275" w:lineRule="auto"/>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Continuing to make significant progress toward our goal of becoming the most resilient coastal grid in the country, including launching our Greater Houston Resiliency Initiative (GHRI) and completing the first phase of this initiative, which included a series of core resiliency actions.</w:t>
      </w:r>
    </w:p>
    <w:p>
      <w:pPr>
        <w:spacing w:after="0" w:line="42" w:lineRule="exact"/>
        <w:rPr>
          <w:rFonts w:ascii="Arial" w:cs="Arial" w:eastAsia="Arial" w:hAnsi="Arial"/>
          <w:sz w:val="16"/>
          <w:szCs w:val="16"/>
          <w:color w:val="auto"/>
        </w:rPr>
      </w:pPr>
    </w:p>
    <w:p>
      <w:pPr>
        <w:ind w:left="920" w:hanging="189"/>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Meeting our non-GAAP Adjusted EPS (as defined below) growth rate plan goal for 2024.</w:t>
      </w:r>
    </w:p>
    <w:p>
      <w:pPr>
        <w:spacing w:after="0" w:line="99" w:lineRule="exact"/>
        <w:rPr>
          <w:rFonts w:ascii="Arial" w:cs="Arial" w:eastAsia="Arial" w:hAnsi="Arial"/>
          <w:sz w:val="16"/>
          <w:szCs w:val="16"/>
          <w:color w:val="auto"/>
        </w:rPr>
      </w:pPr>
    </w:p>
    <w:p>
      <w:pPr>
        <w:ind w:left="920" w:hanging="189"/>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Making beneficial regulatory progress on five rate cases in four states, including obtaining final orders for two rate cases.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and 2025 Compensation Highlights</w:t>
      </w:r>
    </w:p>
    <w:p>
      <w:pPr>
        <w:spacing w:after="0" w:line="122" w:lineRule="exact"/>
        <w:rPr>
          <w:sz w:val="20"/>
          <w:szCs w:val="20"/>
          <w:color w:val="auto"/>
        </w:rPr>
      </w:pPr>
    </w:p>
    <w:p>
      <w:pPr>
        <w:ind w:left="920" w:right="80" w:hanging="189"/>
        <w:spacing w:after="0" w:line="271" w:lineRule="auto"/>
        <w:tabs>
          <w:tab w:leader="none" w:pos="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met our non-GAAP Adjusted EPS growth rate goal under the 2024 short-term incentive plan, representing industry top quartile growth and resulting in achievement for the executive officers of 125% of their target awards despite increased spending by the Company in the second half of 2024 to enhance system resiliency for future inclement weather for the benefit of customers.</w:t>
      </w:r>
    </w:p>
    <w:p>
      <w:pPr>
        <w:sectPr>
          <w:pgSz w:w="11900" w:h="16838" w:orient="portrait"/>
          <w:cols w:equalWidth="0" w:num="1">
            <w:col w:w="10020"/>
          </w:cols>
          <w:pgMar w:left="580" w:top="97" w:right="1299" w:bottom="1440" w:gutter="0" w:footer="0" w:header="0"/>
        </w:sectPr>
      </w:pPr>
    </w:p>
    <w:p>
      <w:pPr>
        <w:spacing w:after="0" w:line="21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0" w:right="960" w:hanging="189"/>
        <w:spacing w:after="0"/>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2022 performance shares vested at 149% of target as a result of the Company ranking in 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place of the peer group for total shareholder return (TSR) for the three years ended December 31, 2024, exceeding our cumulative non-GAAP Adjusted EPS targets, achieving above target for our cumulative carbon emissions reduction goal for Scope 1 and 2 carbon emissions, and exceeding our cumulative carbon emissions reduction goal for Scope 3 carbon emissions.</w:t>
      </w:r>
    </w:p>
    <w:p>
      <w:pPr>
        <w:spacing w:after="0" w:line="109" w:lineRule="exact"/>
        <w:rPr>
          <w:rFonts w:ascii="Arial" w:cs="Arial" w:eastAsia="Arial" w:hAnsi="Arial"/>
          <w:sz w:val="16"/>
          <w:szCs w:val="16"/>
          <w:color w:val="auto"/>
        </w:rPr>
      </w:pPr>
    </w:p>
    <w:p>
      <w:pPr>
        <w:ind w:left="920" w:right="720" w:hanging="189"/>
        <w:spacing w:after="0" w:line="340" w:lineRule="auto"/>
        <w:tabs>
          <w:tab w:leader="none" w:pos="9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Following the 2024 say-on-pay vote results of approximately 93.4% that indicated strong shareholder support, the Human Capital and Compensation Committee generally maintained the overall structure of our executive compensation programs for 2024.</w:t>
      </w:r>
    </w:p>
    <w:p>
      <w:pPr>
        <w:spacing w:after="0" w:line="37" w:lineRule="exact"/>
        <w:rPr>
          <w:rFonts w:ascii="Arial" w:cs="Arial" w:eastAsia="Arial" w:hAnsi="Arial"/>
          <w:sz w:val="15"/>
          <w:szCs w:val="15"/>
          <w:color w:val="auto"/>
        </w:rPr>
      </w:pPr>
    </w:p>
    <w:p>
      <w:pPr>
        <w:ind w:left="920" w:right="880" w:hanging="189"/>
        <w:spacing w:after="0" w:line="265"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Effective for the 2025 plan year, the Human Capital and Compensation Committee approved certain modifications to our short-term incentive plan to (i) incorporate for executive officers weighted non-financial performance metrics relating to safety, operational excellence, and customer satisfaction (in addition to the non-GAAP Adjusted EPS metric) in recognition of the importance of safe, reliable operations and customer service to our long-term success as an organization and in response to feedback from shareholders and other stakeholders and (ii) consolidate the short-term incentive plan objectives and metrics for non-executive employees and executive officers to strengthen alignment for all Company employees.</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Continued Execution of Succession Planning</w:t>
      </w:r>
    </w:p>
    <w:p>
      <w:pPr>
        <w:spacing w:after="0" w:line="122" w:lineRule="exact"/>
        <w:rPr>
          <w:sz w:val="20"/>
          <w:szCs w:val="20"/>
          <w:color w:val="auto"/>
        </w:rPr>
      </w:pPr>
    </w:p>
    <w:p>
      <w:pPr>
        <w:ind w:left="740" w:right="780"/>
        <w:spacing w:after="0" w:line="265" w:lineRule="auto"/>
        <w:rPr>
          <w:sz w:val="20"/>
          <w:szCs w:val="20"/>
          <w:color w:val="auto"/>
        </w:rPr>
      </w:pPr>
      <w:r>
        <w:rPr>
          <w:rFonts w:ascii="Arial" w:cs="Arial" w:eastAsia="Arial" w:hAnsi="Arial"/>
          <w:sz w:val="16"/>
          <w:szCs w:val="16"/>
          <w:color w:val="auto"/>
        </w:rPr>
        <w:t>The Company’s succession planning has been, and continues to be, a top priority for the Board and the Company’s shareholders. Effective as of the retirement of Mr. Lesar from his position as Chief Executive Officer and as a member of the Board on January 5, 2024, the Board appointed Mr. Wells, who most recently served as our President and Chief Operating Officer, as President and Chief Executive Officer and as a member of the Board. Additionally, in December 2024, the Company announced the retirement of Lynne Harkel-Rumford from her position as Executive Vice President and Chief Human Resources Officer and the promotion of the Company’s Senior Vice President of Human Resources to Chief Human Resources Officer, effective January 1, 2025.</w:t>
      </w:r>
    </w:p>
    <w:p>
      <w:pPr>
        <w:spacing w:after="0" w:line="118" w:lineRule="exact"/>
        <w:rPr>
          <w:sz w:val="20"/>
          <w:szCs w:val="20"/>
          <w:color w:val="auto"/>
        </w:rPr>
      </w:pPr>
    </w:p>
    <w:p>
      <w:pPr>
        <w:jc w:val="both"/>
        <w:ind w:left="740" w:right="740"/>
        <w:spacing w:after="0" w:line="271" w:lineRule="auto"/>
        <w:rPr>
          <w:sz w:val="20"/>
          <w:szCs w:val="20"/>
          <w:color w:val="auto"/>
        </w:rPr>
      </w:pPr>
      <w:r>
        <w:rPr>
          <w:rFonts w:ascii="Arial" w:cs="Arial" w:eastAsia="Arial" w:hAnsi="Arial"/>
          <w:sz w:val="16"/>
          <w:szCs w:val="16"/>
          <w:color w:val="auto"/>
        </w:rPr>
        <w:t>As a result of the Board’s continued execution of its executive succession planning, the Company implemented a more streamlined organizational structure that promoted smooth transitions of leadership for the Company’s Chief Executive Officer and Chief Human Resources Officer positions, while allowing the Company and its leadership team to continue to execute on the Company’s ten-year capital plan.</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Executive Compensation Program Overview</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Our Compensation Objectives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executive compensation program is designed to achieve the objectives as set forth below:</w:t>
      </w:r>
    </w:p>
    <w:p>
      <w:pPr>
        <w:spacing w:after="0" w:line="194" w:lineRule="exact"/>
        <w:rPr>
          <w:sz w:val="20"/>
          <w:szCs w:val="20"/>
          <w:color w:val="auto"/>
        </w:rPr>
      </w:pPr>
    </w:p>
    <w:p>
      <w:pPr>
        <w:ind w:left="740"/>
        <w:spacing w:after="0"/>
        <w:tabs>
          <w:tab w:leader="none" w:pos="3420" w:val="left"/>
          <w:tab w:leader="none" w:pos="9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-107315</wp:posOffset>
            </wp:positionV>
            <wp:extent cx="5880735" cy="3420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80735" cy="3420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960" w:type="dxa"/>
            <w:vAlign w:val="bottom"/>
          </w:tcPr>
          <w:p>
            <w:pPr>
              <w:spacing w:after="0"/>
              <w:rPr>
                <w:sz w:val="22"/>
                <w:szCs w:val="22"/>
                <w:color w:val="auto"/>
              </w:rPr>
            </w:pPr>
          </w:p>
        </w:tc>
        <w:tc>
          <w:tcPr>
            <w:tcW w:w="2680" w:type="dxa"/>
            <w:vAlign w:val="bottom"/>
            <w:gridSpan w:val="5"/>
          </w:tcPr>
          <w:p>
            <w:pPr>
              <w:ind w:left="100"/>
              <w:spacing w:after="0" w:line="262" w:lineRule="exact"/>
              <w:rPr>
                <w:sz w:val="20"/>
                <w:szCs w:val="20"/>
                <w:color w:val="auto"/>
              </w:rPr>
            </w:pPr>
            <w:r>
              <w:rPr>
                <w:rFonts w:ascii="Arial" w:cs="Arial" w:eastAsia="Arial" w:hAnsi="Arial"/>
                <w:sz w:val="25"/>
                <w:szCs w:val="25"/>
                <w:color w:val="FFFFFF"/>
              </w:rPr>
              <w:t>Recruit and Retain</w:t>
            </w:r>
          </w:p>
        </w:tc>
        <w:tc>
          <w:tcPr>
            <w:tcW w:w="6030" w:type="dxa"/>
            <w:vAlign w:val="bottom"/>
            <w:vMerge w:val="restart"/>
          </w:tcPr>
          <w:p>
            <w:pPr>
              <w:ind w:left="160"/>
              <w:spacing w:after="0"/>
              <w:rPr>
                <w:sz w:val="20"/>
                <w:szCs w:val="20"/>
                <w:color w:val="auto"/>
              </w:rPr>
            </w:pPr>
            <w:r>
              <w:rPr>
                <w:rFonts w:ascii="Arial" w:cs="Arial" w:eastAsia="Arial" w:hAnsi="Arial"/>
                <w:sz w:val="16"/>
                <w:szCs w:val="16"/>
                <w:color w:val="auto"/>
              </w:rPr>
              <w:t>A key objective of our executive compensation program is to enable us to recruit</w:t>
            </w:r>
          </w:p>
        </w:tc>
        <w:tc>
          <w:tcPr>
            <w:tcW w:w="33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30" w:type="dxa"/>
            <w:vAlign w:val="bottom"/>
            <w:vMerge w:val="continue"/>
          </w:tcPr>
          <w:p>
            <w:pPr>
              <w:spacing w:after="0"/>
              <w:rPr>
                <w:sz w:val="3"/>
                <w:szCs w:val="3"/>
                <w:color w:val="auto"/>
              </w:rPr>
            </w:pPr>
          </w:p>
        </w:tc>
        <w:tc>
          <w:tcPr>
            <w:tcW w:w="33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25"/>
                <w:szCs w:val="25"/>
                <w:color w:val="FFFFFF"/>
              </w:rPr>
              <w:t>Talent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30" w:type="dxa"/>
            <w:vAlign w:val="bottom"/>
          </w:tcPr>
          <w:p>
            <w:pPr>
              <w:ind w:left="160"/>
              <w:spacing w:after="0"/>
              <w:rPr>
                <w:sz w:val="20"/>
                <w:szCs w:val="20"/>
                <w:color w:val="auto"/>
              </w:rPr>
            </w:pPr>
            <w:r>
              <w:rPr>
                <w:rFonts w:ascii="Arial" w:cs="Arial" w:eastAsia="Arial" w:hAnsi="Arial"/>
                <w:sz w:val="16"/>
                <w:szCs w:val="16"/>
                <w:color w:val="auto"/>
              </w:rPr>
              <w:t>and retain highly qualified executive talent. While the Company’s executive</w:t>
            </w:r>
          </w:p>
        </w:tc>
        <w:tc>
          <w:tcPr>
            <w:tcW w:w="33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30" w:type="dxa"/>
            <w:vAlign w:val="bottom"/>
          </w:tcPr>
          <w:p>
            <w:pPr>
              <w:ind w:left="160"/>
              <w:spacing w:after="0"/>
              <w:rPr>
                <w:sz w:val="20"/>
                <w:szCs w:val="20"/>
                <w:color w:val="auto"/>
              </w:rPr>
            </w:pPr>
            <w:r>
              <w:rPr>
                <w:rFonts w:ascii="Arial" w:cs="Arial" w:eastAsia="Arial" w:hAnsi="Arial"/>
                <w:sz w:val="16"/>
                <w:szCs w:val="16"/>
                <w:color w:val="auto"/>
              </w:rPr>
              <w:t>compensation program is market-based, the Human Capital and Compensation</w:t>
            </w:r>
          </w:p>
        </w:tc>
        <w:tc>
          <w:tcPr>
            <w:tcW w:w="33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30" w:type="dxa"/>
            <w:vAlign w:val="bottom"/>
          </w:tcPr>
          <w:p>
            <w:pPr>
              <w:ind w:left="160"/>
              <w:spacing w:after="0"/>
              <w:rPr>
                <w:sz w:val="20"/>
                <w:szCs w:val="20"/>
                <w:color w:val="auto"/>
              </w:rPr>
            </w:pPr>
            <w:r>
              <w:rPr>
                <w:rFonts w:ascii="Arial" w:cs="Arial" w:eastAsia="Arial" w:hAnsi="Arial"/>
                <w:sz w:val="16"/>
                <w:szCs w:val="16"/>
                <w:color w:val="auto"/>
                <w:w w:val="99"/>
              </w:rPr>
              <w:t>Committee considers other factors as appropriate or necessary to recruit and retain</w:t>
            </w:r>
          </w:p>
        </w:tc>
        <w:tc>
          <w:tcPr>
            <w:tcW w:w="33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30" w:type="dxa"/>
            <w:vAlign w:val="bottom"/>
          </w:tcPr>
          <w:p>
            <w:pPr>
              <w:ind w:left="160"/>
              <w:spacing w:after="0"/>
              <w:rPr>
                <w:sz w:val="20"/>
                <w:szCs w:val="20"/>
                <w:color w:val="auto"/>
              </w:rPr>
            </w:pPr>
            <w:r>
              <w:rPr>
                <w:rFonts w:ascii="Arial" w:cs="Arial" w:eastAsia="Arial" w:hAnsi="Arial"/>
                <w:sz w:val="16"/>
                <w:szCs w:val="16"/>
                <w:color w:val="auto"/>
              </w:rPr>
              <w:t>key executives.</w:t>
            </w:r>
          </w:p>
        </w:tc>
        <w:tc>
          <w:tcPr>
            <w:tcW w:w="3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603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380" w:type="dxa"/>
            <w:vAlign w:val="bottom"/>
            <w:gridSpan w:val="2"/>
            <w:vMerge w:val="restart"/>
            <w:shd w:val="clear" w:color="auto" w:fill="6EC4E8"/>
          </w:tcPr>
          <w:p>
            <w:pPr>
              <w:spacing w:after="0"/>
              <w:rPr>
                <w:sz w:val="20"/>
                <w:szCs w:val="20"/>
                <w:color w:val="auto"/>
              </w:rPr>
            </w:pPr>
            <w:r>
              <w:rPr>
                <w:rFonts w:ascii="Arial" w:cs="Arial" w:eastAsia="Arial" w:hAnsi="Arial"/>
                <w:sz w:val="25"/>
                <w:szCs w:val="25"/>
                <w:color w:val="FFFFFF"/>
              </w:rPr>
              <w:t>Pay for Performance</w:t>
            </w:r>
          </w:p>
        </w:tc>
        <w:tc>
          <w:tcPr>
            <w:tcW w:w="100" w:type="dxa"/>
            <w:vAlign w:val="bottom"/>
            <w:shd w:val="clear" w:color="auto" w:fill="6EC4E8"/>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030" w:type="dxa"/>
            <w:vAlign w:val="bottom"/>
            <w:shd w:val="clear" w:color="auto" w:fill="F2F2F2"/>
          </w:tcPr>
          <w:p>
            <w:pPr>
              <w:spacing w:after="0"/>
              <w:rPr>
                <w:sz w:val="23"/>
                <w:szCs w:val="23"/>
                <w:color w:val="auto"/>
              </w:rPr>
            </w:pPr>
          </w:p>
        </w:tc>
        <w:tc>
          <w:tcPr>
            <w:tcW w:w="330" w:type="dxa"/>
            <w:vAlign w:val="bottom"/>
            <w:shd w:val="clear" w:color="auto" w:fill="F2F2F2"/>
          </w:tcPr>
          <w:p>
            <w:pPr>
              <w:ind w:left="1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gridSpan w:val="2"/>
            <w:vMerge w:val="continue"/>
            <w:shd w:val="clear" w:color="auto" w:fill="6EC4E8"/>
          </w:tcPr>
          <w:p>
            <w:pPr>
              <w:spacing w:after="0"/>
              <w:rPr>
                <w:sz w:val="23"/>
                <w:szCs w:val="23"/>
                <w:color w:val="auto"/>
              </w:rPr>
            </w:pPr>
          </w:p>
        </w:tc>
        <w:tc>
          <w:tcPr>
            <w:tcW w:w="100" w:type="dxa"/>
            <w:vAlign w:val="bottom"/>
            <w:shd w:val="clear" w:color="auto" w:fill="6EC4E8"/>
          </w:tcPr>
          <w:p>
            <w:pPr>
              <w:spacing w:after="0"/>
              <w:rPr>
                <w:sz w:val="23"/>
                <w:szCs w:val="23"/>
                <w:color w:val="auto"/>
              </w:rPr>
            </w:pPr>
          </w:p>
        </w:tc>
        <w:tc>
          <w:tcPr>
            <w:tcW w:w="100" w:type="dxa"/>
            <w:vAlign w:val="bottom"/>
          </w:tcPr>
          <w:p>
            <w:pPr>
              <w:spacing w:after="0"/>
              <w:rPr>
                <w:sz w:val="23"/>
                <w:szCs w:val="23"/>
                <w:color w:val="auto"/>
              </w:rPr>
            </w:pPr>
          </w:p>
        </w:tc>
        <w:tc>
          <w:tcPr>
            <w:tcW w:w="603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We have structured our compensation program to motivate our executives to</w:t>
            </w:r>
          </w:p>
        </w:tc>
        <w:tc>
          <w:tcPr>
            <w:tcW w:w="330" w:type="dxa"/>
            <w:vAlign w:val="bottom"/>
            <w:shd w:val="clear" w:color="auto" w:fill="F2F2F2"/>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shd w:val="clear" w:color="auto" w:fill="6EC4E8"/>
          </w:tcPr>
          <w:p>
            <w:pPr>
              <w:spacing w:after="0"/>
              <w:rPr>
                <w:sz w:val="3"/>
                <w:szCs w:val="3"/>
                <w:color w:val="auto"/>
              </w:rPr>
            </w:pPr>
          </w:p>
        </w:tc>
        <w:tc>
          <w:tcPr>
            <w:tcW w:w="1540" w:type="dxa"/>
            <w:vAlign w:val="bottom"/>
            <w:shd w:val="clear" w:color="auto" w:fill="6EC4E8"/>
          </w:tcPr>
          <w:p>
            <w:pPr>
              <w:spacing w:after="0"/>
              <w:rPr>
                <w:sz w:val="3"/>
                <w:szCs w:val="3"/>
                <w:color w:val="auto"/>
              </w:rPr>
            </w:pPr>
          </w:p>
        </w:tc>
        <w:tc>
          <w:tcPr>
            <w:tcW w:w="100" w:type="dxa"/>
            <w:vAlign w:val="bottom"/>
            <w:shd w:val="clear" w:color="auto" w:fill="6EC4E8"/>
          </w:tcPr>
          <w:p>
            <w:pPr>
              <w:spacing w:after="0"/>
              <w:rPr>
                <w:sz w:val="3"/>
                <w:szCs w:val="3"/>
                <w:color w:val="auto"/>
              </w:rPr>
            </w:pPr>
          </w:p>
        </w:tc>
        <w:tc>
          <w:tcPr>
            <w:tcW w:w="100" w:type="dxa"/>
            <w:vAlign w:val="bottom"/>
          </w:tcPr>
          <w:p>
            <w:pPr>
              <w:spacing w:after="0"/>
              <w:rPr>
                <w:sz w:val="3"/>
                <w:szCs w:val="3"/>
                <w:color w:val="auto"/>
              </w:rPr>
            </w:pPr>
          </w:p>
        </w:tc>
        <w:tc>
          <w:tcPr>
            <w:tcW w:w="6030" w:type="dxa"/>
            <w:vAlign w:val="bottom"/>
            <w:vMerge w:val="continue"/>
            <w:shd w:val="clear" w:color="auto" w:fill="F2F2F2"/>
          </w:tcPr>
          <w:p>
            <w:pPr>
              <w:spacing w:after="0"/>
              <w:rPr>
                <w:sz w:val="3"/>
                <w:szCs w:val="3"/>
                <w:color w:val="auto"/>
              </w:rPr>
            </w:pPr>
          </w:p>
        </w:tc>
        <w:tc>
          <w:tcPr>
            <w:tcW w:w="330" w:type="dxa"/>
            <w:vAlign w:val="bottom"/>
            <w:shd w:val="clear" w:color="auto" w:fill="F2F2F2"/>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shd w:val="clear" w:color="auto" w:fill="6EC4E8"/>
          </w:tcPr>
          <w:p>
            <w:pPr>
              <w:spacing w:after="0"/>
              <w:rPr>
                <w:sz w:val="16"/>
                <w:szCs w:val="16"/>
                <w:color w:val="auto"/>
              </w:rPr>
            </w:pPr>
          </w:p>
        </w:tc>
        <w:tc>
          <w:tcPr>
            <w:tcW w:w="1540" w:type="dxa"/>
            <w:vAlign w:val="bottom"/>
            <w:shd w:val="clear" w:color="auto" w:fill="6EC4E8"/>
          </w:tcPr>
          <w:p>
            <w:pPr>
              <w:spacing w:after="0"/>
              <w:rPr>
                <w:sz w:val="16"/>
                <w:szCs w:val="16"/>
                <w:color w:val="auto"/>
              </w:rPr>
            </w:pPr>
          </w:p>
        </w:tc>
        <w:tc>
          <w:tcPr>
            <w:tcW w:w="100" w:type="dxa"/>
            <w:vAlign w:val="bottom"/>
            <w:shd w:val="clear" w:color="auto" w:fill="6EC4E8"/>
          </w:tcPr>
          <w:p>
            <w:pPr>
              <w:spacing w:after="0"/>
              <w:rPr>
                <w:sz w:val="16"/>
                <w:szCs w:val="16"/>
                <w:color w:val="auto"/>
              </w:rPr>
            </w:pPr>
          </w:p>
        </w:tc>
        <w:tc>
          <w:tcPr>
            <w:tcW w:w="100" w:type="dxa"/>
            <w:vAlign w:val="bottom"/>
          </w:tcPr>
          <w:p>
            <w:pPr>
              <w:spacing w:after="0"/>
              <w:rPr>
                <w:sz w:val="16"/>
                <w:szCs w:val="16"/>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achieve individual and business performance objectives by varying their</w:t>
            </w:r>
          </w:p>
        </w:tc>
        <w:tc>
          <w:tcPr>
            <w:tcW w:w="330" w:type="dxa"/>
            <w:vAlign w:val="bottom"/>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shd w:val="clear" w:color="auto" w:fill="6EC4E8"/>
          </w:tcPr>
          <w:p>
            <w:pPr>
              <w:spacing w:after="0"/>
              <w:rPr>
                <w:sz w:val="17"/>
                <w:szCs w:val="17"/>
                <w:color w:val="auto"/>
              </w:rPr>
            </w:pPr>
          </w:p>
        </w:tc>
        <w:tc>
          <w:tcPr>
            <w:tcW w:w="1540" w:type="dxa"/>
            <w:vAlign w:val="bottom"/>
            <w:shd w:val="clear" w:color="auto" w:fill="6EC4E8"/>
          </w:tcPr>
          <w:p>
            <w:pPr>
              <w:spacing w:after="0"/>
              <w:rPr>
                <w:sz w:val="17"/>
                <w:szCs w:val="17"/>
                <w:color w:val="auto"/>
              </w:rPr>
            </w:pPr>
          </w:p>
        </w:tc>
        <w:tc>
          <w:tcPr>
            <w:tcW w:w="100" w:type="dxa"/>
            <w:vAlign w:val="bottom"/>
            <w:shd w:val="clear" w:color="auto" w:fill="6EC4E8"/>
          </w:tcPr>
          <w:p>
            <w:pPr>
              <w:spacing w:after="0"/>
              <w:rPr>
                <w:sz w:val="17"/>
                <w:szCs w:val="17"/>
                <w:color w:val="auto"/>
              </w:rPr>
            </w:pPr>
          </w:p>
        </w:tc>
        <w:tc>
          <w:tcPr>
            <w:tcW w:w="100" w:type="dxa"/>
            <w:vAlign w:val="bottom"/>
          </w:tcPr>
          <w:p>
            <w:pPr>
              <w:spacing w:after="0"/>
              <w:rPr>
                <w:sz w:val="17"/>
                <w:szCs w:val="17"/>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compensation in accordance with the success of our businesses. Accordingly,</w:t>
            </w:r>
          </w:p>
        </w:tc>
        <w:tc>
          <w:tcPr>
            <w:tcW w:w="33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shd w:val="clear" w:color="auto" w:fill="6EC4E8"/>
          </w:tcPr>
          <w:p>
            <w:pPr>
              <w:spacing w:after="0"/>
              <w:rPr>
                <w:sz w:val="17"/>
                <w:szCs w:val="17"/>
                <w:color w:val="auto"/>
              </w:rPr>
            </w:pPr>
          </w:p>
        </w:tc>
        <w:tc>
          <w:tcPr>
            <w:tcW w:w="1540" w:type="dxa"/>
            <w:vAlign w:val="bottom"/>
            <w:shd w:val="clear" w:color="auto" w:fill="6EC4E8"/>
          </w:tcPr>
          <w:p>
            <w:pPr>
              <w:spacing w:after="0"/>
              <w:rPr>
                <w:sz w:val="17"/>
                <w:szCs w:val="17"/>
                <w:color w:val="auto"/>
              </w:rPr>
            </w:pPr>
          </w:p>
        </w:tc>
        <w:tc>
          <w:tcPr>
            <w:tcW w:w="100" w:type="dxa"/>
            <w:vAlign w:val="bottom"/>
            <w:shd w:val="clear" w:color="auto" w:fill="6EC4E8"/>
          </w:tcPr>
          <w:p>
            <w:pPr>
              <w:spacing w:after="0"/>
              <w:rPr>
                <w:sz w:val="17"/>
                <w:szCs w:val="17"/>
                <w:color w:val="auto"/>
              </w:rPr>
            </w:pPr>
          </w:p>
        </w:tc>
        <w:tc>
          <w:tcPr>
            <w:tcW w:w="100" w:type="dxa"/>
            <w:vAlign w:val="bottom"/>
          </w:tcPr>
          <w:p>
            <w:pPr>
              <w:spacing w:after="0"/>
              <w:rPr>
                <w:sz w:val="17"/>
                <w:szCs w:val="17"/>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while compensation targets will to a large extent reflect the market, actual</w:t>
            </w:r>
          </w:p>
        </w:tc>
        <w:tc>
          <w:tcPr>
            <w:tcW w:w="330" w:type="dxa"/>
            <w:vAlign w:val="bottom"/>
            <w:shd w:val="clear" w:color="auto" w:fill="F2F2F2"/>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shd w:val="clear" w:color="auto" w:fill="6EC4E8"/>
          </w:tcPr>
          <w:p>
            <w:pPr>
              <w:spacing w:after="0"/>
              <w:rPr>
                <w:sz w:val="16"/>
                <w:szCs w:val="16"/>
                <w:color w:val="auto"/>
              </w:rPr>
            </w:pPr>
          </w:p>
        </w:tc>
        <w:tc>
          <w:tcPr>
            <w:tcW w:w="1540" w:type="dxa"/>
            <w:vAlign w:val="bottom"/>
            <w:shd w:val="clear" w:color="auto" w:fill="6EC4E8"/>
          </w:tcPr>
          <w:p>
            <w:pPr>
              <w:spacing w:after="0"/>
              <w:rPr>
                <w:sz w:val="16"/>
                <w:szCs w:val="16"/>
                <w:color w:val="auto"/>
              </w:rPr>
            </w:pPr>
          </w:p>
        </w:tc>
        <w:tc>
          <w:tcPr>
            <w:tcW w:w="100" w:type="dxa"/>
            <w:vAlign w:val="bottom"/>
            <w:shd w:val="clear" w:color="auto" w:fill="6EC4E8"/>
          </w:tcPr>
          <w:p>
            <w:pPr>
              <w:spacing w:after="0"/>
              <w:rPr>
                <w:sz w:val="16"/>
                <w:szCs w:val="16"/>
                <w:color w:val="auto"/>
              </w:rPr>
            </w:pPr>
          </w:p>
        </w:tc>
        <w:tc>
          <w:tcPr>
            <w:tcW w:w="100" w:type="dxa"/>
            <w:vAlign w:val="bottom"/>
          </w:tcPr>
          <w:p>
            <w:pPr>
              <w:spacing w:after="0"/>
              <w:rPr>
                <w:sz w:val="16"/>
                <w:szCs w:val="16"/>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compensation realized will reflect our attainment of (or failure to attain) specified</w:t>
            </w:r>
          </w:p>
        </w:tc>
        <w:tc>
          <w:tcPr>
            <w:tcW w:w="330" w:type="dxa"/>
            <w:vAlign w:val="bottom"/>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6EC4E8"/>
          </w:tcPr>
          <w:p>
            <w:pPr>
              <w:spacing w:after="0"/>
              <w:rPr>
                <w:sz w:val="18"/>
                <w:szCs w:val="18"/>
                <w:color w:val="auto"/>
              </w:rPr>
            </w:pPr>
          </w:p>
        </w:tc>
        <w:tc>
          <w:tcPr>
            <w:tcW w:w="1540" w:type="dxa"/>
            <w:vAlign w:val="bottom"/>
            <w:shd w:val="clear" w:color="auto" w:fill="6EC4E8"/>
          </w:tcPr>
          <w:p>
            <w:pPr>
              <w:spacing w:after="0"/>
              <w:rPr>
                <w:sz w:val="18"/>
                <w:szCs w:val="18"/>
                <w:color w:val="auto"/>
              </w:rPr>
            </w:pPr>
          </w:p>
        </w:tc>
        <w:tc>
          <w:tcPr>
            <w:tcW w:w="100" w:type="dxa"/>
            <w:vAlign w:val="bottom"/>
            <w:shd w:val="clear" w:color="auto" w:fill="6EC4E8"/>
          </w:tcPr>
          <w:p>
            <w:pPr>
              <w:spacing w:after="0"/>
              <w:rPr>
                <w:sz w:val="18"/>
                <w:szCs w:val="18"/>
                <w:color w:val="auto"/>
              </w:rPr>
            </w:pPr>
          </w:p>
        </w:tc>
        <w:tc>
          <w:tcPr>
            <w:tcW w:w="100" w:type="dxa"/>
            <w:vAlign w:val="bottom"/>
          </w:tcPr>
          <w:p>
            <w:pPr>
              <w:spacing w:after="0"/>
              <w:rPr>
                <w:sz w:val="18"/>
                <w:szCs w:val="18"/>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financial and operational performance objectives.</w:t>
            </w:r>
          </w:p>
        </w:tc>
        <w:tc>
          <w:tcPr>
            <w:tcW w:w="33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5"/>
        </w:trPr>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380" w:type="dxa"/>
            <w:vAlign w:val="bottom"/>
            <w:gridSpan w:val="2"/>
            <w:vMerge w:val="restart"/>
            <w:shd w:val="clear" w:color="auto" w:fill="6EC4E8"/>
          </w:tcPr>
          <w:p>
            <w:pPr>
              <w:spacing w:after="0"/>
              <w:rPr>
                <w:sz w:val="20"/>
                <w:szCs w:val="20"/>
                <w:color w:val="auto"/>
              </w:rPr>
            </w:pPr>
            <w:r>
              <w:rPr>
                <w:rFonts w:ascii="Arial" w:cs="Arial" w:eastAsia="Arial" w:hAnsi="Arial"/>
                <w:sz w:val="25"/>
                <w:szCs w:val="25"/>
                <w:color w:val="FFFFFF"/>
              </w:rPr>
              <w:t>Align Interests of</w:t>
            </w:r>
          </w:p>
        </w:tc>
        <w:tc>
          <w:tcPr>
            <w:tcW w:w="100" w:type="dxa"/>
            <w:vAlign w:val="bottom"/>
            <w:shd w:val="clear" w:color="auto" w:fill="6EC4E8"/>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030" w:type="dxa"/>
            <w:vAlign w:val="bottom"/>
            <w:shd w:val="clear" w:color="auto" w:fill="F2F2F2"/>
          </w:tcPr>
          <w:p>
            <w:pPr>
              <w:spacing w:after="0"/>
              <w:rPr>
                <w:sz w:val="24"/>
                <w:szCs w:val="24"/>
                <w:color w:val="auto"/>
              </w:rPr>
            </w:pPr>
          </w:p>
        </w:tc>
        <w:tc>
          <w:tcPr>
            <w:tcW w:w="330" w:type="dxa"/>
            <w:vAlign w:val="bottom"/>
            <w:shd w:val="clear" w:color="auto" w:fill="F2F2F2"/>
          </w:tcPr>
          <w:p>
            <w:pPr>
              <w:ind w:left="1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gridSpan w:val="2"/>
            <w:vMerge w:val="continue"/>
            <w:shd w:val="clear" w:color="auto" w:fill="6EC4E8"/>
          </w:tcPr>
          <w:p>
            <w:pPr>
              <w:spacing w:after="0"/>
              <w:rPr>
                <w:sz w:val="23"/>
                <w:szCs w:val="23"/>
                <w:color w:val="auto"/>
              </w:rPr>
            </w:pPr>
          </w:p>
        </w:tc>
        <w:tc>
          <w:tcPr>
            <w:tcW w:w="100" w:type="dxa"/>
            <w:vAlign w:val="bottom"/>
            <w:shd w:val="clear" w:color="auto" w:fill="6EC4E8"/>
          </w:tcPr>
          <w:p>
            <w:pPr>
              <w:spacing w:after="0"/>
              <w:rPr>
                <w:sz w:val="23"/>
                <w:szCs w:val="23"/>
                <w:color w:val="auto"/>
              </w:rPr>
            </w:pPr>
          </w:p>
        </w:tc>
        <w:tc>
          <w:tcPr>
            <w:tcW w:w="100" w:type="dxa"/>
            <w:vAlign w:val="bottom"/>
          </w:tcPr>
          <w:p>
            <w:pPr>
              <w:spacing w:after="0"/>
              <w:rPr>
                <w:sz w:val="23"/>
                <w:szCs w:val="23"/>
                <w:color w:val="auto"/>
              </w:rPr>
            </w:pPr>
          </w:p>
        </w:tc>
        <w:tc>
          <w:tcPr>
            <w:tcW w:w="603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We believe compensation programs can drive our employees’ behavior. We seek</w:t>
            </w:r>
          </w:p>
        </w:tc>
        <w:tc>
          <w:tcPr>
            <w:tcW w:w="330" w:type="dxa"/>
            <w:vAlign w:val="bottom"/>
            <w:shd w:val="clear" w:color="auto" w:fill="F2F2F2"/>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shd w:val="clear" w:color="auto" w:fill="6EC4E8"/>
          </w:tcPr>
          <w:p>
            <w:pPr>
              <w:spacing w:after="0"/>
              <w:rPr>
                <w:sz w:val="3"/>
                <w:szCs w:val="3"/>
                <w:color w:val="auto"/>
              </w:rPr>
            </w:pPr>
          </w:p>
        </w:tc>
        <w:tc>
          <w:tcPr>
            <w:tcW w:w="1540" w:type="dxa"/>
            <w:vAlign w:val="bottom"/>
            <w:shd w:val="clear" w:color="auto" w:fill="6EC4E8"/>
          </w:tcPr>
          <w:p>
            <w:pPr>
              <w:spacing w:after="0"/>
              <w:rPr>
                <w:sz w:val="3"/>
                <w:szCs w:val="3"/>
                <w:color w:val="auto"/>
              </w:rPr>
            </w:pPr>
          </w:p>
        </w:tc>
        <w:tc>
          <w:tcPr>
            <w:tcW w:w="100" w:type="dxa"/>
            <w:vAlign w:val="bottom"/>
            <w:shd w:val="clear" w:color="auto" w:fill="6EC4E8"/>
          </w:tcPr>
          <w:p>
            <w:pPr>
              <w:spacing w:after="0"/>
              <w:rPr>
                <w:sz w:val="3"/>
                <w:szCs w:val="3"/>
                <w:color w:val="auto"/>
              </w:rPr>
            </w:pPr>
          </w:p>
        </w:tc>
        <w:tc>
          <w:tcPr>
            <w:tcW w:w="100" w:type="dxa"/>
            <w:vAlign w:val="bottom"/>
          </w:tcPr>
          <w:p>
            <w:pPr>
              <w:spacing w:after="0"/>
              <w:rPr>
                <w:sz w:val="3"/>
                <w:szCs w:val="3"/>
                <w:color w:val="auto"/>
              </w:rPr>
            </w:pPr>
          </w:p>
        </w:tc>
        <w:tc>
          <w:tcPr>
            <w:tcW w:w="6030" w:type="dxa"/>
            <w:vAlign w:val="bottom"/>
            <w:vMerge w:val="continue"/>
            <w:shd w:val="clear" w:color="auto" w:fill="F2F2F2"/>
          </w:tcPr>
          <w:p>
            <w:pPr>
              <w:spacing w:after="0"/>
              <w:rPr>
                <w:sz w:val="3"/>
                <w:szCs w:val="3"/>
                <w:color w:val="auto"/>
              </w:rPr>
            </w:pPr>
          </w:p>
        </w:tc>
        <w:tc>
          <w:tcPr>
            <w:tcW w:w="330" w:type="dxa"/>
            <w:vAlign w:val="bottom"/>
            <w:shd w:val="clear" w:color="auto" w:fill="F2F2F2"/>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vMerge w:val="restart"/>
            <w:shd w:val="clear" w:color="auto" w:fill="6EC4E8"/>
          </w:tcPr>
          <w:p>
            <w:pPr>
              <w:spacing w:after="0"/>
              <w:rPr>
                <w:sz w:val="20"/>
                <w:szCs w:val="20"/>
                <w:color w:val="auto"/>
              </w:rPr>
            </w:pPr>
            <w:r>
              <w:rPr>
                <w:rFonts w:ascii="Arial" w:cs="Arial" w:eastAsia="Arial" w:hAnsi="Arial"/>
                <w:sz w:val="25"/>
                <w:szCs w:val="25"/>
                <w:color w:val="FFFFFF"/>
              </w:rPr>
              <w:t>Executives with</w:t>
            </w:r>
          </w:p>
        </w:tc>
        <w:tc>
          <w:tcPr>
            <w:tcW w:w="100" w:type="dxa"/>
            <w:vAlign w:val="bottom"/>
            <w:shd w:val="clear" w:color="auto" w:fill="6EC4E8"/>
          </w:tcPr>
          <w:p>
            <w:pPr>
              <w:spacing w:after="0"/>
              <w:rPr>
                <w:sz w:val="16"/>
                <w:szCs w:val="16"/>
                <w:color w:val="auto"/>
              </w:rPr>
            </w:pPr>
          </w:p>
        </w:tc>
        <w:tc>
          <w:tcPr>
            <w:tcW w:w="100" w:type="dxa"/>
            <w:vAlign w:val="bottom"/>
          </w:tcPr>
          <w:p>
            <w:pPr>
              <w:spacing w:after="0"/>
              <w:rPr>
                <w:sz w:val="16"/>
                <w:szCs w:val="16"/>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to design our executive compensation program to align compensation with current</w:t>
            </w:r>
          </w:p>
        </w:tc>
        <w:tc>
          <w:tcPr>
            <w:tcW w:w="330" w:type="dxa"/>
            <w:vAlign w:val="bottom"/>
            <w:shd w:val="clear" w:color="auto" w:fill="F2F2F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vMerge w:val="continue"/>
            <w:shd w:val="clear" w:color="auto" w:fill="6EC4E8"/>
          </w:tcPr>
          <w:p>
            <w:pPr>
              <w:spacing w:after="0"/>
              <w:rPr>
                <w:sz w:val="15"/>
                <w:szCs w:val="15"/>
                <w:color w:val="auto"/>
              </w:rPr>
            </w:pPr>
          </w:p>
        </w:tc>
        <w:tc>
          <w:tcPr>
            <w:tcW w:w="100" w:type="dxa"/>
            <w:vAlign w:val="bottom"/>
            <w:shd w:val="clear" w:color="auto" w:fill="6EC4E8"/>
          </w:tcPr>
          <w:p>
            <w:pPr>
              <w:spacing w:after="0"/>
              <w:rPr>
                <w:sz w:val="15"/>
                <w:szCs w:val="15"/>
                <w:color w:val="auto"/>
              </w:rPr>
            </w:pPr>
          </w:p>
        </w:tc>
        <w:tc>
          <w:tcPr>
            <w:tcW w:w="100" w:type="dxa"/>
            <w:vAlign w:val="bottom"/>
          </w:tcPr>
          <w:p>
            <w:pPr>
              <w:spacing w:after="0"/>
              <w:rPr>
                <w:sz w:val="15"/>
                <w:szCs w:val="15"/>
                <w:color w:val="auto"/>
              </w:rPr>
            </w:pPr>
          </w:p>
        </w:tc>
        <w:tc>
          <w:tcPr>
            <w:tcW w:w="6030" w:type="dxa"/>
            <w:vAlign w:val="bottom"/>
            <w:shd w:val="clear" w:color="auto" w:fill="F2F2F2"/>
          </w:tcPr>
          <w:p>
            <w:pPr>
              <w:ind w:left="160"/>
              <w:spacing w:after="0" w:line="181" w:lineRule="exact"/>
              <w:rPr>
                <w:sz w:val="20"/>
                <w:szCs w:val="20"/>
                <w:color w:val="auto"/>
              </w:rPr>
            </w:pPr>
            <w:r>
              <w:rPr>
                <w:rFonts w:ascii="Arial" w:cs="Arial" w:eastAsia="Arial" w:hAnsi="Arial"/>
                <w:sz w:val="16"/>
                <w:szCs w:val="16"/>
                <w:color w:val="auto"/>
              </w:rPr>
              <w:t>and desired corporate performance and shareholder interests by providing a</w:t>
            </w:r>
          </w:p>
        </w:tc>
        <w:tc>
          <w:tcPr>
            <w:tcW w:w="330" w:type="dxa"/>
            <w:vAlign w:val="bottom"/>
            <w:shd w:val="clear" w:color="auto" w:fill="F2F2F2"/>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
            <w:shd w:val="clear" w:color="auto" w:fill="6EC4E8"/>
          </w:tcPr>
          <w:p>
            <w:pPr>
              <w:spacing w:after="0" w:line="252" w:lineRule="exact"/>
              <w:rPr>
                <w:sz w:val="20"/>
                <w:szCs w:val="20"/>
                <w:color w:val="auto"/>
              </w:rPr>
            </w:pPr>
            <w:r>
              <w:rPr>
                <w:rFonts w:ascii="Arial" w:cs="Arial" w:eastAsia="Arial" w:hAnsi="Arial"/>
                <w:sz w:val="25"/>
                <w:szCs w:val="25"/>
                <w:color w:val="FFFFFF"/>
              </w:rPr>
              <w:t>Shareholders</w:t>
            </w:r>
          </w:p>
        </w:tc>
        <w:tc>
          <w:tcPr>
            <w:tcW w:w="100" w:type="dxa"/>
            <w:vAlign w:val="bottom"/>
            <w:shd w:val="clear" w:color="auto" w:fill="6EC4E8"/>
          </w:tcPr>
          <w:p>
            <w:pPr>
              <w:spacing w:after="0"/>
              <w:rPr>
                <w:sz w:val="21"/>
                <w:szCs w:val="21"/>
                <w:color w:val="auto"/>
              </w:rPr>
            </w:pPr>
          </w:p>
        </w:tc>
        <w:tc>
          <w:tcPr>
            <w:tcW w:w="100" w:type="dxa"/>
            <w:vAlign w:val="bottom"/>
          </w:tcPr>
          <w:p>
            <w:pPr>
              <w:spacing w:after="0"/>
              <w:rPr>
                <w:sz w:val="21"/>
                <w:szCs w:val="21"/>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significant portion of total compensation in the form of stock-based incentives and</w:t>
            </w:r>
          </w:p>
        </w:tc>
        <w:tc>
          <w:tcPr>
            <w:tcW w:w="330" w:type="dxa"/>
            <w:vAlign w:val="bottom"/>
            <w:shd w:val="clear" w:color="auto" w:fill="F2F2F2"/>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6EC4E8"/>
          </w:tcPr>
          <w:p>
            <w:pPr>
              <w:spacing w:after="0"/>
              <w:rPr>
                <w:sz w:val="18"/>
                <w:szCs w:val="18"/>
                <w:color w:val="auto"/>
              </w:rPr>
            </w:pPr>
          </w:p>
        </w:tc>
        <w:tc>
          <w:tcPr>
            <w:tcW w:w="1540" w:type="dxa"/>
            <w:vAlign w:val="bottom"/>
            <w:shd w:val="clear" w:color="auto" w:fill="6EC4E8"/>
          </w:tcPr>
          <w:p>
            <w:pPr>
              <w:spacing w:after="0"/>
              <w:rPr>
                <w:sz w:val="18"/>
                <w:szCs w:val="18"/>
                <w:color w:val="auto"/>
              </w:rPr>
            </w:pPr>
          </w:p>
        </w:tc>
        <w:tc>
          <w:tcPr>
            <w:tcW w:w="100" w:type="dxa"/>
            <w:vAlign w:val="bottom"/>
            <w:shd w:val="clear" w:color="auto" w:fill="6EC4E8"/>
          </w:tcPr>
          <w:p>
            <w:pPr>
              <w:spacing w:after="0"/>
              <w:rPr>
                <w:sz w:val="18"/>
                <w:szCs w:val="18"/>
                <w:color w:val="auto"/>
              </w:rPr>
            </w:pPr>
          </w:p>
        </w:tc>
        <w:tc>
          <w:tcPr>
            <w:tcW w:w="100" w:type="dxa"/>
            <w:vAlign w:val="bottom"/>
          </w:tcPr>
          <w:p>
            <w:pPr>
              <w:spacing w:after="0"/>
              <w:rPr>
                <w:sz w:val="18"/>
                <w:szCs w:val="18"/>
                <w:color w:val="auto"/>
              </w:rPr>
            </w:pPr>
          </w:p>
        </w:tc>
        <w:tc>
          <w:tcPr>
            <w:tcW w:w="6030" w:type="dxa"/>
            <w:vAlign w:val="bottom"/>
            <w:shd w:val="clear" w:color="auto" w:fill="F2F2F2"/>
          </w:tcPr>
          <w:p>
            <w:pPr>
              <w:ind w:left="160"/>
              <w:spacing w:after="0"/>
              <w:rPr>
                <w:sz w:val="20"/>
                <w:szCs w:val="20"/>
                <w:color w:val="auto"/>
              </w:rPr>
            </w:pPr>
            <w:r>
              <w:rPr>
                <w:rFonts w:ascii="Arial" w:cs="Arial" w:eastAsia="Arial" w:hAnsi="Arial"/>
                <w:sz w:val="16"/>
                <w:szCs w:val="16"/>
                <w:color w:val="auto"/>
              </w:rPr>
              <w:t>requiring target levels of stock ownership.</w:t>
            </w:r>
          </w:p>
        </w:tc>
        <w:tc>
          <w:tcPr>
            <w:tcW w:w="330" w:type="dxa"/>
            <w:vAlign w:val="bottom"/>
            <w:shd w:val="clear" w:color="auto" w:fill="F2F2F2"/>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shd w:val="clear" w:color="auto" w:fill="6EC4E8"/>
          </w:tcPr>
          <w:p>
            <w:pPr>
              <w:spacing w:after="0"/>
              <w:rPr>
                <w:sz w:val="20"/>
                <w:szCs w:val="20"/>
                <w:color w:val="auto"/>
              </w:rPr>
            </w:pPr>
          </w:p>
        </w:tc>
        <w:tc>
          <w:tcPr>
            <w:tcW w:w="1540" w:type="dxa"/>
            <w:vAlign w:val="bottom"/>
            <w:shd w:val="clear" w:color="auto" w:fill="6EC4E8"/>
          </w:tcPr>
          <w:p>
            <w:pPr>
              <w:spacing w:after="0"/>
              <w:rPr>
                <w:sz w:val="20"/>
                <w:szCs w:val="20"/>
                <w:color w:val="auto"/>
              </w:rPr>
            </w:pPr>
          </w:p>
        </w:tc>
        <w:tc>
          <w:tcPr>
            <w:tcW w:w="100" w:type="dxa"/>
            <w:vAlign w:val="bottom"/>
            <w:shd w:val="clear" w:color="auto" w:fill="6EC4E8"/>
          </w:tcPr>
          <w:p>
            <w:pPr>
              <w:spacing w:after="0"/>
              <w:rPr>
                <w:sz w:val="20"/>
                <w:szCs w:val="20"/>
                <w:color w:val="auto"/>
              </w:rPr>
            </w:pPr>
          </w:p>
        </w:tc>
        <w:tc>
          <w:tcPr>
            <w:tcW w:w="100" w:type="dxa"/>
            <w:vAlign w:val="bottom"/>
          </w:tcPr>
          <w:p>
            <w:pPr>
              <w:spacing w:after="0"/>
              <w:rPr>
                <w:sz w:val="20"/>
                <w:szCs w:val="20"/>
                <w:color w:val="auto"/>
              </w:rPr>
            </w:pPr>
          </w:p>
        </w:tc>
        <w:tc>
          <w:tcPr>
            <w:tcW w:w="6030" w:type="dxa"/>
            <w:vAlign w:val="bottom"/>
            <w:shd w:val="clear" w:color="auto" w:fill="F2F2F2"/>
          </w:tcPr>
          <w:p>
            <w:pPr>
              <w:spacing w:after="0"/>
              <w:rPr>
                <w:sz w:val="20"/>
                <w:szCs w:val="20"/>
                <w:color w:val="auto"/>
              </w:rPr>
            </w:pPr>
          </w:p>
        </w:tc>
        <w:tc>
          <w:tcPr>
            <w:tcW w:w="330" w:type="dxa"/>
            <w:vAlign w:val="bottom"/>
            <w:shd w:val="clear" w:color="auto" w:fill="F2F2F2"/>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60" w:type="dxa"/>
            <w:vAlign w:val="bottom"/>
          </w:tcPr>
          <w:p>
            <w:pPr>
              <w:ind w:left="740"/>
              <w:spacing w:after="0"/>
              <w:rPr>
                <w:sz w:val="20"/>
                <w:szCs w:val="20"/>
                <w:color w:val="auto"/>
              </w:rPr>
            </w:pPr>
            <w:r>
              <w:rPr>
                <w:rFonts w:ascii="Arial" w:cs="Arial" w:eastAsia="Arial" w:hAnsi="Arial"/>
                <w:sz w:val="13"/>
                <w:szCs w:val="13"/>
                <w:b w:val="1"/>
                <w:bCs w:val="1"/>
                <w:color w:val="auto"/>
              </w:rPr>
              <w:t>​38</w:t>
            </w:r>
          </w:p>
        </w:tc>
        <w:tc>
          <w:tcPr>
            <w:tcW w:w="10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6EC4E8"/>
                <w:w w:val="97"/>
              </w:rPr>
              <w:t>CenterPoint</w:t>
            </w:r>
            <w:r>
              <w:rPr>
                <w:rFonts w:ascii="Arial" w:cs="Arial" w:eastAsia="Arial" w:hAnsi="Arial"/>
                <w:sz w:val="13"/>
                <w:szCs w:val="13"/>
                <w:b w:val="1"/>
                <w:bCs w:val="1"/>
                <w:color w:val="000000"/>
                <w:w w:val="97"/>
              </w:rPr>
              <w:t>​</w:t>
            </w:r>
          </w:p>
        </w:tc>
        <w:tc>
          <w:tcPr>
            <w:tcW w:w="7770" w:type="dxa"/>
            <w:vAlign w:val="bottom"/>
            <w:gridSpan w:val="4"/>
          </w:tcPr>
          <w:p>
            <w:pPr>
              <w:spacing w:after="0"/>
              <w:rPr>
                <w:sz w:val="20"/>
                <w:szCs w:val="20"/>
                <w:color w:val="auto"/>
              </w:rPr>
            </w:pPr>
            <w:r>
              <w:rPr>
                <w:rFonts w:ascii="Arial" w:cs="Arial" w:eastAsia="Arial" w:hAnsi="Arial"/>
                <w:sz w:val="13"/>
                <w:szCs w:val="13"/>
                <w:b w:val="1"/>
                <w:bCs w:val="1"/>
                <w:color w:val="6EC4E8"/>
              </w:rPr>
              <w:t xml:space="preserve">Energy, Inc.  </w:t>
            </w:r>
            <w:r>
              <w:rPr>
                <w:rFonts w:ascii="Arial" w:cs="Arial" w:eastAsia="Arial" w:hAnsi="Arial"/>
                <w:sz w:val="13"/>
                <w:szCs w:val="13"/>
                <w:color w:val="000000"/>
              </w:rPr>
              <w:t>2025 Proxy Statement</w:t>
            </w:r>
          </w:p>
        </w:tc>
        <w:tc>
          <w:tcPr>
            <w:tcW w:w="1050" w:type="dxa"/>
            <w:vAlign w:val="bottom"/>
            <w:gridSpan w:val="2"/>
          </w:tcPr>
          <w:p>
            <w:pPr>
              <w:ind w:left="33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9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30" w:type="dxa"/>
            <w:vAlign w:val="bottom"/>
            <w:tcBorders>
              <w:bottom w:val="single" w:sz="8" w:color="9A9A9A"/>
            </w:tcBorders>
          </w:tcPr>
          <w:p>
            <w:pPr>
              <w:spacing w:after="0"/>
              <w:rPr>
                <w:sz w:val="14"/>
                <w:szCs w:val="14"/>
                <w:color w:val="auto"/>
              </w:rPr>
            </w:pPr>
          </w:p>
        </w:tc>
        <w:tc>
          <w:tcPr>
            <w:tcW w:w="33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Compensation Program Key Features and Best Practices</w:t>
      </w:r>
    </w:p>
    <w:p>
      <w:pPr>
        <w:spacing w:after="0" w:line="122" w:lineRule="exact"/>
        <w:rPr>
          <w:sz w:val="20"/>
          <w:szCs w:val="20"/>
          <w:color w:val="auto"/>
        </w:rPr>
      </w:pPr>
    </w:p>
    <w:p>
      <w:pPr>
        <w:ind w:left="740" w:right="160"/>
        <w:spacing w:after="0" w:line="286" w:lineRule="auto"/>
        <w:rPr>
          <w:sz w:val="20"/>
          <w:szCs w:val="20"/>
          <w:color w:val="auto"/>
        </w:rPr>
      </w:pPr>
      <w:r>
        <w:rPr>
          <w:rFonts w:ascii="Arial" w:cs="Arial" w:eastAsia="Arial" w:hAnsi="Arial"/>
          <w:sz w:val="16"/>
          <w:szCs w:val="16"/>
          <w:color w:val="auto"/>
        </w:rPr>
        <w:t>The following are key features of our executive compensation program, which we believe are governance best practices and align the interests of management with those of our shareholders.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08"/>
        </w:trPr>
        <w:tc>
          <w:tcPr>
            <w:tcW w:w="22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700" w:type="dxa"/>
            <w:vAlign w:val="bottom"/>
            <w:shd w:val="clear" w:color="auto" w:fill="003763"/>
          </w:tcPr>
          <w:p>
            <w:pPr>
              <w:ind w:left="2440"/>
              <w:spacing w:after="0"/>
              <w:rPr>
                <w:sz w:val="20"/>
                <w:szCs w:val="20"/>
                <w:color w:val="auto"/>
              </w:rPr>
            </w:pPr>
            <w:r>
              <w:rPr>
                <w:rFonts w:ascii="Arial" w:cs="Arial" w:eastAsia="Arial" w:hAnsi="Arial"/>
                <w:sz w:val="13"/>
                <w:szCs w:val="13"/>
                <w:b w:val="1"/>
                <w:bCs w:val="1"/>
                <w:color w:val="FFFFFF"/>
              </w:rPr>
              <w:t>KEY FEATURES OF OUR EXECUTIVE COMPENSATION PROGRAM</w:t>
            </w:r>
          </w:p>
        </w:tc>
        <w:tc>
          <w:tcPr>
            <w:tcW w:w="340" w:type="dxa"/>
            <w:vAlign w:val="bottom"/>
            <w:vMerge w:val="restart"/>
            <w:shd w:val="clear" w:color="auto" w:fill="003763"/>
          </w:tcPr>
          <w:p>
            <w:pPr>
              <w:ind w:left="28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220" w:type="dxa"/>
            <w:vAlign w:val="bottom"/>
            <w:vMerge w:val="continue"/>
            <w:shd w:val="clear" w:color="auto" w:fill="003763"/>
          </w:tcPr>
          <w:p>
            <w:pPr>
              <w:spacing w:after="0"/>
              <w:rPr>
                <w:sz w:val="5"/>
                <w:szCs w:val="5"/>
                <w:color w:val="auto"/>
              </w:rPr>
            </w:pPr>
          </w:p>
        </w:tc>
        <w:tc>
          <w:tcPr>
            <w:tcW w:w="8700" w:type="dxa"/>
            <w:vAlign w:val="bottom"/>
            <w:shd w:val="clear" w:color="auto" w:fill="003763"/>
          </w:tcPr>
          <w:p>
            <w:pPr>
              <w:spacing w:after="0"/>
              <w:rPr>
                <w:sz w:val="5"/>
                <w:szCs w:val="5"/>
                <w:color w:val="auto"/>
              </w:rPr>
            </w:pPr>
          </w:p>
        </w:tc>
        <w:tc>
          <w:tcPr>
            <w:tcW w:w="340" w:type="dxa"/>
            <w:vAlign w:val="bottom"/>
            <w:vMerge w:val="continue"/>
            <w:shd w:val="clear" w:color="auto" w:fill="003763"/>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8700" w:type="dxa"/>
            <w:vAlign w:val="bottom"/>
          </w:tcPr>
          <w:p>
            <w:pPr>
              <w:ind w:left="140"/>
              <w:spacing w:after="0" w:line="239" w:lineRule="exact"/>
              <w:rPr>
                <w:sz w:val="20"/>
                <w:szCs w:val="20"/>
                <w:color w:val="auto"/>
              </w:rPr>
            </w:pPr>
            <w:r>
              <w:rPr>
                <w:rFonts w:ascii="Arial" w:cs="Arial" w:eastAsia="Arial" w:hAnsi="Arial"/>
                <w:sz w:val="27"/>
                <w:szCs w:val="27"/>
                <w:color w:val="000000"/>
                <w:vertAlign w:val="superscript"/>
              </w:rPr>
              <w:t>​ ​</w:t>
            </w:r>
            <w:r>
              <w:rPr>
                <w:rFonts w:ascii="Arial" w:cs="Arial" w:eastAsia="Arial" w:hAnsi="Arial"/>
                <w:sz w:val="14"/>
                <w:szCs w:val="14"/>
                <w:b w:val="1"/>
                <w:bCs w:val="1"/>
                <w:color w:val="6EC4E8"/>
              </w:rPr>
              <w:t xml:space="preserve">Strong Pay for Performance. </w:t>
            </w:r>
            <w:r>
              <w:rPr>
                <w:rFonts w:ascii="Arial" w:cs="Arial" w:eastAsia="Arial" w:hAnsi="Arial"/>
                <w:sz w:val="14"/>
                <w:szCs w:val="14"/>
                <w:color w:val="000000"/>
              </w:rPr>
              <w:t>A substantial portion of the compensation for our named executive officers is at-risk and</w:t>
            </w:r>
          </w:p>
        </w:tc>
        <w:tc>
          <w:tcPr>
            <w:tcW w:w="340" w:type="dxa"/>
            <w:vAlign w:val="bottom"/>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5"/>
                <w:szCs w:val="15"/>
                <w:color w:val="auto"/>
              </w:rPr>
              <w:t>performance-based, meaning that actual compensation realized in a given year will vary primarily depending on Company</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-218440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5"/>
          <w:szCs w:val="15"/>
          <w:color w:val="auto"/>
        </w:rPr>
        <w:t>financial and stock price performance and individual performance.</w:t>
      </w:r>
    </w:p>
    <w:p>
      <w:pPr>
        <w:spacing w:after="0" w:line="59" w:lineRule="exact"/>
        <w:rPr>
          <w:sz w:val="20"/>
          <w:szCs w:val="20"/>
          <w:color w:val="auto"/>
        </w:rPr>
      </w:pPr>
    </w:p>
    <w:p>
      <w:pPr>
        <w:ind w:left="1100" w:right="40" w:hanging="485"/>
        <w:spacing w:after="0" w:line="187" w:lineRule="auto"/>
        <w:tabs>
          <w:tab w:leader="none" w:pos="1080" w:val="left"/>
        </w:tabs>
        <w:rPr>
          <w:sz w:val="20"/>
          <w:szCs w:val="20"/>
          <w:color w:val="auto"/>
        </w:rPr>
      </w:pPr>
      <w:r>
        <w:rPr>
          <w:rFonts w:ascii="Arial" w:cs="Arial" w:eastAsia="Arial" w:hAnsi="Arial"/>
          <w:sz w:val="30"/>
          <w:szCs w:val="30"/>
          <w:color w:val="000000"/>
          <w:vertAlign w:val="superscript"/>
        </w:rPr>
        <w:t>​</w:t>
      </w:r>
      <w:r>
        <w:rPr>
          <w:sz w:val="20"/>
          <w:szCs w:val="20"/>
          <w:color w:val="auto"/>
        </w:rPr>
        <w:tab/>
      </w:r>
      <w:r>
        <w:rPr>
          <w:rFonts w:ascii="Arial" w:cs="Arial" w:eastAsia="Arial" w:hAnsi="Arial"/>
          <w:sz w:val="29"/>
          <w:szCs w:val="29"/>
          <w:color w:val="auto"/>
          <w:vertAlign w:val="superscript"/>
        </w:rPr>
        <w:t>​ ​</w:t>
      </w:r>
      <w:r>
        <w:rPr>
          <w:rFonts w:ascii="Arial" w:cs="Arial" w:eastAsia="Arial" w:hAnsi="Arial"/>
          <w:sz w:val="29"/>
          <w:szCs w:val="29"/>
          <w:b w:val="1"/>
          <w:bCs w:val="1"/>
          <w:color w:val="6EC4E8"/>
        </w:rPr>
        <w:t>No Employment Agreements.</w:t>
      </w:r>
      <w:r>
        <w:rPr>
          <w:rFonts w:ascii="Arial" w:cs="Arial" w:eastAsia="Arial" w:hAnsi="Arial"/>
          <w:sz w:val="29"/>
          <w:szCs w:val="29"/>
          <w:color w:val="auto"/>
        </w:rPr>
        <w:t xml:space="preserve"> </w:t>
      </w:r>
      <w:r>
        <w:rPr>
          <w:rFonts w:ascii="Arial" w:cs="Arial" w:eastAsia="Arial" w:hAnsi="Arial"/>
          <w:sz w:val="14"/>
          <w:szCs w:val="14"/>
          <w:color w:val="auto"/>
        </w:rPr>
        <w:t>We do not maintain executive employment agreements with any of our named executive officers,</w:t>
      </w:r>
      <w:r>
        <w:rPr>
          <w:rFonts w:ascii="Arial" w:cs="Arial" w:eastAsia="Arial" w:hAnsi="Arial"/>
          <w:sz w:val="29"/>
          <w:szCs w:val="29"/>
          <w:color w:val="auto"/>
        </w:rPr>
        <w:t xml:space="preserve"> </w:t>
      </w:r>
      <w:r>
        <w:rPr>
          <w:rFonts w:ascii="Arial" w:cs="Arial" w:eastAsia="Arial" w:hAnsi="Arial"/>
          <w:sz w:val="29"/>
          <w:szCs w:val="29"/>
          <w:color w:val="auto"/>
          <w:vertAlign w:val="superscript"/>
        </w:rPr>
        <w:t>​</w:t>
      </w:r>
      <w:r>
        <w:rPr>
          <w:rFonts w:ascii="Arial" w:cs="Arial" w:eastAsia="Arial" w:hAnsi="Arial"/>
          <w:sz w:val="29"/>
          <w:szCs w:val="29"/>
          <w:color w:val="auto"/>
        </w:rPr>
        <w:t xml:space="preserve"> </w:t>
      </w:r>
      <w:r>
        <w:rPr>
          <w:rFonts w:ascii="Arial" w:cs="Arial" w:eastAsia="Arial" w:hAnsi="Arial"/>
          <w:sz w:val="14"/>
          <w:szCs w:val="14"/>
          <w:color w:val="auto"/>
        </w:rPr>
        <w:t>and our named executive officers are not entitled to guaranteed cash severance payments upon a termination of employment except pursuant to our change in control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-406400</wp:posOffset>
            </wp:positionV>
            <wp:extent cx="5880735" cy="436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80735" cy="436880"/>
                    </a:xfrm>
                    <a:prstGeom prst="rect">
                      <a:avLst/>
                    </a:prstGeom>
                    <a:noFill/>
                  </pic:spPr>
                </pic:pic>
              </a:graphicData>
            </a:graphic>
          </wp:anchor>
        </w:drawing>
      </w:r>
    </w:p>
    <w:p>
      <w:pPr>
        <w:spacing w:after="0" w:line="7"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2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9040" w:type="dxa"/>
            <w:vAlign w:val="bottom"/>
            <w:tcBorders>
              <w:top w:val="single" w:sz="8" w:color="CCCCCC"/>
            </w:tcBorders>
          </w:tcPr>
          <w:p>
            <w:pPr>
              <w:ind w:left="140"/>
              <w:spacing w:after="0" w:line="252"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b w:val="1"/>
                <w:bCs w:val="1"/>
                <w:color w:val="6EC4E8"/>
              </w:rPr>
              <w:t xml:space="preserve">“Double Trigger” Provisions for Change in Control Plan and Equity Awards. </w:t>
            </w:r>
            <w:r>
              <w:rPr>
                <w:rFonts w:ascii="Arial" w:cs="Arial" w:eastAsia="Arial" w:hAnsi="Arial"/>
                <w:sz w:val="15"/>
                <w:szCs w:val="15"/>
                <w:color w:val="000000"/>
              </w:rPr>
              <w:t>Our change in control plan and equity award</w:t>
            </w:r>
            <w:r>
              <w:rPr>
                <w:rFonts w:ascii="Arial" w:cs="Arial" w:eastAsia="Arial" w:hAnsi="Arial"/>
                <w:sz w:val="15"/>
                <w:szCs w:val="15"/>
                <w:b w:val="1"/>
                <w:bCs w:val="1"/>
                <w:color w:val="6EC4E8"/>
              </w:rPr>
              <w:t xml:space="preserve">   </w:t>
            </w:r>
            <w:r>
              <w:rPr>
                <w:rFonts w:ascii="Arial" w:cs="Arial" w:eastAsia="Arial" w:hAnsi="Arial"/>
                <w:sz w:val="29"/>
                <w:szCs w:val="29"/>
                <w:color w:val="000000"/>
                <w:vertAlign w:val="superscript"/>
              </w:rPr>
              <w:t>​</w:t>
            </w:r>
          </w:p>
        </w:tc>
      </w:tr>
      <w:tr>
        <w:trPr>
          <w:trHeight w:val="200"/>
        </w:trPr>
        <w:tc>
          <w:tcPr>
            <w:tcW w:w="220" w:type="dxa"/>
            <w:vAlign w:val="bottom"/>
          </w:tcPr>
          <w:p>
            <w:pPr>
              <w:spacing w:after="0"/>
              <w:rPr>
                <w:sz w:val="17"/>
                <w:szCs w:val="17"/>
                <w:color w:val="auto"/>
              </w:rPr>
            </w:pPr>
          </w:p>
        </w:tc>
        <w:tc>
          <w:tcPr>
            <w:tcW w:w="9040" w:type="dxa"/>
            <w:vAlign w:val="bottom"/>
          </w:tcPr>
          <w:p>
            <w:pPr>
              <w:ind w:left="320"/>
              <w:spacing w:after="0"/>
              <w:rPr>
                <w:sz w:val="20"/>
                <w:szCs w:val="20"/>
                <w:color w:val="auto"/>
              </w:rPr>
            </w:pPr>
            <w:r>
              <w:rPr>
                <w:rFonts w:ascii="Arial" w:cs="Arial" w:eastAsia="Arial" w:hAnsi="Arial"/>
                <w:sz w:val="15"/>
                <w:szCs w:val="15"/>
                <w:color w:val="auto"/>
              </w:rPr>
              <w:t>agreements include a “double trigger,” whereby the executive is eligible for change in control benefits only if employment 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-218440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5"/>
          <w:szCs w:val="15"/>
          <w:color w:val="auto"/>
        </w:rPr>
        <w:t>terminated under certain circumstances within a set period before or after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40005</wp:posOffset>
            </wp:positionV>
            <wp:extent cx="5880735" cy="436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80735" cy="436880"/>
                    </a:xfrm>
                    <a:prstGeom prst="rect">
                      <a:avLst/>
                    </a:prstGeom>
                    <a:noFill/>
                  </pic:spPr>
                </pic:pic>
              </a:graphicData>
            </a:graphic>
          </wp:anchor>
        </w:drawing>
      </w:r>
    </w:p>
    <w:p>
      <w:pPr>
        <w:spacing w:after="0" w:line="23"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2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8740" w:type="dxa"/>
            <w:vAlign w:val="bottom"/>
            <w:tcBorders>
              <w:top w:val="single" w:sz="8" w:color="CCCCCC"/>
            </w:tcBorders>
          </w:tcPr>
          <w:p>
            <w:pPr>
              <w:ind w:left="140"/>
              <w:spacing w:after="0" w:line="252"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b w:val="1"/>
                <w:bCs w:val="1"/>
                <w:color w:val="6EC4E8"/>
              </w:rPr>
              <w:t xml:space="preserve">Executive Severance Guidelines. </w:t>
            </w:r>
            <w:r>
              <w:rPr>
                <w:rFonts w:ascii="Arial" w:cs="Arial" w:eastAsia="Arial" w:hAnsi="Arial"/>
                <w:sz w:val="15"/>
                <w:szCs w:val="15"/>
                <w:color w:val="000000"/>
              </w:rPr>
              <w:t>The Human Capital and Compensation Committee has adopted executive severance</w:t>
            </w:r>
          </w:p>
        </w:tc>
        <w:tc>
          <w:tcPr>
            <w:tcW w:w="300" w:type="dxa"/>
            <w:vAlign w:val="bottom"/>
            <w:tcBorders>
              <w:top w:val="single" w:sz="8" w:color="CCCCCC"/>
            </w:tcBorders>
          </w:tcPr>
          <w:p>
            <w:pPr>
              <w:ind w:left="240"/>
              <w:spacing w:after="0"/>
              <w:rPr>
                <w:sz w:val="20"/>
                <w:szCs w:val="20"/>
                <w:color w:val="auto"/>
              </w:rPr>
            </w:pPr>
            <w:r>
              <w:rPr>
                <w:rFonts w:ascii="Arial" w:cs="Arial" w:eastAsia="Arial" w:hAnsi="Arial"/>
                <w:sz w:val="15"/>
                <w:szCs w:val="15"/>
                <w:color w:val="auto"/>
              </w:rPr>
              <w:t>​</w:t>
            </w:r>
          </w:p>
        </w:tc>
      </w:tr>
      <w:tr>
        <w:trPr>
          <w:trHeight w:val="200"/>
        </w:trPr>
        <w:tc>
          <w:tcPr>
            <w:tcW w:w="220" w:type="dxa"/>
            <w:vAlign w:val="bottom"/>
          </w:tcPr>
          <w:p>
            <w:pPr>
              <w:spacing w:after="0"/>
              <w:rPr>
                <w:sz w:val="17"/>
                <w:szCs w:val="17"/>
                <w:color w:val="auto"/>
              </w:rPr>
            </w:pPr>
          </w:p>
        </w:tc>
        <w:tc>
          <w:tcPr>
            <w:tcW w:w="8740" w:type="dxa"/>
            <w:vAlign w:val="bottom"/>
          </w:tcPr>
          <w:p>
            <w:pPr>
              <w:ind w:left="320"/>
              <w:spacing w:after="0"/>
              <w:rPr>
                <w:sz w:val="20"/>
                <w:szCs w:val="20"/>
                <w:color w:val="auto"/>
              </w:rPr>
            </w:pPr>
            <w:r>
              <w:rPr>
                <w:rFonts w:ascii="Arial" w:cs="Arial" w:eastAsia="Arial" w:hAnsi="Arial"/>
                <w:sz w:val="15"/>
                <w:szCs w:val="15"/>
                <w:color w:val="auto"/>
              </w:rPr>
              <w:t>guidelines to set forth appropriate limits on any severance payments to our named executive officers. The guidelines do not</w:t>
            </w:r>
          </w:p>
        </w:tc>
        <w:tc>
          <w:tcPr>
            <w:tcW w:w="300" w:type="dxa"/>
            <w:vAlign w:val="bottom"/>
          </w:tcPr>
          <w:p>
            <w:pPr>
              <w:spacing w:after="0"/>
              <w:rPr>
                <w:sz w:val="17"/>
                <w:szCs w:val="17"/>
                <w:color w:val="auto"/>
              </w:rPr>
            </w:pPr>
          </w:p>
        </w:tc>
      </w:tr>
    </w:tbl>
    <w:p>
      <w:pPr>
        <w:ind w:left="1280"/>
        <w:spacing w:after="0"/>
        <w:rPr>
          <w:sz w:val="20"/>
          <w:szCs w:val="20"/>
          <w:color w:val="auto"/>
        </w:rPr>
      </w:pPr>
      <w:r>
        <w:rPr>
          <w:rFonts w:ascii="Arial" w:cs="Arial" w:eastAsia="Arial" w:hAnsi="Arial"/>
          <w:sz w:val="15"/>
          <w:szCs w:val="15"/>
          <w:color w:val="auto"/>
        </w:rPr>
        <w:t>entitle any executive officer to a severance payment.</w:t>
      </w:r>
    </w:p>
    <w:p>
      <w:pPr>
        <w:spacing w:after="0" w:line="43" w:lineRule="exact"/>
        <w:rPr>
          <w:sz w:val="20"/>
          <w:szCs w:val="20"/>
          <w:color w:val="auto"/>
        </w:rPr>
      </w:pPr>
    </w:p>
    <w:tbl>
      <w:tblPr>
        <w:tblLayout w:type="fixed"/>
        <w:tblInd w:w="740" w:type="dxa"/>
        <w:tblCellMar>
          <w:top w:w="0" w:type="dxa"/>
          <w:left w:w="0" w:type="dxa"/>
          <w:bottom w:w="0" w:type="dxa"/>
          <w:right w:w="0" w:type="dxa"/>
        </w:tblCellMar>
      </w:tblPr>
      <w:tr>
        <w:trPr>
          <w:trHeight w:val="405"/>
        </w:trPr>
        <w:tc>
          <w:tcPr>
            <w:tcW w:w="220" w:type="dxa"/>
            <w:vAlign w:val="bottom"/>
            <w:tcBorders>
              <w:top w:val="single" w:sz="8" w:color="CCCCCC"/>
              <w:bottom w:val="single" w:sz="8" w:color="CCCCCC"/>
            </w:tcBorders>
          </w:tcPr>
          <w:p>
            <w:pPr>
              <w:ind w:left="40"/>
              <w:spacing w:after="0"/>
              <w:rPr>
                <w:sz w:val="20"/>
                <w:szCs w:val="20"/>
                <w:color w:val="auto"/>
              </w:rPr>
            </w:pPr>
            <w:r>
              <w:rPr>
                <w:rFonts w:ascii="Arial" w:cs="Arial" w:eastAsia="Arial" w:hAnsi="Arial"/>
                <w:sz w:val="15"/>
                <w:szCs w:val="15"/>
                <w:b w:val="1"/>
                <w:bCs w:val="1"/>
                <w:color w:val="auto"/>
              </w:rPr>
              <w:t>​</w:t>
            </w:r>
          </w:p>
        </w:tc>
        <w:tc>
          <w:tcPr>
            <w:tcW w:w="8940" w:type="dxa"/>
            <w:vAlign w:val="bottom"/>
            <w:tcBorders>
              <w:top w:val="single" w:sz="8" w:color="CCCCCC"/>
              <w:bottom w:val="single" w:sz="8" w:color="CCCCCC"/>
            </w:tcBorders>
          </w:tcPr>
          <w:p>
            <w:pPr>
              <w:ind w:left="140"/>
              <w:spacing w:after="0"/>
              <w:rPr>
                <w:sz w:val="20"/>
                <w:szCs w:val="20"/>
                <w:color w:val="auto"/>
              </w:rPr>
            </w:pPr>
            <w:r>
              <w:rPr>
                <w:rFonts w:ascii="Arial" w:cs="Arial" w:eastAsia="Arial" w:hAnsi="Arial"/>
                <w:sz w:val="30"/>
                <w:szCs w:val="30"/>
                <w:b w:val="1"/>
                <w:bCs w:val="1"/>
                <w:color w:val="000000"/>
                <w:vertAlign w:val="superscript"/>
              </w:rPr>
              <w:t>​ ​</w:t>
            </w:r>
            <w:r>
              <w:rPr>
                <w:rFonts w:ascii="Arial" w:cs="Arial" w:eastAsia="Arial" w:hAnsi="Arial"/>
                <w:sz w:val="15"/>
                <w:szCs w:val="15"/>
                <w:b w:val="1"/>
                <w:bCs w:val="1"/>
                <w:color w:val="6EC4E8"/>
              </w:rPr>
              <w:t xml:space="preserve">No Excise Tax Gross Up Payments. </w:t>
            </w:r>
            <w:r>
              <w:rPr>
                <w:rFonts w:ascii="Arial" w:cs="Arial" w:eastAsia="Arial" w:hAnsi="Arial"/>
                <w:sz w:val="15"/>
                <w:szCs w:val="15"/>
                <w:color w:val="000000"/>
              </w:rPr>
              <w:t>Our change in control plan does not provide for excise tax gross up payments.</w:t>
            </w:r>
          </w:p>
        </w:tc>
        <w:tc>
          <w:tcPr>
            <w:tcW w:w="100" w:type="dxa"/>
            <w:vAlign w:val="bottom"/>
            <w:tcBorders>
              <w:top w:val="single" w:sz="8" w:color="CCCCCC"/>
              <w:bottom w:val="single" w:sz="8" w:color="CCCCCC"/>
            </w:tcBorders>
          </w:tcPr>
          <w:p>
            <w:pPr>
              <w:ind w:left="40"/>
              <w:spacing w:after="0"/>
              <w:rPr>
                <w:sz w:val="20"/>
                <w:szCs w:val="20"/>
                <w:color w:val="auto"/>
              </w:rPr>
            </w:pPr>
            <w:r>
              <w:rPr>
                <w:rFonts w:ascii="Arial" w:cs="Arial" w:eastAsia="Arial" w:hAnsi="Arial"/>
                <w:sz w:val="15"/>
                <w:szCs w:val="15"/>
                <w:b w:val="1"/>
                <w:bCs w:val="1"/>
                <w:color w:val="auto"/>
              </w:rPr>
              <w:t>​</w:t>
            </w:r>
          </w:p>
        </w:tc>
      </w:tr>
      <w:tr>
        <w:trPr>
          <w:trHeight w:val="233"/>
        </w:trPr>
        <w:tc>
          <w:tcPr>
            <w:tcW w:w="22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c>
          <w:tcPr>
            <w:tcW w:w="8940" w:type="dxa"/>
            <w:vAlign w:val="bottom"/>
            <w:shd w:val="clear" w:color="auto" w:fill="F2F2F2"/>
          </w:tcPr>
          <w:p>
            <w:pPr>
              <w:ind w:left="14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b w:val="1"/>
                <w:bCs w:val="1"/>
                <w:color w:val="6EC4E8"/>
              </w:rPr>
              <w:t xml:space="preserve">Stock Ownership Guidelines. </w:t>
            </w:r>
            <w:r>
              <w:rPr>
                <w:rFonts w:ascii="Arial" w:cs="Arial" w:eastAsia="Arial" w:hAnsi="Arial"/>
                <w:sz w:val="14"/>
                <w:szCs w:val="14"/>
                <w:color w:val="000000"/>
              </w:rPr>
              <w:t>We have established executive stock ownership guidelines applicable to all of our officers to</w:t>
            </w:r>
          </w:p>
        </w:tc>
        <w:tc>
          <w:tcPr>
            <w:tcW w:w="10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r>
      <w:tr>
        <w:trPr>
          <w:trHeight w:val="265"/>
        </w:trPr>
        <w:tc>
          <w:tcPr>
            <w:tcW w:w="220" w:type="dxa"/>
            <w:vAlign w:val="bottom"/>
            <w:tcBorders>
              <w:bottom w:val="single" w:sz="8" w:color="F2F2F2"/>
            </w:tcBorders>
            <w:shd w:val="clear" w:color="auto" w:fill="F2F2F2"/>
          </w:tcPr>
          <w:p>
            <w:pPr>
              <w:spacing w:after="0"/>
              <w:rPr>
                <w:sz w:val="22"/>
                <w:szCs w:val="22"/>
                <w:color w:val="auto"/>
              </w:rPr>
            </w:pPr>
          </w:p>
        </w:tc>
        <w:tc>
          <w:tcPr>
            <w:tcW w:w="894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5"/>
                <w:szCs w:val="15"/>
                <w:color w:val="auto"/>
              </w:rPr>
              <w:t>appropriately align the interests of our officers with our shareholders’ interests.</w:t>
            </w:r>
          </w:p>
        </w:tc>
        <w:tc>
          <w:tcPr>
            <w:tcW w:w="100" w:type="dxa"/>
            <w:vAlign w:val="bottom"/>
            <w:tcBorders>
              <w:bottom w:val="single" w:sz="8" w:color="F2F2F2"/>
            </w:tcBorders>
            <w:shd w:val="clear" w:color="auto" w:fill="F2F2F2"/>
          </w:tcPr>
          <w:p>
            <w:pPr>
              <w:spacing w:after="0"/>
              <w:rPr>
                <w:sz w:val="22"/>
                <w:szCs w:val="22"/>
                <w:color w:val="auto"/>
              </w:rPr>
            </w:pPr>
          </w:p>
        </w:tc>
      </w:tr>
      <w:tr>
        <w:trPr>
          <w:trHeight w:val="246"/>
        </w:trPr>
        <w:tc>
          <w:tcPr>
            <w:tcW w:w="22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8940" w:type="dxa"/>
            <w:vAlign w:val="bottom"/>
            <w:tcBorders>
              <w:top w:val="single" w:sz="8" w:color="CCCCCC"/>
            </w:tcBorders>
          </w:tcPr>
          <w:p>
            <w:pPr>
              <w:ind w:left="140"/>
              <w:spacing w:after="0" w:line="246"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b w:val="1"/>
                <w:bCs w:val="1"/>
                <w:color w:val="6EC4E8"/>
              </w:rPr>
              <w:t xml:space="preserve">Benchmark Pay to Market. </w:t>
            </w:r>
            <w:r>
              <w:rPr>
                <w:rFonts w:ascii="Arial" w:cs="Arial" w:eastAsia="Arial" w:hAnsi="Arial"/>
                <w:sz w:val="15"/>
                <w:szCs w:val="15"/>
                <w:color w:val="000000"/>
              </w:rPr>
              <w:t>We benchmark each major element of target compensation against the middle of the market (25</w:t>
            </w:r>
            <w:r>
              <w:rPr>
                <w:rFonts w:ascii="Arial" w:cs="Arial" w:eastAsia="Arial" w:hAnsi="Arial"/>
                <w:sz w:val="18"/>
                <w:szCs w:val="18"/>
                <w:color w:val="000000"/>
                <w:vertAlign w:val="superscript"/>
              </w:rPr>
              <w:t>th</w:t>
            </w:r>
            <w:r>
              <w:rPr>
                <w:rFonts w:ascii="Arial" w:cs="Arial" w:eastAsia="Arial" w:hAnsi="Arial"/>
                <w:sz w:val="15"/>
                <w:szCs w:val="15"/>
                <w:color w:val="000000"/>
              </w:rPr>
              <w:t> – </w:t>
            </w:r>
          </w:p>
        </w:tc>
        <w:tc>
          <w:tcPr>
            <w:tcW w:w="10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r>
      <w:tr>
        <w:trPr>
          <w:trHeight w:val="265"/>
        </w:trPr>
        <w:tc>
          <w:tcPr>
            <w:tcW w:w="220" w:type="dxa"/>
            <w:vAlign w:val="bottom"/>
          </w:tcPr>
          <w:p>
            <w:pPr>
              <w:spacing w:after="0"/>
              <w:rPr>
                <w:sz w:val="23"/>
                <w:szCs w:val="23"/>
                <w:color w:val="auto"/>
              </w:rPr>
            </w:pPr>
          </w:p>
        </w:tc>
        <w:tc>
          <w:tcPr>
            <w:tcW w:w="8940" w:type="dxa"/>
            <w:vAlign w:val="bottom"/>
          </w:tcPr>
          <w:p>
            <w:pPr>
              <w:ind w:left="320"/>
              <w:spacing w:after="0"/>
              <w:rPr>
                <w:sz w:val="20"/>
                <w:szCs w:val="20"/>
                <w:color w:val="auto"/>
              </w:rPr>
            </w:pPr>
            <w:r>
              <w:rPr>
                <w:rFonts w:ascii="Arial" w:cs="Arial" w:eastAsia="Arial" w:hAnsi="Arial"/>
                <w:sz w:val="15"/>
                <w:szCs w:val="15"/>
                <w:color w:val="auto"/>
              </w:rPr>
              <w:t>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percentiles) because we believe the middle of the market is a generally accepted benchmark of external competitiveness.</w:t>
            </w:r>
          </w:p>
        </w:tc>
        <w:tc>
          <w:tcPr>
            <w:tcW w:w="100" w:type="dxa"/>
            <w:vAlign w:val="bottom"/>
          </w:tcPr>
          <w:p>
            <w:pPr>
              <w:spacing w:after="0"/>
              <w:rPr>
                <w:sz w:val="23"/>
                <w:szCs w:val="23"/>
                <w:color w:val="auto"/>
              </w:rPr>
            </w:pPr>
          </w:p>
        </w:tc>
      </w:tr>
      <w:tr>
        <w:trPr>
          <w:trHeight w:val="131"/>
        </w:trPr>
        <w:tc>
          <w:tcPr>
            <w:tcW w:w="220" w:type="dxa"/>
            <w:vAlign w:val="bottom"/>
            <w:tcBorders>
              <w:bottom w:val="single" w:sz="8" w:color="CCCCCC"/>
            </w:tcBorders>
          </w:tcPr>
          <w:p>
            <w:pPr>
              <w:spacing w:after="0"/>
              <w:rPr>
                <w:sz w:val="11"/>
                <w:szCs w:val="11"/>
                <w:color w:val="auto"/>
              </w:rPr>
            </w:pPr>
          </w:p>
        </w:tc>
        <w:tc>
          <w:tcPr>
            <w:tcW w:w="8940" w:type="dxa"/>
            <w:vAlign w:val="bottom"/>
            <w:tcBorders>
              <w:bottom w:val="single" w:sz="8" w:color="CCCCCC"/>
            </w:tcBorders>
          </w:tcPr>
          <w:p>
            <w:pPr>
              <w:spacing w:after="0"/>
              <w:rPr>
                <w:sz w:val="11"/>
                <w:szCs w:val="11"/>
                <w:color w:val="auto"/>
              </w:rPr>
            </w:pPr>
          </w:p>
        </w:tc>
        <w:tc>
          <w:tcPr>
            <w:tcW w:w="100" w:type="dxa"/>
            <w:vAlign w:val="bottom"/>
            <w:tcBorders>
              <w:bottom w:val="single" w:sz="8" w:color="CCCCCC"/>
            </w:tcBorders>
          </w:tcPr>
          <w:p>
            <w:pPr>
              <w:spacing w:after="0"/>
              <w:rPr>
                <w:sz w:val="11"/>
                <w:szCs w:val="11"/>
                <w:color w:val="auto"/>
              </w:rPr>
            </w:pPr>
          </w:p>
        </w:tc>
      </w:tr>
      <w:tr>
        <w:trPr>
          <w:trHeight w:val="233"/>
        </w:trPr>
        <w:tc>
          <w:tcPr>
            <w:tcW w:w="22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c>
          <w:tcPr>
            <w:tcW w:w="8940" w:type="dxa"/>
            <w:vAlign w:val="bottom"/>
            <w:shd w:val="clear" w:color="auto" w:fill="F2F2F2"/>
          </w:tcPr>
          <w:p>
            <w:pPr>
              <w:ind w:left="14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b w:val="1"/>
                <w:bCs w:val="1"/>
                <w:color w:val="6EC4E8"/>
              </w:rPr>
              <w:t xml:space="preserve">Recovery and Recoupment (Clawback) Policies. </w:t>
            </w:r>
            <w:r>
              <w:rPr>
                <w:rFonts w:ascii="Arial" w:cs="Arial" w:eastAsia="Arial" w:hAnsi="Arial"/>
                <w:sz w:val="14"/>
                <w:szCs w:val="14"/>
                <w:color w:val="000000"/>
              </w:rPr>
              <w:t>We have implemented an Executive Officer Recovery Policy in compliance</w:t>
            </w:r>
          </w:p>
        </w:tc>
        <w:tc>
          <w:tcPr>
            <w:tcW w:w="10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r>
      <w:tr>
        <w:trPr>
          <w:trHeight w:val="189"/>
        </w:trPr>
        <w:tc>
          <w:tcPr>
            <w:tcW w:w="220" w:type="dxa"/>
            <w:vAlign w:val="bottom"/>
            <w:shd w:val="clear" w:color="auto" w:fill="F2F2F2"/>
          </w:tcPr>
          <w:p>
            <w:pPr>
              <w:spacing w:after="0"/>
              <w:rPr>
                <w:sz w:val="16"/>
                <w:szCs w:val="16"/>
                <w:color w:val="auto"/>
              </w:rPr>
            </w:pPr>
          </w:p>
        </w:tc>
        <w:tc>
          <w:tcPr>
            <w:tcW w:w="8940" w:type="dxa"/>
            <w:vAlign w:val="bottom"/>
            <w:shd w:val="clear" w:color="auto" w:fill="F2F2F2"/>
          </w:tcPr>
          <w:p>
            <w:pPr>
              <w:ind w:left="320"/>
              <w:spacing w:after="0"/>
              <w:rPr>
                <w:sz w:val="20"/>
                <w:szCs w:val="20"/>
                <w:color w:val="auto"/>
              </w:rPr>
            </w:pPr>
            <w:r>
              <w:rPr>
                <w:rFonts w:ascii="Arial" w:cs="Arial" w:eastAsia="Arial" w:hAnsi="Arial"/>
                <w:sz w:val="15"/>
                <w:szCs w:val="15"/>
                <w:color w:val="auto"/>
              </w:rPr>
              <w:t>with the NYSE listing standards issued in accordance with the Dodd Frank Act of 2010 that provides for the recovery of incentive-</w:t>
            </w:r>
          </w:p>
        </w:tc>
        <w:tc>
          <w:tcPr>
            <w:tcW w:w="100" w:type="dxa"/>
            <w:vAlign w:val="bottom"/>
            <w:shd w:val="clear" w:color="auto" w:fill="F2F2F2"/>
          </w:tcPr>
          <w:p>
            <w:pPr>
              <w:spacing w:after="0"/>
              <w:rPr>
                <w:sz w:val="16"/>
                <w:szCs w:val="16"/>
                <w:color w:val="auto"/>
              </w:rPr>
            </w:pPr>
          </w:p>
        </w:tc>
      </w:tr>
      <w:tr>
        <w:trPr>
          <w:trHeight w:val="175"/>
        </w:trPr>
        <w:tc>
          <w:tcPr>
            <w:tcW w:w="220" w:type="dxa"/>
            <w:vAlign w:val="bottom"/>
            <w:shd w:val="clear" w:color="auto" w:fill="F2F2F2"/>
          </w:tcPr>
          <w:p>
            <w:pPr>
              <w:spacing w:after="0"/>
              <w:rPr>
                <w:sz w:val="15"/>
                <w:szCs w:val="15"/>
                <w:color w:val="auto"/>
              </w:rPr>
            </w:pPr>
          </w:p>
        </w:tc>
        <w:tc>
          <w:tcPr>
            <w:tcW w:w="8940" w:type="dxa"/>
            <w:vAlign w:val="bottom"/>
            <w:shd w:val="clear" w:color="auto" w:fill="F2F2F2"/>
          </w:tcPr>
          <w:p>
            <w:pPr>
              <w:ind w:left="320"/>
              <w:spacing w:after="0"/>
              <w:rPr>
                <w:sz w:val="20"/>
                <w:szCs w:val="20"/>
                <w:color w:val="auto"/>
              </w:rPr>
            </w:pPr>
            <w:r>
              <w:rPr>
                <w:rFonts w:ascii="Arial" w:cs="Arial" w:eastAsia="Arial" w:hAnsi="Arial"/>
                <w:sz w:val="15"/>
                <w:szCs w:val="15"/>
                <w:color w:val="auto"/>
              </w:rPr>
              <w:t>based compensation from executive officers in the event of an accounting restatement due to material noncompliance with any</w:t>
            </w:r>
          </w:p>
        </w:tc>
        <w:tc>
          <w:tcPr>
            <w:tcW w:w="100" w:type="dxa"/>
            <w:vAlign w:val="bottom"/>
            <w:shd w:val="clear" w:color="auto" w:fill="F2F2F2"/>
          </w:tcPr>
          <w:p>
            <w:pPr>
              <w:spacing w:after="0"/>
              <w:rPr>
                <w:sz w:val="15"/>
                <w:szCs w:val="15"/>
                <w:color w:val="auto"/>
              </w:rPr>
            </w:pPr>
          </w:p>
        </w:tc>
      </w:tr>
      <w:tr>
        <w:trPr>
          <w:trHeight w:val="175"/>
        </w:trPr>
        <w:tc>
          <w:tcPr>
            <w:tcW w:w="220" w:type="dxa"/>
            <w:vAlign w:val="bottom"/>
            <w:shd w:val="clear" w:color="auto" w:fill="F2F2F2"/>
          </w:tcPr>
          <w:p>
            <w:pPr>
              <w:spacing w:after="0"/>
              <w:rPr>
                <w:sz w:val="15"/>
                <w:szCs w:val="15"/>
                <w:color w:val="auto"/>
              </w:rPr>
            </w:pPr>
          </w:p>
        </w:tc>
        <w:tc>
          <w:tcPr>
            <w:tcW w:w="8940" w:type="dxa"/>
            <w:vAlign w:val="bottom"/>
            <w:shd w:val="clear" w:color="auto" w:fill="F2F2F2"/>
          </w:tcPr>
          <w:p>
            <w:pPr>
              <w:ind w:left="320"/>
              <w:spacing w:after="0"/>
              <w:rPr>
                <w:sz w:val="20"/>
                <w:szCs w:val="20"/>
                <w:color w:val="auto"/>
              </w:rPr>
            </w:pPr>
            <w:r>
              <w:rPr>
                <w:rFonts w:ascii="Arial" w:cs="Arial" w:eastAsia="Arial" w:hAnsi="Arial"/>
                <w:sz w:val="15"/>
                <w:szCs w:val="15"/>
                <w:color w:val="auto"/>
              </w:rPr>
              <w:t>financial reporting requirement, regardless of the executive officer’s culpability. In addition, we maintain a broader recoupment</w:t>
            </w:r>
          </w:p>
        </w:tc>
        <w:tc>
          <w:tcPr>
            <w:tcW w:w="100" w:type="dxa"/>
            <w:vAlign w:val="bottom"/>
            <w:shd w:val="clear" w:color="auto" w:fill="F2F2F2"/>
          </w:tcPr>
          <w:p>
            <w:pPr>
              <w:spacing w:after="0"/>
              <w:rPr>
                <w:sz w:val="15"/>
                <w:szCs w:val="15"/>
                <w:color w:val="auto"/>
              </w:rPr>
            </w:pPr>
          </w:p>
        </w:tc>
      </w:tr>
      <w:tr>
        <w:trPr>
          <w:trHeight w:val="189"/>
        </w:trPr>
        <w:tc>
          <w:tcPr>
            <w:tcW w:w="220" w:type="dxa"/>
            <w:vAlign w:val="bottom"/>
            <w:shd w:val="clear" w:color="auto" w:fill="F2F2F2"/>
          </w:tcPr>
          <w:p>
            <w:pPr>
              <w:spacing w:after="0"/>
              <w:rPr>
                <w:sz w:val="16"/>
                <w:szCs w:val="16"/>
                <w:color w:val="auto"/>
              </w:rPr>
            </w:pPr>
          </w:p>
        </w:tc>
        <w:tc>
          <w:tcPr>
            <w:tcW w:w="8940" w:type="dxa"/>
            <w:vAlign w:val="bottom"/>
            <w:shd w:val="clear" w:color="auto" w:fill="F2F2F2"/>
          </w:tcPr>
          <w:p>
            <w:pPr>
              <w:ind w:left="320"/>
              <w:spacing w:after="0"/>
              <w:rPr>
                <w:sz w:val="20"/>
                <w:szCs w:val="20"/>
                <w:color w:val="auto"/>
              </w:rPr>
            </w:pPr>
            <w:r>
              <w:rPr>
                <w:rFonts w:ascii="Arial" w:cs="Arial" w:eastAsia="Arial" w:hAnsi="Arial"/>
                <w:sz w:val="15"/>
                <w:szCs w:val="15"/>
                <w:color w:val="auto"/>
              </w:rPr>
              <w:t>policy that applies in certain other situations, including to all employees with respect to any compensation, including time-based</w:t>
            </w:r>
          </w:p>
        </w:tc>
        <w:tc>
          <w:tcPr>
            <w:tcW w:w="100" w:type="dxa"/>
            <w:vAlign w:val="bottom"/>
            <w:shd w:val="clear" w:color="auto" w:fill="F2F2F2"/>
          </w:tcPr>
          <w:p>
            <w:pPr>
              <w:spacing w:after="0"/>
              <w:rPr>
                <w:sz w:val="16"/>
                <w:szCs w:val="16"/>
                <w:color w:val="auto"/>
              </w:rPr>
            </w:pPr>
          </w:p>
        </w:tc>
      </w:tr>
      <w:tr>
        <w:trPr>
          <w:trHeight w:val="175"/>
        </w:trPr>
        <w:tc>
          <w:tcPr>
            <w:tcW w:w="220" w:type="dxa"/>
            <w:vAlign w:val="bottom"/>
            <w:shd w:val="clear" w:color="auto" w:fill="F2F2F2"/>
          </w:tcPr>
          <w:p>
            <w:pPr>
              <w:spacing w:after="0"/>
              <w:rPr>
                <w:sz w:val="15"/>
                <w:szCs w:val="15"/>
                <w:color w:val="auto"/>
              </w:rPr>
            </w:pPr>
          </w:p>
        </w:tc>
        <w:tc>
          <w:tcPr>
            <w:tcW w:w="8940" w:type="dxa"/>
            <w:vAlign w:val="bottom"/>
            <w:shd w:val="clear" w:color="auto" w:fill="F2F2F2"/>
          </w:tcPr>
          <w:p>
            <w:pPr>
              <w:ind w:left="320"/>
              <w:spacing w:after="0"/>
              <w:rPr>
                <w:sz w:val="20"/>
                <w:szCs w:val="20"/>
                <w:color w:val="auto"/>
              </w:rPr>
            </w:pPr>
            <w:r>
              <w:rPr>
                <w:rFonts w:ascii="Arial" w:cs="Arial" w:eastAsia="Arial" w:hAnsi="Arial"/>
                <w:sz w:val="15"/>
                <w:szCs w:val="15"/>
                <w:color w:val="auto"/>
              </w:rPr>
              <w:t>long-term incentive awards, if the employee is found to have engaged in wrongdoing in connection with corporate criminal</w:t>
            </w:r>
          </w:p>
        </w:tc>
        <w:tc>
          <w:tcPr>
            <w:tcW w:w="100" w:type="dxa"/>
            <w:vAlign w:val="bottom"/>
            <w:shd w:val="clear" w:color="auto" w:fill="F2F2F2"/>
          </w:tcPr>
          <w:p>
            <w:pPr>
              <w:spacing w:after="0"/>
              <w:rPr>
                <w:sz w:val="15"/>
                <w:szCs w:val="15"/>
                <w:color w:val="auto"/>
              </w:rPr>
            </w:pPr>
          </w:p>
        </w:tc>
      </w:tr>
      <w:tr>
        <w:trPr>
          <w:trHeight w:val="252"/>
        </w:trPr>
        <w:tc>
          <w:tcPr>
            <w:tcW w:w="220" w:type="dxa"/>
            <w:vAlign w:val="bottom"/>
            <w:tcBorders>
              <w:bottom w:val="single" w:sz="8" w:color="F2F2F2"/>
            </w:tcBorders>
            <w:shd w:val="clear" w:color="auto" w:fill="F2F2F2"/>
          </w:tcPr>
          <w:p>
            <w:pPr>
              <w:spacing w:after="0"/>
              <w:rPr>
                <w:sz w:val="21"/>
                <w:szCs w:val="21"/>
                <w:color w:val="auto"/>
              </w:rPr>
            </w:pPr>
          </w:p>
        </w:tc>
        <w:tc>
          <w:tcPr>
            <w:tcW w:w="894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5"/>
                <w:szCs w:val="15"/>
                <w:color w:val="auto"/>
              </w:rPr>
              <w:t>misconduct.</w:t>
            </w:r>
          </w:p>
        </w:tc>
        <w:tc>
          <w:tcPr>
            <w:tcW w:w="100" w:type="dxa"/>
            <w:vAlign w:val="bottom"/>
            <w:tcBorders>
              <w:bottom w:val="single" w:sz="8" w:color="F2F2F2"/>
            </w:tcBorders>
            <w:shd w:val="clear" w:color="auto" w:fill="F2F2F2"/>
          </w:tcPr>
          <w:p>
            <w:pPr>
              <w:spacing w:after="0"/>
              <w:rPr>
                <w:sz w:val="21"/>
                <w:szCs w:val="21"/>
                <w:color w:val="auto"/>
              </w:rPr>
            </w:pPr>
          </w:p>
        </w:tc>
      </w:tr>
      <w:tr>
        <w:trPr>
          <w:trHeight w:val="233"/>
        </w:trPr>
        <w:tc>
          <w:tcPr>
            <w:tcW w:w="22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8940" w:type="dxa"/>
            <w:vAlign w:val="bottom"/>
            <w:tcBorders>
              <w:top w:val="single" w:sz="8" w:color="CCCCCC"/>
            </w:tcBorders>
          </w:tcPr>
          <w:p>
            <w:pPr>
              <w:ind w:left="14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b w:val="1"/>
                <w:bCs w:val="1"/>
                <w:color w:val="6EC4E8"/>
              </w:rPr>
              <w:t xml:space="preserve">Anti-Hedging and Anti-Pledging Policy. </w:t>
            </w:r>
            <w:r>
              <w:rPr>
                <w:rFonts w:ascii="Arial" w:cs="Arial" w:eastAsia="Arial" w:hAnsi="Arial"/>
                <w:sz w:val="14"/>
                <w:szCs w:val="14"/>
                <w:color w:val="000000"/>
              </w:rPr>
              <w:t>As part of our Insider Trading Policy, we have a policy prohibiting all of our employees</w:t>
            </w:r>
          </w:p>
        </w:tc>
        <w:tc>
          <w:tcPr>
            <w:tcW w:w="10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r>
      <w:tr>
        <w:trPr>
          <w:trHeight w:val="189"/>
        </w:trPr>
        <w:tc>
          <w:tcPr>
            <w:tcW w:w="220" w:type="dxa"/>
            <w:vAlign w:val="bottom"/>
          </w:tcPr>
          <w:p>
            <w:pPr>
              <w:spacing w:after="0"/>
              <w:rPr>
                <w:sz w:val="16"/>
                <w:szCs w:val="16"/>
                <w:color w:val="auto"/>
              </w:rPr>
            </w:pPr>
          </w:p>
        </w:tc>
        <w:tc>
          <w:tcPr>
            <w:tcW w:w="8940" w:type="dxa"/>
            <w:vAlign w:val="bottom"/>
          </w:tcPr>
          <w:p>
            <w:pPr>
              <w:ind w:left="320"/>
              <w:spacing w:after="0"/>
              <w:rPr>
                <w:sz w:val="20"/>
                <w:szCs w:val="20"/>
                <w:color w:val="auto"/>
              </w:rPr>
            </w:pPr>
            <w:r>
              <w:rPr>
                <w:rFonts w:ascii="Arial" w:cs="Arial" w:eastAsia="Arial" w:hAnsi="Arial"/>
                <w:sz w:val="15"/>
                <w:szCs w:val="15"/>
                <w:color w:val="auto"/>
              </w:rPr>
              <w:t>and directors from hedging the risk of stock ownership by purchasing, selling, or writing options on CenterPoint Energy securities</w:t>
            </w:r>
          </w:p>
        </w:tc>
        <w:tc>
          <w:tcPr>
            <w:tcW w:w="100" w:type="dxa"/>
            <w:vAlign w:val="bottom"/>
          </w:tcPr>
          <w:p>
            <w:pPr>
              <w:spacing w:after="0"/>
              <w:rPr>
                <w:sz w:val="16"/>
                <w:szCs w:val="16"/>
                <w:color w:val="auto"/>
              </w:rPr>
            </w:pPr>
          </w:p>
        </w:tc>
      </w:tr>
      <w:tr>
        <w:trPr>
          <w:trHeight w:val="175"/>
        </w:trPr>
        <w:tc>
          <w:tcPr>
            <w:tcW w:w="220" w:type="dxa"/>
            <w:vAlign w:val="bottom"/>
          </w:tcPr>
          <w:p>
            <w:pPr>
              <w:spacing w:after="0"/>
              <w:rPr>
                <w:sz w:val="15"/>
                <w:szCs w:val="15"/>
                <w:color w:val="auto"/>
              </w:rPr>
            </w:pPr>
          </w:p>
        </w:tc>
        <w:tc>
          <w:tcPr>
            <w:tcW w:w="8940" w:type="dxa"/>
            <w:vAlign w:val="bottom"/>
          </w:tcPr>
          <w:p>
            <w:pPr>
              <w:ind w:left="320"/>
              <w:spacing w:after="0"/>
              <w:rPr>
                <w:sz w:val="20"/>
                <w:szCs w:val="20"/>
                <w:color w:val="auto"/>
              </w:rPr>
            </w:pPr>
            <w:r>
              <w:rPr>
                <w:rFonts w:ascii="Arial" w:cs="Arial" w:eastAsia="Arial" w:hAnsi="Arial"/>
                <w:sz w:val="15"/>
                <w:szCs w:val="15"/>
                <w:color w:val="auto"/>
                <w:w w:val="99"/>
              </w:rPr>
              <w:t>or engaging in transactions in other third-party derivative securities with respect to CenterPoint Energy securities. Additionally, our</w:t>
            </w:r>
          </w:p>
        </w:tc>
        <w:tc>
          <w:tcPr>
            <w:tcW w:w="100" w:type="dxa"/>
            <w:vAlign w:val="bottom"/>
          </w:tcPr>
          <w:p>
            <w:pPr>
              <w:spacing w:after="0"/>
              <w:rPr>
                <w:sz w:val="15"/>
                <w:szCs w:val="15"/>
                <w:color w:val="auto"/>
              </w:rPr>
            </w:pPr>
          </w:p>
        </w:tc>
      </w:tr>
      <w:tr>
        <w:trPr>
          <w:trHeight w:val="200"/>
        </w:trPr>
        <w:tc>
          <w:tcPr>
            <w:tcW w:w="220" w:type="dxa"/>
            <w:vAlign w:val="bottom"/>
          </w:tcPr>
          <w:p>
            <w:pPr>
              <w:spacing w:after="0"/>
              <w:rPr>
                <w:sz w:val="17"/>
                <w:szCs w:val="17"/>
                <w:color w:val="auto"/>
              </w:rPr>
            </w:pPr>
          </w:p>
        </w:tc>
        <w:tc>
          <w:tcPr>
            <w:tcW w:w="8940" w:type="dxa"/>
            <w:vAlign w:val="bottom"/>
          </w:tcPr>
          <w:p>
            <w:pPr>
              <w:ind w:left="320"/>
              <w:spacing w:after="0"/>
              <w:rPr>
                <w:sz w:val="20"/>
                <w:szCs w:val="20"/>
                <w:color w:val="auto"/>
              </w:rPr>
            </w:pPr>
            <w:r>
              <w:rPr>
                <w:rFonts w:ascii="Arial" w:cs="Arial" w:eastAsia="Arial" w:hAnsi="Arial"/>
                <w:sz w:val="15"/>
                <w:szCs w:val="15"/>
                <w:color w:val="auto"/>
              </w:rPr>
              <w:t>Insider Trading Policy prohibits our employees and directors from pledging CenterPoint Energy securities as collateral for a loan.</w:t>
            </w:r>
          </w:p>
        </w:tc>
        <w:tc>
          <w:tcPr>
            <w:tcW w:w="100" w:type="dxa"/>
            <w:vAlign w:val="bottom"/>
          </w:tcPr>
          <w:p>
            <w:pPr>
              <w:spacing w:after="0"/>
              <w:rPr>
                <w:sz w:val="17"/>
                <w:szCs w:val="17"/>
                <w:color w:val="auto"/>
              </w:rPr>
            </w:pPr>
          </w:p>
        </w:tc>
      </w:tr>
      <w:tr>
        <w:trPr>
          <w:trHeight w:val="195"/>
        </w:trPr>
        <w:tc>
          <w:tcPr>
            <w:tcW w:w="220" w:type="dxa"/>
            <w:vAlign w:val="bottom"/>
            <w:tcBorders>
              <w:bottom w:val="single" w:sz="8" w:color="CCCCCC"/>
            </w:tcBorders>
          </w:tcPr>
          <w:p>
            <w:pPr>
              <w:spacing w:after="0"/>
              <w:rPr>
                <w:sz w:val="16"/>
                <w:szCs w:val="16"/>
                <w:color w:val="auto"/>
              </w:rPr>
            </w:pPr>
          </w:p>
        </w:tc>
        <w:tc>
          <w:tcPr>
            <w:tcW w:w="8940" w:type="dxa"/>
            <w:vAlign w:val="bottom"/>
            <w:tcBorders>
              <w:bottom w:val="single" w:sz="8" w:color="CCCCCC"/>
            </w:tcBorders>
          </w:tcPr>
          <w:p>
            <w:pPr>
              <w:spacing w:after="0"/>
              <w:rPr>
                <w:sz w:val="16"/>
                <w:szCs w:val="16"/>
                <w:color w:val="auto"/>
              </w:rPr>
            </w:pPr>
          </w:p>
        </w:tc>
        <w:tc>
          <w:tcPr>
            <w:tcW w:w="100" w:type="dxa"/>
            <w:vAlign w:val="bottom"/>
            <w:tcBorders>
              <w:bottom w:val="single" w:sz="8" w:color="CCCCCC"/>
            </w:tcBorders>
          </w:tcPr>
          <w:p>
            <w:pPr>
              <w:spacing w:after="0"/>
              <w:rPr>
                <w:sz w:val="16"/>
                <w:szCs w:val="16"/>
                <w:color w:val="auto"/>
              </w:rPr>
            </w:pPr>
          </w:p>
        </w:tc>
      </w:tr>
      <w:tr>
        <w:trPr>
          <w:trHeight w:val="233"/>
        </w:trPr>
        <w:tc>
          <w:tcPr>
            <w:tcW w:w="22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c>
          <w:tcPr>
            <w:tcW w:w="8940" w:type="dxa"/>
            <w:vAlign w:val="bottom"/>
            <w:shd w:val="clear" w:color="auto" w:fill="F2F2F2"/>
          </w:tcPr>
          <w:p>
            <w:pPr>
              <w:ind w:left="14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b w:val="1"/>
                <w:bCs w:val="1"/>
                <w:color w:val="6EC4E8"/>
              </w:rPr>
              <w:t xml:space="preserve">100% Independent Human Capital and Compensation Committee. </w:t>
            </w:r>
            <w:r>
              <w:rPr>
                <w:rFonts w:ascii="Arial" w:cs="Arial" w:eastAsia="Arial" w:hAnsi="Arial"/>
                <w:sz w:val="14"/>
                <w:szCs w:val="14"/>
                <w:color w:val="000000"/>
              </w:rPr>
              <w:t>The Human Capital and Compensation Committee</w:t>
            </w:r>
          </w:p>
        </w:tc>
        <w:tc>
          <w:tcPr>
            <w:tcW w:w="10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r>
      <w:tr>
        <w:trPr>
          <w:trHeight w:val="265"/>
        </w:trPr>
        <w:tc>
          <w:tcPr>
            <w:tcW w:w="220" w:type="dxa"/>
            <w:vAlign w:val="bottom"/>
            <w:tcBorders>
              <w:bottom w:val="single" w:sz="8" w:color="F2F2F2"/>
            </w:tcBorders>
            <w:shd w:val="clear" w:color="auto" w:fill="F2F2F2"/>
          </w:tcPr>
          <w:p>
            <w:pPr>
              <w:spacing w:after="0"/>
              <w:rPr>
                <w:sz w:val="22"/>
                <w:szCs w:val="22"/>
                <w:color w:val="auto"/>
              </w:rPr>
            </w:pPr>
          </w:p>
        </w:tc>
        <w:tc>
          <w:tcPr>
            <w:tcW w:w="894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5"/>
                <w:szCs w:val="15"/>
                <w:color w:val="auto"/>
              </w:rPr>
              <w:t>consists entirely of independent directors.</w:t>
            </w:r>
          </w:p>
        </w:tc>
        <w:tc>
          <w:tcPr>
            <w:tcW w:w="100" w:type="dxa"/>
            <w:vAlign w:val="bottom"/>
            <w:tcBorders>
              <w:bottom w:val="single" w:sz="8" w:color="F2F2F2"/>
            </w:tcBorders>
            <w:shd w:val="clear" w:color="auto" w:fill="F2F2F2"/>
          </w:tcPr>
          <w:p>
            <w:pPr>
              <w:spacing w:after="0"/>
              <w:rPr>
                <w:sz w:val="22"/>
                <w:szCs w:val="22"/>
                <w:color w:val="auto"/>
              </w:rPr>
            </w:pPr>
          </w:p>
        </w:tc>
      </w:tr>
      <w:tr>
        <w:trPr>
          <w:trHeight w:val="233"/>
        </w:trPr>
        <w:tc>
          <w:tcPr>
            <w:tcW w:w="22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c>
          <w:tcPr>
            <w:tcW w:w="9040" w:type="dxa"/>
            <w:vAlign w:val="bottom"/>
            <w:tcBorders>
              <w:top w:val="single" w:sz="8" w:color="CCCCCC"/>
            </w:tcBorders>
            <w:gridSpan w:val="2"/>
          </w:tcPr>
          <w:p>
            <w:pPr>
              <w:ind w:left="14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b w:val="1"/>
                <w:bCs w:val="1"/>
                <w:color w:val="6EC4E8"/>
              </w:rPr>
              <w:t xml:space="preserve">Independent Compensation Consultant. </w:t>
            </w:r>
            <w:r>
              <w:rPr>
                <w:rFonts w:ascii="Arial" w:cs="Arial" w:eastAsia="Arial" w:hAnsi="Arial"/>
                <w:sz w:val="14"/>
                <w:szCs w:val="14"/>
                <w:color w:val="000000"/>
              </w:rPr>
              <w:t>The Human Capital and Compensation Committee retains an independent consultant</w:t>
            </w:r>
            <w:r>
              <w:rPr>
                <w:rFonts w:ascii="Arial" w:cs="Arial" w:eastAsia="Arial" w:hAnsi="Arial"/>
                <w:sz w:val="14"/>
                <w:szCs w:val="14"/>
                <w:b w:val="1"/>
                <w:bCs w:val="1"/>
                <w:color w:val="6EC4E8"/>
              </w:rPr>
              <w:t xml:space="preserve"> </w:t>
            </w:r>
            <w:r>
              <w:rPr>
                <w:rFonts w:ascii="Arial" w:cs="Arial" w:eastAsia="Arial" w:hAnsi="Arial"/>
                <w:sz w:val="26"/>
                <w:szCs w:val="26"/>
                <w:color w:val="000000"/>
                <w:vertAlign w:val="superscript"/>
              </w:rPr>
              <w:t>​</w:t>
            </w:r>
          </w:p>
        </w:tc>
      </w:tr>
      <w:tr>
        <w:trPr>
          <w:trHeight w:val="200"/>
        </w:trPr>
        <w:tc>
          <w:tcPr>
            <w:tcW w:w="220" w:type="dxa"/>
            <w:vAlign w:val="bottom"/>
          </w:tcPr>
          <w:p>
            <w:pPr>
              <w:spacing w:after="0"/>
              <w:rPr>
                <w:sz w:val="17"/>
                <w:szCs w:val="17"/>
                <w:color w:val="auto"/>
              </w:rPr>
            </w:pPr>
          </w:p>
        </w:tc>
        <w:tc>
          <w:tcPr>
            <w:tcW w:w="8940" w:type="dxa"/>
            <w:vAlign w:val="bottom"/>
          </w:tcPr>
          <w:p>
            <w:pPr>
              <w:ind w:left="320"/>
              <w:spacing w:after="0"/>
              <w:rPr>
                <w:sz w:val="20"/>
                <w:szCs w:val="20"/>
                <w:color w:val="auto"/>
              </w:rPr>
            </w:pPr>
            <w:r>
              <w:rPr>
                <w:rFonts w:ascii="Arial" w:cs="Arial" w:eastAsia="Arial" w:hAnsi="Arial"/>
                <w:sz w:val="15"/>
                <w:szCs w:val="15"/>
                <w:color w:val="auto"/>
              </w:rPr>
              <w:t>to provide advice on executive compensation matters.</w:t>
            </w:r>
          </w:p>
        </w:tc>
        <w:tc>
          <w:tcPr>
            <w:tcW w:w="100" w:type="dxa"/>
            <w:vAlign w:val="bottom"/>
          </w:tcPr>
          <w:p>
            <w:pPr>
              <w:spacing w:after="0"/>
              <w:rPr>
                <w:sz w:val="17"/>
                <w:szCs w:val="17"/>
                <w:color w:val="auto"/>
              </w:rPr>
            </w:pPr>
          </w:p>
        </w:tc>
      </w:tr>
      <w:tr>
        <w:trPr>
          <w:trHeight w:val="60"/>
        </w:trPr>
        <w:tc>
          <w:tcPr>
            <w:tcW w:w="220" w:type="dxa"/>
            <w:vAlign w:val="bottom"/>
            <w:tcBorders>
              <w:bottom w:val="single" w:sz="8" w:color="CCCCCC"/>
            </w:tcBorders>
          </w:tcPr>
          <w:p>
            <w:pPr>
              <w:spacing w:after="0"/>
              <w:rPr>
                <w:sz w:val="5"/>
                <w:szCs w:val="5"/>
                <w:color w:val="auto"/>
              </w:rPr>
            </w:pPr>
          </w:p>
        </w:tc>
        <w:tc>
          <w:tcPr>
            <w:tcW w:w="894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-3128645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-2871470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-2545715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-2125345</wp:posOffset>
            </wp:positionV>
            <wp:extent cx="12890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-1233805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-591185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-265430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Design of Executive Compensation Program</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Key Compensation Components and Purpose</w:t>
      </w:r>
    </w:p>
    <w:p>
      <w:pPr>
        <w:spacing w:after="0" w:line="122" w:lineRule="exact"/>
        <w:rPr>
          <w:sz w:val="20"/>
          <w:szCs w:val="20"/>
          <w:color w:val="auto"/>
        </w:rPr>
      </w:pPr>
    </w:p>
    <w:p>
      <w:pPr>
        <w:ind w:left="740" w:right="240"/>
        <w:spacing w:after="0" w:line="304" w:lineRule="auto"/>
        <w:rPr>
          <w:sz w:val="20"/>
          <w:szCs w:val="20"/>
          <w:color w:val="auto"/>
        </w:rPr>
      </w:pPr>
      <w:r>
        <w:rPr>
          <w:rFonts w:ascii="Arial" w:cs="Arial" w:eastAsia="Arial" w:hAnsi="Arial"/>
          <w:sz w:val="16"/>
          <w:szCs w:val="16"/>
          <w:color w:val="auto"/>
        </w:rPr>
        <w:t>We strive to provide compensation that is competitive, both in total and in individual components, with the companies we view as our peers and likely competitors for executive talent.</w:t>
      </w:r>
    </w:p>
    <w:p>
      <w:pPr>
        <w:spacing w:after="0" w:line="74" w:lineRule="exact"/>
        <w:rPr>
          <w:sz w:val="20"/>
          <w:szCs w:val="20"/>
          <w:color w:val="auto"/>
        </w:rPr>
      </w:pPr>
    </w:p>
    <w:p>
      <w:pPr>
        <w:ind w:left="740" w:right="120"/>
        <w:spacing w:after="0" w:line="269" w:lineRule="auto"/>
        <w:rPr>
          <w:sz w:val="20"/>
          <w:szCs w:val="20"/>
          <w:color w:val="auto"/>
        </w:rPr>
      </w:pPr>
      <w:r>
        <w:rPr>
          <w:rFonts w:ascii="Arial" w:cs="Arial" w:eastAsia="Arial" w:hAnsi="Arial"/>
          <w:sz w:val="16"/>
          <w:szCs w:val="16"/>
          <w:color w:val="auto"/>
        </w:rPr>
        <w:t>We also motivate our executives to achieve individual and business performance objectives by varying their compensation in accordance with our overall success. Actual compensation in a given year will vary based on our performance, and to a lesser extent, on qualitative appraisals of individual performance. We expect our named executive officers to have a higher percentage of their total compensation at risk to align each of our named executive officers with the short-term and long-term performance objectives of CenterPoint Energy and with the interests of our shareholders and other stakeholders.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440"/>
        <w:spacing w:after="0" w:line="304" w:lineRule="auto"/>
        <w:rPr>
          <w:sz w:val="20"/>
          <w:szCs w:val="20"/>
          <w:color w:val="auto"/>
        </w:rPr>
      </w:pPr>
      <w:r>
        <w:rPr>
          <w:rFonts w:ascii="Arial" w:cs="Arial" w:eastAsia="Arial" w:hAnsi="Arial"/>
          <w:sz w:val="16"/>
          <w:szCs w:val="16"/>
          <w:color w:val="auto"/>
        </w:rPr>
        <w:t>The key components of our 2024 compensation programs and their purpose in advancing our strategic objectives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90170</wp:posOffset>
            </wp:positionV>
            <wp:extent cx="685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22" w:lineRule="exact"/>
        <w:rPr>
          <w:sz w:val="20"/>
          <w:szCs w:val="20"/>
          <w:color w:val="auto"/>
        </w:rPr>
      </w:pPr>
    </w:p>
    <w:tbl>
      <w:tblPr>
        <w:tblLayout w:type="fixed"/>
        <w:tblInd w:w="7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3763"/>
          </w:tcPr>
          <w:p>
            <w:pPr>
              <w:spacing w:after="0"/>
              <w:rPr>
                <w:sz w:val="21"/>
                <w:szCs w:val="21"/>
                <w:color w:val="auto"/>
              </w:rPr>
            </w:pPr>
          </w:p>
        </w:tc>
        <w:tc>
          <w:tcPr>
            <w:tcW w:w="420" w:type="dxa"/>
            <w:vAlign w:val="bottom"/>
            <w:gridSpan w:val="2"/>
            <w:shd w:val="clear" w:color="auto" w:fill="003763"/>
          </w:tcPr>
          <w:p>
            <w:pPr>
              <w:ind w:left="160"/>
              <w:spacing w:after="0"/>
              <w:rPr>
                <w:sz w:val="20"/>
                <w:szCs w:val="20"/>
                <w:color w:val="auto"/>
              </w:rPr>
            </w:pPr>
            <w:r>
              <w:rPr>
                <w:rFonts w:ascii="Arial" w:cs="Arial" w:eastAsia="Arial" w:hAnsi="Arial"/>
                <w:sz w:val="13"/>
                <w:szCs w:val="13"/>
                <w:b w:val="1"/>
                <w:bCs w:val="1"/>
                <w:color w:val="FFFFFF"/>
              </w:rPr>
              <w:t>​ ​</w:t>
            </w:r>
          </w:p>
        </w:tc>
        <w:tc>
          <w:tcPr>
            <w:tcW w:w="1120" w:type="dxa"/>
            <w:vAlign w:val="bottom"/>
            <w:shd w:val="clear" w:color="auto" w:fill="003763"/>
          </w:tcPr>
          <w:p>
            <w:pPr>
              <w:ind w:left="260"/>
              <w:spacing w:after="0"/>
              <w:rPr>
                <w:sz w:val="20"/>
                <w:szCs w:val="20"/>
                <w:color w:val="auto"/>
              </w:rPr>
            </w:pPr>
            <w:r>
              <w:rPr>
                <w:rFonts w:ascii="Arial" w:cs="Arial" w:eastAsia="Arial" w:hAnsi="Arial"/>
                <w:sz w:val="13"/>
                <w:szCs w:val="13"/>
                <w:b w:val="1"/>
                <w:bCs w:val="1"/>
                <w:color w:val="FFFFFF"/>
              </w:rPr>
              <w:t>ELEMENT</w:t>
            </w:r>
          </w:p>
        </w:tc>
        <w:tc>
          <w:tcPr>
            <w:tcW w:w="300" w:type="dxa"/>
            <w:vAlign w:val="bottom"/>
            <w:gridSpan w:val="2"/>
            <w:shd w:val="clear" w:color="auto" w:fill="003763"/>
          </w:tcPr>
          <w:p>
            <w:pPr>
              <w:ind w:left="120"/>
              <w:spacing w:after="0"/>
              <w:rPr>
                <w:sz w:val="20"/>
                <w:szCs w:val="20"/>
                <w:color w:val="auto"/>
              </w:rPr>
            </w:pPr>
            <w:r>
              <w:rPr>
                <w:rFonts w:ascii="Arial" w:cs="Arial" w:eastAsia="Arial" w:hAnsi="Arial"/>
                <w:sz w:val="13"/>
                <w:szCs w:val="13"/>
                <w:b w:val="1"/>
                <w:bCs w:val="1"/>
                <w:color w:val="FFFFFF"/>
              </w:rPr>
              <w:t>​ ​</w:t>
            </w:r>
          </w:p>
        </w:tc>
        <w:tc>
          <w:tcPr>
            <w:tcW w:w="12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FORM OF AWARD</w:t>
            </w:r>
          </w:p>
        </w:tc>
        <w:tc>
          <w:tcPr>
            <w:tcW w:w="240" w:type="dxa"/>
            <w:vAlign w:val="bottom"/>
            <w:gridSpan w:val="2"/>
            <w:shd w:val="clear" w:color="auto" w:fill="003763"/>
          </w:tcPr>
          <w:p>
            <w:pPr>
              <w:ind w:left="60"/>
              <w:spacing w:after="0"/>
              <w:rPr>
                <w:sz w:val="20"/>
                <w:szCs w:val="20"/>
                <w:color w:val="auto"/>
              </w:rPr>
            </w:pPr>
            <w:r>
              <w:rPr>
                <w:rFonts w:ascii="Arial" w:cs="Arial" w:eastAsia="Arial" w:hAnsi="Arial"/>
                <w:sz w:val="13"/>
                <w:szCs w:val="13"/>
                <w:b w:val="1"/>
                <w:bCs w:val="1"/>
                <w:color w:val="FFFFFF"/>
              </w:rPr>
              <w:t>​ ​</w:t>
            </w:r>
          </w:p>
        </w:tc>
        <w:tc>
          <w:tcPr>
            <w:tcW w:w="1260" w:type="dxa"/>
            <w:vAlign w:val="bottom"/>
            <w:shd w:val="clear" w:color="auto" w:fill="003763"/>
          </w:tcPr>
          <w:p>
            <w:pPr>
              <w:ind w:left="380"/>
              <w:spacing w:after="0"/>
              <w:rPr>
                <w:sz w:val="20"/>
                <w:szCs w:val="20"/>
                <w:color w:val="auto"/>
              </w:rPr>
            </w:pPr>
            <w:r>
              <w:rPr>
                <w:rFonts w:ascii="Arial" w:cs="Arial" w:eastAsia="Arial" w:hAnsi="Arial"/>
                <w:sz w:val="13"/>
                <w:szCs w:val="13"/>
                <w:b w:val="1"/>
                <w:bCs w:val="1"/>
                <w:color w:val="FFFFFF"/>
              </w:rPr>
              <w:t>PERIOD</w:t>
            </w:r>
          </w:p>
        </w:tc>
        <w:tc>
          <w:tcPr>
            <w:tcW w:w="220" w:type="dxa"/>
            <w:vAlign w:val="bottom"/>
            <w:gridSpan w:val="2"/>
            <w:shd w:val="clear" w:color="auto" w:fill="003763"/>
          </w:tcPr>
          <w:p>
            <w:pPr>
              <w:ind w:left="60"/>
              <w:spacing w:after="0"/>
              <w:rPr>
                <w:sz w:val="20"/>
                <w:szCs w:val="20"/>
                <w:color w:val="auto"/>
              </w:rPr>
            </w:pPr>
            <w:r>
              <w:rPr>
                <w:rFonts w:ascii="Arial" w:cs="Arial" w:eastAsia="Arial" w:hAnsi="Arial"/>
                <w:sz w:val="13"/>
                <w:szCs w:val="13"/>
                <w:b w:val="1"/>
                <w:bCs w:val="1"/>
                <w:color w:val="FFFFFF"/>
              </w:rPr>
              <w:t>​ ​</w:t>
            </w:r>
          </w:p>
        </w:tc>
        <w:tc>
          <w:tcPr>
            <w:tcW w:w="3260" w:type="dxa"/>
            <w:vAlign w:val="bottom"/>
            <w:shd w:val="clear" w:color="auto" w:fill="003763"/>
          </w:tcPr>
          <w:p>
            <w:pPr>
              <w:ind w:left="1320"/>
              <w:spacing w:after="0"/>
              <w:rPr>
                <w:sz w:val="20"/>
                <w:szCs w:val="20"/>
                <w:color w:val="auto"/>
              </w:rPr>
            </w:pPr>
            <w:r>
              <w:rPr>
                <w:rFonts w:ascii="Arial" w:cs="Arial" w:eastAsia="Arial" w:hAnsi="Arial"/>
                <w:sz w:val="13"/>
                <w:szCs w:val="13"/>
                <w:b w:val="1"/>
                <w:bCs w:val="1"/>
                <w:color w:val="FFFFFF"/>
              </w:rPr>
              <w:t>PURPOSE</w:t>
            </w:r>
          </w:p>
        </w:tc>
        <w:tc>
          <w:tcPr>
            <w:tcW w:w="100" w:type="dxa"/>
            <w:vAlign w:val="bottom"/>
            <w:tcBorders>
              <w:right w:val="single" w:sz="8" w:color="003763"/>
            </w:tcBorders>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2"/>
        </w:trPr>
        <w:tc>
          <w:tcPr>
            <w:tcW w:w="20" w:type="dxa"/>
            <w:vAlign w:val="bottom"/>
            <w:shd w:val="clear" w:color="auto" w:fill="003763"/>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003763"/>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right w:val="single" w:sz="8" w:color="003763"/>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003763"/>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003763"/>
            </w:tcBorders>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Fixed, competitive level of compensation</w:t>
            </w:r>
          </w:p>
        </w:tc>
        <w:tc>
          <w:tcPr>
            <w:tcW w:w="100" w:type="dxa"/>
            <w:vAlign w:val="bottom"/>
            <w:tcBorders>
              <w:right w:val="single" w:sz="8" w:color="003763"/>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i w:val="1"/>
                <w:iCs w:val="1"/>
                <w:color w:val="auto"/>
              </w:rPr>
              <w:t>Fixed</w:t>
            </w:r>
          </w:p>
        </w:tc>
        <w:tc>
          <w:tcPr>
            <w:tcW w:w="240" w:type="dxa"/>
            <w:vAlign w:val="bottom"/>
            <w:tcBorders>
              <w:right w:val="single" w:sz="8" w:color="003763"/>
            </w:tcBorders>
            <w:vMerge w:val="restart"/>
          </w:tcPr>
          <w:p>
            <w:pPr>
              <w:ind w:left="160"/>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Base Salary</w:t>
            </w:r>
          </w:p>
        </w:tc>
        <w:tc>
          <w:tcPr>
            <w:tcW w:w="200" w:type="dxa"/>
            <w:vAlign w:val="bottom"/>
            <w:tcBorders>
              <w:right w:val="single" w:sz="8" w:color="003763"/>
            </w:tcBorders>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center"/>
              <w:spacing w:after="0"/>
              <w:rPr>
                <w:sz w:val="20"/>
                <w:szCs w:val="20"/>
                <w:color w:val="auto"/>
              </w:rPr>
            </w:pPr>
            <w:r>
              <w:rPr>
                <w:rFonts w:ascii="Arial" w:cs="Arial" w:eastAsia="Arial" w:hAnsi="Arial"/>
                <w:sz w:val="15"/>
                <w:szCs w:val="15"/>
                <w:b w:val="1"/>
                <w:bCs w:val="1"/>
                <w:i w:val="1"/>
                <w:iCs w:val="1"/>
                <w:color w:val="auto"/>
              </w:rPr>
              <w:t>Cash</w:t>
            </w:r>
          </w:p>
        </w:tc>
        <w:tc>
          <w:tcPr>
            <w:tcW w:w="12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One year</w:t>
            </w:r>
          </w:p>
        </w:tc>
        <w:tc>
          <w:tcPr>
            <w:tcW w:w="14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3260" w:type="dxa"/>
            <w:vAlign w:val="bottom"/>
          </w:tcPr>
          <w:p>
            <w:pPr>
              <w:ind w:left="220"/>
              <w:spacing w:after="0"/>
              <w:rPr>
                <w:sz w:val="20"/>
                <w:szCs w:val="20"/>
                <w:color w:val="auto"/>
              </w:rPr>
            </w:pPr>
            <w:r>
              <w:rPr>
                <w:rFonts w:ascii="Arial" w:cs="Arial" w:eastAsia="Arial" w:hAnsi="Arial"/>
                <w:sz w:val="15"/>
                <w:szCs w:val="15"/>
                <w:color w:val="auto"/>
              </w:rPr>
              <w:t>based on scope and complexity of role,</w:t>
            </w:r>
          </w:p>
        </w:tc>
        <w:tc>
          <w:tcPr>
            <w:tcW w:w="100" w:type="dxa"/>
            <w:vAlign w:val="bottom"/>
            <w:tcBorders>
              <w:right w:val="single" w:sz="8" w:color="003763"/>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4"/>
        </w:trPr>
        <w:tc>
          <w:tcPr>
            <w:tcW w:w="20" w:type="dxa"/>
            <w:vAlign w:val="bottom"/>
            <w:shd w:val="clear" w:color="auto" w:fill="003763"/>
          </w:tcPr>
          <w:p>
            <w:pPr>
              <w:spacing w:after="0"/>
              <w:rPr>
                <w:sz w:val="9"/>
                <w:szCs w:val="9"/>
                <w:color w:val="auto"/>
              </w:rPr>
            </w:pPr>
          </w:p>
        </w:tc>
        <w:tc>
          <w:tcPr>
            <w:tcW w:w="2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0" w:type="dxa"/>
            <w:vAlign w:val="bottom"/>
            <w:tcBorders>
              <w:right w:val="single" w:sz="8" w:color="003763"/>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Borders>
              <w:right w:val="single" w:sz="8" w:color="003763"/>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Borders>
              <w:right w:val="single" w:sz="8" w:color="003763"/>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Borders>
              <w:right w:val="single" w:sz="8" w:color="003763"/>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260" w:type="dxa"/>
            <w:vAlign w:val="bottom"/>
            <w:vMerge w:val="restart"/>
          </w:tcPr>
          <w:p>
            <w:pPr>
              <w:ind w:left="220"/>
              <w:spacing w:after="0"/>
              <w:rPr>
                <w:sz w:val="20"/>
                <w:szCs w:val="20"/>
                <w:color w:val="auto"/>
              </w:rPr>
            </w:pPr>
            <w:r>
              <w:rPr>
                <w:rFonts w:ascii="Arial" w:cs="Arial" w:eastAsia="Arial" w:hAnsi="Arial"/>
                <w:sz w:val="15"/>
                <w:szCs w:val="15"/>
                <w:color w:val="auto"/>
              </w:rPr>
              <w:t>individual experience, and performance to</w:t>
            </w:r>
          </w:p>
        </w:tc>
        <w:tc>
          <w:tcPr>
            <w:tcW w:w="100" w:type="dxa"/>
            <w:vAlign w:val="bottom"/>
            <w:tcBorders>
              <w:right w:val="single" w:sz="8" w:color="00376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003763"/>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Borders>
              <w:right w:val="single" w:sz="8" w:color="003763"/>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Borders>
              <w:right w:val="single" w:sz="8" w:color="003763"/>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Borders>
              <w:right w:val="single" w:sz="8" w:color="003763"/>
            </w:tcBorders>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Borders>
              <w:right w:val="single" w:sz="8" w:color="003763"/>
            </w:tcBorders>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100" w:type="dxa"/>
            <w:vAlign w:val="bottom"/>
            <w:tcBorders>
              <w:right w:val="single" w:sz="8" w:color="003763"/>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attract and retain top talent</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003763"/>
            </w:tcBorders>
            <w:shd w:val="clear" w:color="auto" w:fill="003763"/>
          </w:tcPr>
          <w:p>
            <w:pPr>
              <w:spacing w:after="0"/>
              <w:rPr>
                <w:sz w:val="2"/>
                <w:szCs w:val="2"/>
                <w:color w:val="auto"/>
              </w:rPr>
            </w:pPr>
          </w:p>
        </w:tc>
        <w:tc>
          <w:tcPr>
            <w:tcW w:w="240" w:type="dxa"/>
            <w:vAlign w:val="bottom"/>
            <w:tcBorders>
              <w:bottom w:val="single" w:sz="8" w:color="003763"/>
            </w:tcBorders>
          </w:tcPr>
          <w:p>
            <w:pPr>
              <w:spacing w:after="0"/>
              <w:rPr>
                <w:sz w:val="2"/>
                <w:szCs w:val="2"/>
                <w:color w:val="auto"/>
              </w:rPr>
            </w:pPr>
          </w:p>
        </w:tc>
        <w:tc>
          <w:tcPr>
            <w:tcW w:w="800" w:type="dxa"/>
            <w:vAlign w:val="bottom"/>
            <w:tcBorders>
              <w:bottom w:val="single" w:sz="8" w:color="003763"/>
            </w:tcBorders>
          </w:tcPr>
          <w:p>
            <w:pPr>
              <w:spacing w:after="0"/>
              <w:rPr>
                <w:sz w:val="2"/>
                <w:szCs w:val="2"/>
                <w:color w:val="auto"/>
              </w:rPr>
            </w:pPr>
          </w:p>
        </w:tc>
        <w:tc>
          <w:tcPr>
            <w:tcW w:w="240" w:type="dxa"/>
            <w:vAlign w:val="bottom"/>
            <w:tcBorders>
              <w:bottom w:val="single" w:sz="8" w:color="003763"/>
              <w:right w:val="single" w:sz="8" w:color="003763"/>
            </w:tcBorders>
          </w:tcPr>
          <w:p>
            <w:pPr>
              <w:spacing w:after="0"/>
              <w:rPr>
                <w:sz w:val="2"/>
                <w:szCs w:val="2"/>
                <w:color w:val="auto"/>
              </w:rPr>
            </w:pPr>
          </w:p>
        </w:tc>
        <w:tc>
          <w:tcPr>
            <w:tcW w:w="180" w:type="dxa"/>
            <w:vAlign w:val="bottom"/>
            <w:tcBorders>
              <w:bottom w:val="single" w:sz="8" w:color="003763"/>
            </w:tcBorders>
          </w:tcPr>
          <w:p>
            <w:pPr>
              <w:spacing w:after="0"/>
              <w:rPr>
                <w:sz w:val="2"/>
                <w:szCs w:val="2"/>
                <w:color w:val="auto"/>
              </w:rPr>
            </w:pPr>
          </w:p>
        </w:tc>
        <w:tc>
          <w:tcPr>
            <w:tcW w:w="1120" w:type="dxa"/>
            <w:vAlign w:val="bottom"/>
            <w:tcBorders>
              <w:bottom w:val="single" w:sz="8" w:color="003763"/>
            </w:tcBorders>
          </w:tcPr>
          <w:p>
            <w:pPr>
              <w:spacing w:after="0"/>
              <w:rPr>
                <w:sz w:val="2"/>
                <w:szCs w:val="2"/>
                <w:color w:val="auto"/>
              </w:rPr>
            </w:pPr>
          </w:p>
        </w:tc>
        <w:tc>
          <w:tcPr>
            <w:tcW w:w="200" w:type="dxa"/>
            <w:vAlign w:val="bottom"/>
            <w:tcBorders>
              <w:bottom w:val="single" w:sz="8" w:color="003763"/>
              <w:right w:val="single" w:sz="8" w:color="003763"/>
            </w:tcBorders>
          </w:tcPr>
          <w:p>
            <w:pPr>
              <w:spacing w:after="0"/>
              <w:rPr>
                <w:sz w:val="2"/>
                <w:szCs w:val="2"/>
                <w:color w:val="auto"/>
              </w:rPr>
            </w:pPr>
          </w:p>
        </w:tc>
        <w:tc>
          <w:tcPr>
            <w:tcW w:w="100" w:type="dxa"/>
            <w:vAlign w:val="bottom"/>
            <w:tcBorders>
              <w:bottom w:val="single" w:sz="8" w:color="003763"/>
            </w:tcBorders>
          </w:tcPr>
          <w:p>
            <w:pPr>
              <w:spacing w:after="0"/>
              <w:rPr>
                <w:sz w:val="2"/>
                <w:szCs w:val="2"/>
                <w:color w:val="auto"/>
              </w:rPr>
            </w:pPr>
          </w:p>
        </w:tc>
        <w:tc>
          <w:tcPr>
            <w:tcW w:w="1280" w:type="dxa"/>
            <w:vAlign w:val="bottom"/>
            <w:tcBorders>
              <w:bottom w:val="single" w:sz="8" w:color="003763"/>
            </w:tcBorders>
          </w:tcPr>
          <w:p>
            <w:pPr>
              <w:spacing w:after="0"/>
              <w:rPr>
                <w:sz w:val="2"/>
                <w:szCs w:val="2"/>
                <w:color w:val="auto"/>
              </w:rPr>
            </w:pPr>
          </w:p>
        </w:tc>
        <w:tc>
          <w:tcPr>
            <w:tcW w:w="120" w:type="dxa"/>
            <w:vAlign w:val="bottom"/>
            <w:tcBorders>
              <w:bottom w:val="single" w:sz="8" w:color="003763"/>
              <w:right w:val="single" w:sz="8" w:color="003763"/>
            </w:tcBorders>
          </w:tcPr>
          <w:p>
            <w:pPr>
              <w:spacing w:after="0"/>
              <w:rPr>
                <w:sz w:val="2"/>
                <w:szCs w:val="2"/>
                <w:color w:val="auto"/>
              </w:rPr>
            </w:pPr>
          </w:p>
        </w:tc>
        <w:tc>
          <w:tcPr>
            <w:tcW w:w="120" w:type="dxa"/>
            <w:vAlign w:val="bottom"/>
            <w:tcBorders>
              <w:bottom w:val="single" w:sz="8" w:color="003763"/>
            </w:tcBorders>
          </w:tcPr>
          <w:p>
            <w:pPr>
              <w:spacing w:after="0"/>
              <w:rPr>
                <w:sz w:val="2"/>
                <w:szCs w:val="2"/>
                <w:color w:val="auto"/>
              </w:rPr>
            </w:pPr>
          </w:p>
        </w:tc>
        <w:tc>
          <w:tcPr>
            <w:tcW w:w="1260" w:type="dxa"/>
            <w:vAlign w:val="bottom"/>
            <w:tcBorders>
              <w:bottom w:val="single" w:sz="8" w:color="003763"/>
            </w:tcBorders>
          </w:tcPr>
          <w:p>
            <w:pPr>
              <w:spacing w:after="0"/>
              <w:rPr>
                <w:sz w:val="2"/>
                <w:szCs w:val="2"/>
                <w:color w:val="auto"/>
              </w:rPr>
            </w:pPr>
          </w:p>
        </w:tc>
        <w:tc>
          <w:tcPr>
            <w:tcW w:w="140" w:type="dxa"/>
            <w:vAlign w:val="bottom"/>
            <w:tcBorders>
              <w:bottom w:val="single" w:sz="8" w:color="003763"/>
              <w:right w:val="single" w:sz="8" w:color="003763"/>
            </w:tcBorders>
          </w:tcPr>
          <w:p>
            <w:pPr>
              <w:spacing w:after="0"/>
              <w:rPr>
                <w:sz w:val="2"/>
                <w:szCs w:val="2"/>
                <w:color w:val="auto"/>
              </w:rPr>
            </w:pPr>
          </w:p>
        </w:tc>
        <w:tc>
          <w:tcPr>
            <w:tcW w:w="80" w:type="dxa"/>
            <w:vAlign w:val="bottom"/>
            <w:tcBorders>
              <w:bottom w:val="single" w:sz="8" w:color="003763"/>
            </w:tcBorders>
          </w:tcPr>
          <w:p>
            <w:pPr>
              <w:spacing w:after="0"/>
              <w:rPr>
                <w:sz w:val="2"/>
                <w:szCs w:val="2"/>
                <w:color w:val="auto"/>
              </w:rPr>
            </w:pPr>
          </w:p>
        </w:tc>
        <w:tc>
          <w:tcPr>
            <w:tcW w:w="3260" w:type="dxa"/>
            <w:vAlign w:val="bottom"/>
            <w:tcBorders>
              <w:bottom w:val="single" w:sz="8" w:color="003763"/>
            </w:tcBorders>
          </w:tcPr>
          <w:p>
            <w:pPr>
              <w:spacing w:after="0"/>
              <w:rPr>
                <w:sz w:val="2"/>
                <w:szCs w:val="2"/>
                <w:color w:val="auto"/>
              </w:rPr>
            </w:pPr>
          </w:p>
        </w:tc>
        <w:tc>
          <w:tcPr>
            <w:tcW w:w="100" w:type="dxa"/>
            <w:vAlign w:val="bottom"/>
            <w:tcBorders>
              <w:bottom w:val="single" w:sz="8" w:color="003763"/>
              <w:right w:val="single" w:sz="8" w:color="003763"/>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Rewards delivery of near-term objectives</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aligned with the Company’s long-term</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business strategy</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003763"/>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Borders>
              <w:right w:val="single" w:sz="8" w:color="003763"/>
            </w:tcBorders>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Borders>
              <w:right w:val="single" w:sz="8" w:color="003763"/>
            </w:tcBorders>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Borders>
              <w:right w:val="single" w:sz="8" w:color="003763"/>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Borders>
              <w:right w:val="single" w:sz="8" w:color="003763"/>
            </w:tcBorders>
          </w:tcPr>
          <w:p>
            <w:pPr>
              <w:spacing w:after="0"/>
              <w:rPr>
                <w:sz w:val="23"/>
                <w:szCs w:val="23"/>
                <w:color w:val="auto"/>
              </w:rPr>
            </w:pPr>
          </w:p>
        </w:tc>
        <w:tc>
          <w:tcPr>
            <w:tcW w:w="80" w:type="dxa"/>
            <w:vAlign w:val="bottom"/>
          </w:tcPr>
          <w:p>
            <w:pPr>
              <w:spacing w:after="0"/>
              <w:rPr>
                <w:sz w:val="23"/>
                <w:szCs w:val="23"/>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Considers individual performance and</w:t>
            </w:r>
          </w:p>
        </w:tc>
        <w:tc>
          <w:tcPr>
            <w:tcW w:w="100" w:type="dxa"/>
            <w:vAlign w:val="bottom"/>
            <w:tcBorders>
              <w:right w:val="single" w:sz="8" w:color="003763"/>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contributions to Company performance</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003763"/>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Borders>
              <w:right w:val="single" w:sz="8" w:color="003763"/>
            </w:tcBorders>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Borders>
              <w:right w:val="single" w:sz="8" w:color="003763"/>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Borders>
              <w:right w:val="single" w:sz="8" w:color="003763"/>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Borders>
              <w:right w:val="single" w:sz="8" w:color="003763"/>
            </w:tcBorders>
          </w:tcPr>
          <w:p>
            <w:pPr>
              <w:spacing w:after="0"/>
              <w:rPr>
                <w:sz w:val="22"/>
                <w:szCs w:val="22"/>
                <w:color w:val="auto"/>
              </w:rPr>
            </w:pPr>
          </w:p>
        </w:tc>
        <w:tc>
          <w:tcPr>
            <w:tcW w:w="80" w:type="dxa"/>
            <w:vAlign w:val="bottom"/>
          </w:tcPr>
          <w:p>
            <w:pPr>
              <w:spacing w:after="0"/>
              <w:rPr>
                <w:sz w:val="22"/>
                <w:szCs w:val="22"/>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Short-term incentive funding for our named</w:t>
            </w:r>
          </w:p>
        </w:tc>
        <w:tc>
          <w:tcPr>
            <w:tcW w:w="100" w:type="dxa"/>
            <w:vAlign w:val="bottom"/>
            <w:tcBorders>
              <w:right w:val="single" w:sz="8" w:color="003763"/>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3763"/>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003763"/>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right w:val="single" w:sz="8" w:color="003763"/>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Borders>
              <w:right w:val="single" w:sz="8" w:color="003763"/>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003763"/>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executive officers is based on achieving a</w:t>
            </w:r>
          </w:p>
        </w:tc>
        <w:tc>
          <w:tcPr>
            <w:tcW w:w="100" w:type="dxa"/>
            <w:vAlign w:val="bottom"/>
            <w:tcBorders>
              <w:right w:val="single" w:sz="8" w:color="003763"/>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Short-Term</w:t>
            </w: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non-GAAP Adjusted EPS goal</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3763"/>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right w:val="single" w:sz="8" w:color="003763"/>
            </w:tcBorders>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120" w:type="dxa"/>
            <w:vAlign w:val="bottom"/>
            <w:vMerge w:val="continue"/>
          </w:tcPr>
          <w:p>
            <w:pPr>
              <w:spacing w:after="0"/>
              <w:rPr>
                <w:sz w:val="11"/>
                <w:szCs w:val="11"/>
                <w:color w:val="auto"/>
              </w:rPr>
            </w:pPr>
          </w:p>
        </w:tc>
        <w:tc>
          <w:tcPr>
            <w:tcW w:w="200" w:type="dxa"/>
            <w:vAlign w:val="bottom"/>
            <w:tcBorders>
              <w:right w:val="single" w:sz="8" w:color="003763"/>
            </w:tcBorders>
            <w:vMerge w:val="restart"/>
          </w:tcPr>
          <w:p>
            <w:pPr>
              <w:ind w:left="12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80" w:type="dxa"/>
            <w:vAlign w:val="bottom"/>
            <w:vMerge w:val="restart"/>
          </w:tcPr>
          <w:p>
            <w:pPr>
              <w:jc w:val="center"/>
              <w:spacing w:after="0"/>
              <w:rPr>
                <w:sz w:val="20"/>
                <w:szCs w:val="20"/>
                <w:color w:val="auto"/>
              </w:rPr>
            </w:pPr>
            <w:r>
              <w:rPr>
                <w:rFonts w:ascii="Arial" w:cs="Arial" w:eastAsia="Arial" w:hAnsi="Arial"/>
                <w:sz w:val="15"/>
                <w:szCs w:val="15"/>
                <w:b w:val="1"/>
                <w:bCs w:val="1"/>
                <w:i w:val="1"/>
                <w:iCs w:val="1"/>
                <w:color w:val="auto"/>
              </w:rPr>
              <w:t>Cash</w:t>
            </w:r>
          </w:p>
        </w:tc>
        <w:tc>
          <w:tcPr>
            <w:tcW w:w="12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One year</w:t>
            </w:r>
          </w:p>
        </w:tc>
        <w:tc>
          <w:tcPr>
            <w:tcW w:w="14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3340" w:type="dxa"/>
            <w:vAlign w:val="bottom"/>
            <w:gridSpan w:val="2"/>
            <w:vMerge w:val="restart"/>
          </w:tcPr>
          <w:p>
            <w:pPr>
              <w:ind w:left="40"/>
              <w:spacing w:after="0" w:line="173" w:lineRule="exact"/>
              <w:rPr>
                <w:sz w:val="20"/>
                <w:szCs w:val="20"/>
                <w:color w:val="auto"/>
              </w:rPr>
            </w:pPr>
            <w:r>
              <w:rPr>
                <w:rFonts w:ascii="Arial" w:cs="Arial" w:eastAsia="Arial" w:hAnsi="Arial"/>
                <w:sz w:val="15"/>
                <w:szCs w:val="15"/>
                <w:color w:val="auto"/>
              </w:rPr>
              <w:t>​</w:t>
            </w:r>
            <w:r>
              <w:rPr>
                <w:rFonts w:ascii="MS PGothic" w:cs="MS PGothic" w:eastAsia="MS PGothic" w:hAnsi="MS PGothic"/>
                <w:sz w:val="15"/>
                <w:szCs w:val="15"/>
                <w:color w:val="6EC4E8"/>
              </w:rPr>
              <w:t>✓</w:t>
            </w:r>
            <w:r>
              <w:rPr>
                <w:rFonts w:ascii="Arial" w:cs="Arial" w:eastAsia="Arial" w:hAnsi="Arial"/>
                <w:sz w:val="15"/>
                <w:szCs w:val="15"/>
                <w:color w:val="auto"/>
              </w:rPr>
              <w:t xml:space="preserve"> Potential payout also subject to discretion of</w:t>
            </w:r>
          </w:p>
        </w:tc>
        <w:tc>
          <w:tcPr>
            <w:tcW w:w="100" w:type="dxa"/>
            <w:vAlign w:val="bottom"/>
            <w:tcBorders>
              <w:right w:val="single" w:sz="8" w:color="003763"/>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shd w:val="clear" w:color="auto" w:fill="003763"/>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003763"/>
            </w:tcBorders>
          </w:tcPr>
          <w:p>
            <w:pPr>
              <w:spacing w:after="0"/>
              <w:rPr>
                <w:sz w:val="13"/>
                <w:szCs w:val="13"/>
                <w:color w:val="auto"/>
              </w:rPr>
            </w:pPr>
          </w:p>
        </w:tc>
        <w:tc>
          <w:tcPr>
            <w:tcW w:w="180" w:type="dxa"/>
            <w:vAlign w:val="bottom"/>
            <w:vMerge w:val="continue"/>
          </w:tcPr>
          <w:p>
            <w:pPr>
              <w:spacing w:after="0"/>
              <w:rPr>
                <w:sz w:val="13"/>
                <w:szCs w:val="13"/>
                <w:color w:val="auto"/>
              </w:rPr>
            </w:pPr>
          </w:p>
        </w:tc>
        <w:tc>
          <w:tcPr>
            <w:tcW w:w="11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rPr>
              <w:t>Incentive</w:t>
            </w:r>
          </w:p>
        </w:tc>
        <w:tc>
          <w:tcPr>
            <w:tcW w:w="200" w:type="dxa"/>
            <w:vAlign w:val="bottom"/>
            <w:tcBorders>
              <w:right w:val="single" w:sz="8" w:color="003763"/>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Borders>
              <w:right w:val="single" w:sz="8" w:color="003763"/>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40" w:type="dxa"/>
            <w:vAlign w:val="bottom"/>
            <w:tcBorders>
              <w:right w:val="single" w:sz="8" w:color="003763"/>
            </w:tcBorders>
            <w:vMerge w:val="continue"/>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100" w:type="dxa"/>
            <w:vAlign w:val="bottom"/>
            <w:tcBorders>
              <w:right w:val="single" w:sz="8" w:color="00376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003763"/>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003763"/>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right w:val="single" w:sz="8" w:color="003763"/>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right w:val="single" w:sz="8" w:color="003763"/>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right w:val="single" w:sz="8" w:color="003763"/>
            </w:tcBorders>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Pr>
          <w:p>
            <w:pPr>
              <w:ind w:left="220"/>
              <w:spacing w:after="0" w:line="158" w:lineRule="exact"/>
              <w:rPr>
                <w:sz w:val="20"/>
                <w:szCs w:val="20"/>
                <w:color w:val="auto"/>
              </w:rPr>
            </w:pPr>
            <w:r>
              <w:rPr>
                <w:rFonts w:ascii="Arial" w:cs="Arial" w:eastAsia="Arial" w:hAnsi="Arial"/>
                <w:sz w:val="15"/>
                <w:szCs w:val="15"/>
                <w:color w:val="auto"/>
              </w:rPr>
              <w:t>Human Capital and Compensation</w:t>
            </w:r>
          </w:p>
        </w:tc>
        <w:tc>
          <w:tcPr>
            <w:tcW w:w="100" w:type="dxa"/>
            <w:vAlign w:val="bottom"/>
            <w:tcBorders>
              <w:right w:val="single" w:sz="8" w:color="003763"/>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Committee, including downward modification</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for alignment with achievement of Company</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3763"/>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003763"/>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right w:val="single" w:sz="8" w:color="003763"/>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Borders>
              <w:right w:val="single" w:sz="8" w:color="003763"/>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003763"/>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non-financial metrics applicable to non-</w:t>
            </w:r>
          </w:p>
        </w:tc>
        <w:tc>
          <w:tcPr>
            <w:tcW w:w="100" w:type="dxa"/>
            <w:vAlign w:val="bottom"/>
            <w:tcBorders>
              <w:right w:val="single" w:sz="8" w:color="003763"/>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executive short-term incentive awards</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(including safety, operational excellence, and</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customer satisfaction metrics)</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003763"/>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Borders>
              <w:right w:val="single" w:sz="8" w:color="003763"/>
            </w:tcBorders>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Borders>
              <w:right w:val="single" w:sz="8" w:color="003763"/>
            </w:tcBorders>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Borders>
              <w:right w:val="single" w:sz="8" w:color="003763"/>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Borders>
              <w:right w:val="single" w:sz="8" w:color="003763"/>
            </w:tcBorders>
          </w:tcPr>
          <w:p>
            <w:pPr>
              <w:spacing w:after="0"/>
              <w:rPr>
                <w:sz w:val="23"/>
                <w:szCs w:val="23"/>
                <w:color w:val="auto"/>
              </w:rPr>
            </w:pPr>
          </w:p>
        </w:tc>
        <w:tc>
          <w:tcPr>
            <w:tcW w:w="80" w:type="dxa"/>
            <w:vAlign w:val="bottom"/>
          </w:tcPr>
          <w:p>
            <w:pPr>
              <w:spacing w:after="0"/>
              <w:rPr>
                <w:sz w:val="23"/>
                <w:szCs w:val="23"/>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Potential payout subject to diversity and</w:t>
            </w:r>
          </w:p>
        </w:tc>
        <w:tc>
          <w:tcPr>
            <w:tcW w:w="100" w:type="dxa"/>
            <w:vAlign w:val="bottom"/>
            <w:tcBorders>
              <w:right w:val="single" w:sz="8" w:color="003763"/>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inclusion negative-only modifier</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003763"/>
            </w:tcBorders>
            <w:shd w:val="clear" w:color="auto" w:fill="003763"/>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003763"/>
            </w:tcBorders>
          </w:tcPr>
          <w:p>
            <w:pPr>
              <w:spacing w:after="0"/>
              <w:rPr>
                <w:sz w:val="2"/>
                <w:szCs w:val="2"/>
                <w:color w:val="auto"/>
              </w:rPr>
            </w:pPr>
          </w:p>
        </w:tc>
        <w:tc>
          <w:tcPr>
            <w:tcW w:w="180" w:type="dxa"/>
            <w:vAlign w:val="bottom"/>
            <w:tcBorders>
              <w:bottom w:val="single" w:sz="8" w:color="003763"/>
            </w:tcBorders>
          </w:tcPr>
          <w:p>
            <w:pPr>
              <w:spacing w:after="0"/>
              <w:rPr>
                <w:sz w:val="2"/>
                <w:szCs w:val="2"/>
                <w:color w:val="auto"/>
              </w:rPr>
            </w:pPr>
          </w:p>
        </w:tc>
        <w:tc>
          <w:tcPr>
            <w:tcW w:w="1120" w:type="dxa"/>
            <w:vAlign w:val="bottom"/>
            <w:tcBorders>
              <w:bottom w:val="single" w:sz="8" w:color="003763"/>
            </w:tcBorders>
          </w:tcPr>
          <w:p>
            <w:pPr>
              <w:spacing w:after="0"/>
              <w:rPr>
                <w:sz w:val="2"/>
                <w:szCs w:val="2"/>
                <w:color w:val="auto"/>
              </w:rPr>
            </w:pPr>
          </w:p>
        </w:tc>
        <w:tc>
          <w:tcPr>
            <w:tcW w:w="200" w:type="dxa"/>
            <w:vAlign w:val="bottom"/>
            <w:tcBorders>
              <w:bottom w:val="single" w:sz="8" w:color="003763"/>
              <w:right w:val="single" w:sz="8" w:color="003763"/>
            </w:tcBorders>
          </w:tcPr>
          <w:p>
            <w:pPr>
              <w:spacing w:after="0"/>
              <w:rPr>
                <w:sz w:val="2"/>
                <w:szCs w:val="2"/>
                <w:color w:val="auto"/>
              </w:rPr>
            </w:pPr>
          </w:p>
        </w:tc>
        <w:tc>
          <w:tcPr>
            <w:tcW w:w="100" w:type="dxa"/>
            <w:vAlign w:val="bottom"/>
            <w:tcBorders>
              <w:bottom w:val="single" w:sz="8" w:color="003763"/>
            </w:tcBorders>
          </w:tcPr>
          <w:p>
            <w:pPr>
              <w:spacing w:after="0"/>
              <w:rPr>
                <w:sz w:val="2"/>
                <w:szCs w:val="2"/>
                <w:color w:val="auto"/>
              </w:rPr>
            </w:pPr>
          </w:p>
        </w:tc>
        <w:tc>
          <w:tcPr>
            <w:tcW w:w="1280" w:type="dxa"/>
            <w:vAlign w:val="bottom"/>
            <w:tcBorders>
              <w:bottom w:val="single" w:sz="8" w:color="003763"/>
            </w:tcBorders>
          </w:tcPr>
          <w:p>
            <w:pPr>
              <w:spacing w:after="0"/>
              <w:rPr>
                <w:sz w:val="2"/>
                <w:szCs w:val="2"/>
                <w:color w:val="auto"/>
              </w:rPr>
            </w:pPr>
          </w:p>
        </w:tc>
        <w:tc>
          <w:tcPr>
            <w:tcW w:w="120" w:type="dxa"/>
            <w:vAlign w:val="bottom"/>
            <w:tcBorders>
              <w:bottom w:val="single" w:sz="8" w:color="003763"/>
              <w:right w:val="single" w:sz="8" w:color="003763"/>
            </w:tcBorders>
          </w:tcPr>
          <w:p>
            <w:pPr>
              <w:spacing w:after="0"/>
              <w:rPr>
                <w:sz w:val="2"/>
                <w:szCs w:val="2"/>
                <w:color w:val="auto"/>
              </w:rPr>
            </w:pPr>
          </w:p>
        </w:tc>
        <w:tc>
          <w:tcPr>
            <w:tcW w:w="120" w:type="dxa"/>
            <w:vAlign w:val="bottom"/>
            <w:tcBorders>
              <w:bottom w:val="single" w:sz="8" w:color="003763"/>
            </w:tcBorders>
          </w:tcPr>
          <w:p>
            <w:pPr>
              <w:spacing w:after="0"/>
              <w:rPr>
                <w:sz w:val="2"/>
                <w:szCs w:val="2"/>
                <w:color w:val="auto"/>
              </w:rPr>
            </w:pPr>
          </w:p>
        </w:tc>
        <w:tc>
          <w:tcPr>
            <w:tcW w:w="1260" w:type="dxa"/>
            <w:vAlign w:val="bottom"/>
            <w:tcBorders>
              <w:bottom w:val="single" w:sz="8" w:color="003763"/>
            </w:tcBorders>
          </w:tcPr>
          <w:p>
            <w:pPr>
              <w:spacing w:after="0"/>
              <w:rPr>
                <w:sz w:val="2"/>
                <w:szCs w:val="2"/>
                <w:color w:val="auto"/>
              </w:rPr>
            </w:pPr>
          </w:p>
        </w:tc>
        <w:tc>
          <w:tcPr>
            <w:tcW w:w="140" w:type="dxa"/>
            <w:vAlign w:val="bottom"/>
            <w:tcBorders>
              <w:bottom w:val="single" w:sz="8" w:color="003763"/>
              <w:right w:val="single" w:sz="8" w:color="003763"/>
            </w:tcBorders>
          </w:tcPr>
          <w:p>
            <w:pPr>
              <w:spacing w:after="0"/>
              <w:rPr>
                <w:sz w:val="2"/>
                <w:szCs w:val="2"/>
                <w:color w:val="auto"/>
              </w:rPr>
            </w:pPr>
          </w:p>
        </w:tc>
        <w:tc>
          <w:tcPr>
            <w:tcW w:w="80" w:type="dxa"/>
            <w:vAlign w:val="bottom"/>
            <w:tcBorders>
              <w:bottom w:val="single" w:sz="8" w:color="003763"/>
            </w:tcBorders>
          </w:tcPr>
          <w:p>
            <w:pPr>
              <w:spacing w:after="0"/>
              <w:rPr>
                <w:sz w:val="2"/>
                <w:szCs w:val="2"/>
                <w:color w:val="auto"/>
              </w:rPr>
            </w:pPr>
          </w:p>
        </w:tc>
        <w:tc>
          <w:tcPr>
            <w:tcW w:w="3260" w:type="dxa"/>
            <w:vAlign w:val="bottom"/>
            <w:tcBorders>
              <w:bottom w:val="single" w:sz="8" w:color="003763"/>
            </w:tcBorders>
          </w:tcPr>
          <w:p>
            <w:pPr>
              <w:spacing w:after="0"/>
              <w:rPr>
                <w:sz w:val="2"/>
                <w:szCs w:val="2"/>
                <w:color w:val="auto"/>
              </w:rPr>
            </w:pPr>
          </w:p>
        </w:tc>
        <w:tc>
          <w:tcPr>
            <w:tcW w:w="100" w:type="dxa"/>
            <w:vAlign w:val="bottom"/>
            <w:tcBorders>
              <w:bottom w:val="single" w:sz="8" w:color="003763"/>
              <w:right w:val="single" w:sz="8" w:color="003763"/>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003763"/>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003763"/>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right w:val="single" w:sz="8" w:color="003763"/>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003763"/>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Three-year</w:t>
            </w:r>
          </w:p>
        </w:tc>
        <w:tc>
          <w:tcPr>
            <w:tcW w:w="140" w:type="dxa"/>
            <w:vAlign w:val="bottom"/>
            <w:tcBorders>
              <w:right w:val="single" w:sz="8" w:color="003763"/>
            </w:tcBorders>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Rewards creation of long-term value through</w:t>
            </w:r>
          </w:p>
        </w:tc>
        <w:tc>
          <w:tcPr>
            <w:tcW w:w="100" w:type="dxa"/>
            <w:vAlign w:val="bottom"/>
            <w:tcBorders>
              <w:right w:val="single" w:sz="8" w:color="003763"/>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cliff vesting,</w:t>
            </w: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cumulative Adjusted EPS</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subject to</w:t>
            </w:r>
          </w:p>
        </w:tc>
        <w:tc>
          <w:tcPr>
            <w:tcW w:w="14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3340" w:type="dxa"/>
            <w:vAlign w:val="bottom"/>
            <w:gridSpan w:val="2"/>
            <w:vMerge w:val="restart"/>
          </w:tcPr>
          <w:p>
            <w:pPr>
              <w:ind w:left="40"/>
              <w:spacing w:after="0" w:line="173" w:lineRule="exact"/>
              <w:rPr>
                <w:sz w:val="20"/>
                <w:szCs w:val="20"/>
                <w:color w:val="auto"/>
              </w:rPr>
            </w:pPr>
            <w:r>
              <w:rPr>
                <w:rFonts w:ascii="Arial" w:cs="Arial" w:eastAsia="Arial" w:hAnsi="Arial"/>
                <w:sz w:val="15"/>
                <w:szCs w:val="15"/>
                <w:color w:val="auto"/>
              </w:rPr>
              <w:t>​</w:t>
            </w:r>
            <w:r>
              <w:rPr>
                <w:rFonts w:ascii="MS PGothic" w:cs="MS PGothic" w:eastAsia="MS PGothic" w:hAnsi="MS PGothic"/>
                <w:sz w:val="15"/>
                <w:szCs w:val="15"/>
                <w:color w:val="6EC4E8"/>
              </w:rPr>
              <w:t>✓</w:t>
            </w:r>
            <w:r>
              <w:rPr>
                <w:rFonts w:ascii="Arial" w:cs="Arial" w:eastAsia="Arial" w:hAnsi="Arial"/>
                <w:sz w:val="15"/>
                <w:szCs w:val="15"/>
                <w:color w:val="auto"/>
              </w:rPr>
              <w:t xml:space="preserve"> Aligns with shareholder interests</w:t>
            </w:r>
          </w:p>
        </w:tc>
        <w:tc>
          <w:tcPr>
            <w:tcW w:w="100" w:type="dxa"/>
            <w:vAlign w:val="bottom"/>
            <w:tcBorders>
              <w:right w:val="single" w:sz="8" w:color="003763"/>
            </w:tcBorders>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3"/>
        </w:trPr>
        <w:tc>
          <w:tcPr>
            <w:tcW w:w="20" w:type="dxa"/>
            <w:vAlign w:val="bottom"/>
            <w:shd w:val="clear" w:color="auto" w:fill="003763"/>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003763"/>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Borders>
              <w:right w:val="single" w:sz="8" w:color="003763"/>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003763"/>
            </w:tcBorders>
          </w:tcPr>
          <w:p>
            <w:pPr>
              <w:spacing w:after="0"/>
              <w:rPr>
                <w:sz w:val="12"/>
                <w:szCs w:val="12"/>
                <w:color w:val="auto"/>
              </w:rPr>
            </w:pPr>
          </w:p>
        </w:tc>
        <w:tc>
          <w:tcPr>
            <w:tcW w:w="120" w:type="dxa"/>
            <w:vAlign w:val="bottom"/>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cumulative</w:t>
            </w:r>
          </w:p>
        </w:tc>
        <w:tc>
          <w:tcPr>
            <w:tcW w:w="140" w:type="dxa"/>
            <w:vAlign w:val="bottom"/>
            <w:tcBorders>
              <w:right w:val="single" w:sz="8" w:color="003763"/>
            </w:tcBorders>
            <w:vMerge w:val="continue"/>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00" w:type="dxa"/>
            <w:vAlign w:val="bottom"/>
            <w:tcBorders>
              <w:right w:val="single" w:sz="8" w:color="00376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shd w:val="clear" w:color="auto" w:fill="003763"/>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Borders>
              <w:right w:val="single" w:sz="8" w:color="003763"/>
            </w:tcBorders>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Borders>
              <w:right w:val="single" w:sz="8" w:color="003763"/>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Borders>
              <w:right w:val="single" w:sz="8" w:color="003763"/>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40" w:type="dxa"/>
            <w:vAlign w:val="bottom"/>
            <w:tcBorders>
              <w:right w:val="single" w:sz="8" w:color="003763"/>
            </w:tcBorders>
          </w:tcPr>
          <w:p>
            <w:pPr>
              <w:spacing w:after="0"/>
              <w:rPr>
                <w:sz w:val="3"/>
                <w:szCs w:val="3"/>
                <w:color w:val="auto"/>
              </w:rPr>
            </w:pPr>
          </w:p>
        </w:tc>
        <w:tc>
          <w:tcPr>
            <w:tcW w:w="80" w:type="dxa"/>
            <w:vAlign w:val="bottom"/>
          </w:tcPr>
          <w:p>
            <w:pPr>
              <w:spacing w:after="0"/>
              <w:rPr>
                <w:sz w:val="3"/>
                <w:szCs w:val="3"/>
                <w:color w:val="auto"/>
              </w:rPr>
            </w:pPr>
          </w:p>
        </w:tc>
        <w:tc>
          <w:tcPr>
            <w:tcW w:w="3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PSUs based on cumulative Adjusted EPS</w:t>
            </w:r>
          </w:p>
        </w:tc>
        <w:tc>
          <w:tcPr>
            <w:tcW w:w="100" w:type="dxa"/>
            <w:vAlign w:val="bottom"/>
            <w:tcBorders>
              <w:right w:val="single" w:sz="8" w:color="003763"/>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Adjusted EPS</w:t>
            </w: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3763"/>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003763"/>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right w:val="single" w:sz="8" w:color="003763"/>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003763"/>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Borders>
              <w:right w:val="single" w:sz="8" w:color="003763"/>
            </w:tcBorders>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represent 35% of total award value</w:t>
            </w:r>
          </w:p>
        </w:tc>
        <w:tc>
          <w:tcPr>
            <w:tcW w:w="100" w:type="dxa"/>
            <w:vAlign w:val="bottom"/>
            <w:tcBorders>
              <w:right w:val="single" w:sz="8" w:color="003763"/>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003763"/>
            </w:tcBorders>
            <w:shd w:val="clear" w:color="auto" w:fill="003763"/>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Borders>
              <w:right w:val="single" w:sz="8" w:color="003763"/>
            </w:tcBorders>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Borders>
              <w:right w:val="single" w:sz="8" w:color="003763"/>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Borders>
              <w:right w:val="single" w:sz="8" w:color="003763"/>
            </w:tcBorders>
          </w:tcPr>
          <w:p>
            <w:pPr>
              <w:spacing w:after="0"/>
              <w:rPr>
                <w:sz w:val="4"/>
                <w:szCs w:val="4"/>
                <w:color w:val="auto"/>
              </w:rPr>
            </w:pPr>
          </w:p>
        </w:tc>
        <w:tc>
          <w:tcPr>
            <w:tcW w:w="120" w:type="dxa"/>
            <w:vAlign w:val="bottom"/>
            <w:tcBorders>
              <w:bottom w:val="single" w:sz="8" w:color="003763"/>
            </w:tcBorders>
          </w:tcPr>
          <w:p>
            <w:pPr>
              <w:spacing w:after="0"/>
              <w:rPr>
                <w:sz w:val="4"/>
                <w:szCs w:val="4"/>
                <w:color w:val="auto"/>
              </w:rPr>
            </w:pPr>
          </w:p>
        </w:tc>
        <w:tc>
          <w:tcPr>
            <w:tcW w:w="1260" w:type="dxa"/>
            <w:vAlign w:val="bottom"/>
            <w:tcBorders>
              <w:bottom w:val="single" w:sz="8" w:color="003763"/>
            </w:tcBorders>
          </w:tcPr>
          <w:p>
            <w:pPr>
              <w:spacing w:after="0"/>
              <w:rPr>
                <w:sz w:val="4"/>
                <w:szCs w:val="4"/>
                <w:color w:val="auto"/>
              </w:rPr>
            </w:pPr>
          </w:p>
        </w:tc>
        <w:tc>
          <w:tcPr>
            <w:tcW w:w="140" w:type="dxa"/>
            <w:vAlign w:val="bottom"/>
            <w:tcBorders>
              <w:bottom w:val="single" w:sz="8" w:color="003763"/>
              <w:right w:val="single" w:sz="8" w:color="003763"/>
            </w:tcBorders>
          </w:tcPr>
          <w:p>
            <w:pPr>
              <w:spacing w:after="0"/>
              <w:rPr>
                <w:sz w:val="4"/>
                <w:szCs w:val="4"/>
                <w:color w:val="auto"/>
              </w:rPr>
            </w:pPr>
          </w:p>
        </w:tc>
        <w:tc>
          <w:tcPr>
            <w:tcW w:w="80" w:type="dxa"/>
            <w:vAlign w:val="bottom"/>
            <w:tcBorders>
              <w:bottom w:val="single" w:sz="8" w:color="003763"/>
            </w:tcBorders>
          </w:tcPr>
          <w:p>
            <w:pPr>
              <w:spacing w:after="0"/>
              <w:rPr>
                <w:sz w:val="4"/>
                <w:szCs w:val="4"/>
                <w:color w:val="auto"/>
              </w:rPr>
            </w:pPr>
          </w:p>
        </w:tc>
        <w:tc>
          <w:tcPr>
            <w:tcW w:w="3260" w:type="dxa"/>
            <w:vAlign w:val="bottom"/>
            <w:tcBorders>
              <w:bottom w:val="single" w:sz="8" w:color="003763"/>
            </w:tcBorders>
          </w:tcPr>
          <w:p>
            <w:pPr>
              <w:spacing w:after="0"/>
              <w:rPr>
                <w:sz w:val="4"/>
                <w:szCs w:val="4"/>
                <w:color w:val="auto"/>
              </w:rPr>
            </w:pPr>
          </w:p>
        </w:tc>
        <w:tc>
          <w:tcPr>
            <w:tcW w:w="100" w:type="dxa"/>
            <w:vAlign w:val="bottom"/>
            <w:tcBorders>
              <w:bottom w:val="single" w:sz="8" w:color="003763"/>
              <w:right w:val="single" w:sz="8" w:color="003763"/>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003763"/>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i w:val="1"/>
                <w:iCs w:val="1"/>
                <w:color w:val="auto"/>
              </w:rPr>
              <w:t>At Risk</w:t>
            </w:r>
          </w:p>
        </w:tc>
        <w:tc>
          <w:tcPr>
            <w:tcW w:w="240" w:type="dxa"/>
            <w:vAlign w:val="bottom"/>
            <w:tcBorders>
              <w:right w:val="single" w:sz="8" w:color="003763"/>
            </w:tcBorders>
            <w:vMerge w:val="restart"/>
          </w:tcPr>
          <w:p>
            <w:pPr>
              <w:ind w:lef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Incentivizes Company outperformance</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40" w:type="dxa"/>
            <w:vAlign w:val="bottom"/>
            <w:tcBorders>
              <w:right w:val="single" w:sz="8" w:color="003763"/>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relative to peer companies</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003763"/>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right w:val="single" w:sz="8" w:color="003763"/>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right w:val="single" w:sz="8" w:color="003763"/>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right w:val="single" w:sz="8" w:color="003763"/>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Three-year cliff</w:t>
            </w:r>
          </w:p>
        </w:tc>
        <w:tc>
          <w:tcPr>
            <w:tcW w:w="140" w:type="dxa"/>
            <w:vAlign w:val="bottom"/>
            <w:tcBorders>
              <w:right w:val="single" w:sz="8" w:color="003763"/>
            </w:tcBorders>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Aligns with shareholder interests</w:t>
            </w:r>
          </w:p>
        </w:tc>
        <w:tc>
          <w:tcPr>
            <w:tcW w:w="100" w:type="dxa"/>
            <w:vAlign w:val="bottom"/>
            <w:tcBorders>
              <w:right w:val="single" w:sz="8" w:color="003763"/>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003763"/>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right w:val="single" w:sz="8" w:color="003763"/>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Borders>
              <w:right w:val="single" w:sz="8" w:color="003763"/>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003763"/>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vesting, subject</w:t>
            </w:r>
          </w:p>
        </w:tc>
        <w:tc>
          <w:tcPr>
            <w:tcW w:w="140" w:type="dxa"/>
            <w:vAlign w:val="bottom"/>
            <w:tcBorders>
              <w:right w:val="single" w:sz="8" w:color="003763"/>
            </w:tcBorders>
          </w:tcPr>
          <w:p>
            <w:pPr>
              <w:spacing w:after="0"/>
              <w:rPr>
                <w:sz w:val="12"/>
                <w:szCs w:val="12"/>
                <w:color w:val="auto"/>
              </w:rPr>
            </w:pPr>
          </w:p>
        </w:tc>
        <w:tc>
          <w:tcPr>
            <w:tcW w:w="80" w:type="dxa"/>
            <w:vAlign w:val="bottom"/>
          </w:tcPr>
          <w:p>
            <w:pPr>
              <w:spacing w:after="0"/>
              <w:rPr>
                <w:sz w:val="12"/>
                <w:szCs w:val="12"/>
                <w:color w:val="auto"/>
              </w:rPr>
            </w:pPr>
          </w:p>
        </w:tc>
        <w:tc>
          <w:tcPr>
            <w:tcW w:w="3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TSR target and maximum performance</w:t>
            </w:r>
          </w:p>
        </w:tc>
        <w:tc>
          <w:tcPr>
            <w:tcW w:w="100" w:type="dxa"/>
            <w:vAlign w:val="bottom"/>
            <w:tcBorders>
              <w:right w:val="single" w:sz="8" w:color="003763"/>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003763"/>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003763"/>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right w:val="single" w:sz="8" w:color="003763"/>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Arial" w:cs="Arial" w:eastAsia="Arial" w:hAnsi="Arial"/>
                <w:sz w:val="15"/>
                <w:szCs w:val="15"/>
                <w:b w:val="1"/>
                <w:bCs w:val="1"/>
                <w:i w:val="1"/>
                <w:iCs w:val="1"/>
                <w:color w:val="auto"/>
              </w:rPr>
              <w:t>Performance</w:t>
            </w:r>
          </w:p>
        </w:tc>
        <w:tc>
          <w:tcPr>
            <w:tcW w:w="120" w:type="dxa"/>
            <w:vAlign w:val="bottom"/>
            <w:tcBorders>
              <w:right w:val="single" w:sz="8" w:color="003763"/>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Arial" w:cs="Arial" w:eastAsia="Arial" w:hAnsi="Arial"/>
                <w:sz w:val="15"/>
                <w:szCs w:val="15"/>
                <w:b w:val="1"/>
                <w:bCs w:val="1"/>
                <w:color w:val="auto"/>
              </w:rPr>
              <w:t>to relative stock</w:t>
            </w:r>
          </w:p>
        </w:tc>
        <w:tc>
          <w:tcPr>
            <w:tcW w:w="140" w:type="dxa"/>
            <w:vAlign w:val="bottom"/>
            <w:tcBorders>
              <w:right w:val="single" w:sz="8" w:color="003763"/>
            </w:tcBorders>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00" w:type="dxa"/>
            <w:vAlign w:val="bottom"/>
            <w:tcBorders>
              <w:right w:val="single" w:sz="8" w:color="003763"/>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003763"/>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right w:val="single" w:sz="8" w:color="003763"/>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right w:val="single" w:sz="8" w:color="003763"/>
            </w:tcBorders>
          </w:tcPr>
          <w:p>
            <w:pPr>
              <w:spacing w:after="0"/>
              <w:rPr>
                <w:sz w:val="14"/>
                <w:szCs w:val="14"/>
                <w:color w:val="auto"/>
              </w:rPr>
            </w:pPr>
          </w:p>
        </w:tc>
        <w:tc>
          <w:tcPr>
            <w:tcW w:w="1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280" w:type="dxa"/>
            <w:vAlign w:val="bottom"/>
          </w:tcPr>
          <w:p>
            <w:pPr>
              <w:jc w:val="center"/>
              <w:spacing w:after="0"/>
              <w:rPr>
                <w:sz w:val="20"/>
                <w:szCs w:val="20"/>
                <w:color w:val="auto"/>
              </w:rPr>
            </w:pPr>
            <w:r>
              <w:rPr>
                <w:rFonts w:ascii="Arial" w:cs="Arial" w:eastAsia="Arial" w:hAnsi="Arial"/>
                <w:sz w:val="15"/>
                <w:szCs w:val="15"/>
                <w:b w:val="1"/>
                <w:bCs w:val="1"/>
                <w:i w:val="1"/>
                <w:iCs w:val="1"/>
                <w:color w:val="auto"/>
              </w:rPr>
              <w:t>Share</w:t>
            </w:r>
          </w:p>
        </w:tc>
        <w:tc>
          <w:tcPr>
            <w:tcW w:w="120" w:type="dxa"/>
            <w:vAlign w:val="bottom"/>
            <w:tcBorders>
              <w:right w:val="single" w:sz="8" w:color="003763"/>
            </w:tcBorders>
            <w:vMerge w:val="restart"/>
          </w:tcPr>
          <w:p>
            <w:pPr>
              <w:ind w:lef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Borders>
              <w:right w:val="single" w:sz="8" w:color="003763"/>
            </w:tcBorders>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based on a percentile achievement based on</w:t>
            </w:r>
          </w:p>
        </w:tc>
        <w:tc>
          <w:tcPr>
            <w:tcW w:w="100" w:type="dxa"/>
            <w:vAlign w:val="bottom"/>
            <w:tcBorders>
              <w:right w:val="single" w:sz="8" w:color="003763"/>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i w:val="1"/>
                <w:iCs w:val="1"/>
                <w:color w:val="auto"/>
              </w:rPr>
              <w:t>Units (PSUs)</w:t>
            </w:r>
          </w:p>
        </w:tc>
        <w:tc>
          <w:tcPr>
            <w:tcW w:w="120" w:type="dxa"/>
            <w:vAlign w:val="bottom"/>
            <w:tcBorders>
              <w:right w:val="single" w:sz="8" w:color="003763"/>
            </w:tcBorders>
            <w:vMerge w:val="continue"/>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7"/>
                <w:szCs w:val="17"/>
                <w:color w:val="auto"/>
              </w:rPr>
            </w:pPr>
          </w:p>
        </w:tc>
        <w:tc>
          <w:tcPr>
            <w:tcW w:w="140" w:type="dxa"/>
            <w:vAlign w:val="bottom"/>
            <w:tcBorders>
              <w:right w:val="single" w:sz="8" w:color="003763"/>
            </w:tcBorders>
          </w:tcPr>
          <w:p>
            <w:pPr>
              <w:ind w:left="60"/>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3260" w:type="dxa"/>
            <w:vAlign w:val="bottom"/>
          </w:tcPr>
          <w:p>
            <w:pPr>
              <w:ind w:left="220"/>
              <w:spacing w:after="0"/>
              <w:rPr>
                <w:sz w:val="20"/>
                <w:szCs w:val="20"/>
                <w:color w:val="auto"/>
              </w:rPr>
            </w:pPr>
            <w:r>
              <w:rPr>
                <w:rFonts w:ascii="Arial" w:cs="Arial" w:eastAsia="Arial" w:hAnsi="Arial"/>
                <w:sz w:val="15"/>
                <w:szCs w:val="15"/>
                <w:color w:val="auto"/>
              </w:rPr>
              <w:t>position relative to peer group</w:t>
            </w:r>
          </w:p>
        </w:tc>
        <w:tc>
          <w:tcPr>
            <w:tcW w:w="100" w:type="dxa"/>
            <w:vAlign w:val="bottom"/>
            <w:tcBorders>
              <w:right w:val="single" w:sz="8" w:color="003763"/>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003763"/>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Borders>
              <w:right w:val="single" w:sz="8" w:color="003763"/>
            </w:tcBorders>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Borders>
              <w:right w:val="single" w:sz="8" w:color="003763"/>
            </w:tcBorders>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i w:val="1"/>
                <w:iCs w:val="1"/>
                <w:color w:val="auto"/>
                <w:w w:val="99"/>
              </w:rPr>
              <w:t>75%</w:t>
            </w:r>
          </w:p>
        </w:tc>
        <w:tc>
          <w:tcPr>
            <w:tcW w:w="120" w:type="dxa"/>
            <w:vAlign w:val="bottom"/>
            <w:tcBorders>
              <w:right w:val="single" w:sz="8" w:color="003763"/>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Borders>
              <w:right w:val="single" w:sz="8" w:color="003763"/>
            </w:tcBorders>
          </w:tcPr>
          <w:p>
            <w:pPr>
              <w:spacing w:after="0"/>
              <w:rPr>
                <w:sz w:val="23"/>
                <w:szCs w:val="23"/>
                <w:color w:val="auto"/>
              </w:rPr>
            </w:pPr>
          </w:p>
        </w:tc>
        <w:tc>
          <w:tcPr>
            <w:tcW w:w="80" w:type="dxa"/>
            <w:vAlign w:val="bottom"/>
          </w:tcPr>
          <w:p>
            <w:pPr>
              <w:spacing w:after="0"/>
              <w:rPr>
                <w:sz w:val="23"/>
                <w:szCs w:val="23"/>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Price-to-earnings (P/E) modifier provides for</w:t>
            </w:r>
          </w:p>
        </w:tc>
        <w:tc>
          <w:tcPr>
            <w:tcW w:w="100" w:type="dxa"/>
            <w:vAlign w:val="bottom"/>
            <w:tcBorders>
              <w:right w:val="single" w:sz="8" w:color="003763"/>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a minimum payout level if the P/E ratio ranks</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in the top quartile of our peer group</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003763"/>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right w:val="single" w:sz="8" w:color="003763"/>
            </w:tcBorders>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9"/>
              </w:rPr>
              <w:t>Long-Term</w:t>
            </w:r>
          </w:p>
        </w:tc>
        <w:tc>
          <w:tcPr>
            <w:tcW w:w="200" w:type="dxa"/>
            <w:vAlign w:val="bottom"/>
            <w:tcBorders>
              <w:right w:val="single" w:sz="8" w:color="003763"/>
            </w:tcBorders>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right w:val="single" w:sz="8" w:color="003763"/>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right w:val="single" w:sz="8" w:color="003763"/>
            </w:tcBorders>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PSUs based on TSR represent 35% of total</w:t>
            </w:r>
          </w:p>
        </w:tc>
        <w:tc>
          <w:tcPr>
            <w:tcW w:w="100" w:type="dxa"/>
            <w:vAlign w:val="bottom"/>
            <w:tcBorders>
              <w:right w:val="single" w:sz="8" w:color="003763"/>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3763"/>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right w:val="single" w:sz="8" w:color="003763"/>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Incentives</w:t>
            </w:r>
          </w:p>
        </w:tc>
        <w:tc>
          <w:tcPr>
            <w:tcW w:w="200" w:type="dxa"/>
            <w:vAlign w:val="bottom"/>
            <w:tcBorders>
              <w:right w:val="single" w:sz="8" w:color="003763"/>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Borders>
              <w:right w:val="single" w:sz="8" w:color="003763"/>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003763"/>
            </w:tcBorders>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vMerge w:val="restart"/>
          </w:tcPr>
          <w:p>
            <w:pPr>
              <w:ind w:left="220"/>
              <w:spacing w:after="0"/>
              <w:rPr>
                <w:sz w:val="20"/>
                <w:szCs w:val="20"/>
                <w:color w:val="auto"/>
              </w:rPr>
            </w:pPr>
            <w:r>
              <w:rPr>
                <w:rFonts w:ascii="Arial" w:cs="Arial" w:eastAsia="Arial" w:hAnsi="Arial"/>
                <w:sz w:val="15"/>
                <w:szCs w:val="15"/>
                <w:color w:val="auto"/>
              </w:rPr>
              <w:t>award value</w:t>
            </w:r>
          </w:p>
        </w:tc>
        <w:tc>
          <w:tcPr>
            <w:tcW w:w="100" w:type="dxa"/>
            <w:vAlign w:val="bottom"/>
            <w:tcBorders>
              <w:right w:val="single" w:sz="8" w:color="003763"/>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shd w:val="clear" w:color="auto" w:fill="003763"/>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Borders>
              <w:right w:val="single" w:sz="8" w:color="003763"/>
            </w:tcBorders>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Borders>
              <w:right w:val="single" w:sz="8" w:color="003763"/>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Borders>
              <w:right w:val="single" w:sz="8" w:color="003763"/>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Borders>
              <w:right w:val="single" w:sz="8" w:color="003763"/>
            </w:tcBorders>
          </w:tcPr>
          <w:p>
            <w:pPr>
              <w:spacing w:after="0"/>
              <w:rPr>
                <w:sz w:val="4"/>
                <w:szCs w:val="4"/>
                <w:color w:val="auto"/>
              </w:rPr>
            </w:pPr>
          </w:p>
        </w:tc>
        <w:tc>
          <w:tcPr>
            <w:tcW w:w="8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00" w:type="dxa"/>
            <w:vAlign w:val="bottom"/>
            <w:tcBorders>
              <w:right w:val="single" w:sz="8" w:color="003763"/>
            </w:tcBorders>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003763"/>
            </w:tcBorders>
            <w:shd w:val="clear" w:color="auto" w:fill="003763"/>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003763"/>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right w:val="single" w:sz="8" w:color="003763"/>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003763"/>
            </w:tcBorders>
          </w:tcPr>
          <w:p>
            <w:pPr>
              <w:spacing w:after="0"/>
              <w:rPr>
                <w:sz w:val="2"/>
                <w:szCs w:val="2"/>
                <w:color w:val="auto"/>
              </w:rPr>
            </w:pPr>
          </w:p>
        </w:tc>
        <w:tc>
          <w:tcPr>
            <w:tcW w:w="120" w:type="dxa"/>
            <w:vAlign w:val="bottom"/>
            <w:tcBorders>
              <w:bottom w:val="single" w:sz="8" w:color="003763"/>
            </w:tcBorders>
          </w:tcPr>
          <w:p>
            <w:pPr>
              <w:spacing w:after="0"/>
              <w:rPr>
                <w:sz w:val="2"/>
                <w:szCs w:val="2"/>
                <w:color w:val="auto"/>
              </w:rPr>
            </w:pPr>
          </w:p>
        </w:tc>
        <w:tc>
          <w:tcPr>
            <w:tcW w:w="1260" w:type="dxa"/>
            <w:vAlign w:val="bottom"/>
            <w:tcBorders>
              <w:bottom w:val="single" w:sz="8" w:color="003763"/>
            </w:tcBorders>
          </w:tcPr>
          <w:p>
            <w:pPr>
              <w:spacing w:after="0"/>
              <w:rPr>
                <w:sz w:val="2"/>
                <w:szCs w:val="2"/>
                <w:color w:val="auto"/>
              </w:rPr>
            </w:pPr>
          </w:p>
        </w:tc>
        <w:tc>
          <w:tcPr>
            <w:tcW w:w="140" w:type="dxa"/>
            <w:vAlign w:val="bottom"/>
            <w:tcBorders>
              <w:bottom w:val="single" w:sz="8" w:color="003763"/>
              <w:right w:val="single" w:sz="8" w:color="003763"/>
            </w:tcBorders>
          </w:tcPr>
          <w:p>
            <w:pPr>
              <w:spacing w:after="0"/>
              <w:rPr>
                <w:sz w:val="2"/>
                <w:szCs w:val="2"/>
                <w:color w:val="auto"/>
              </w:rPr>
            </w:pPr>
          </w:p>
        </w:tc>
        <w:tc>
          <w:tcPr>
            <w:tcW w:w="80" w:type="dxa"/>
            <w:vAlign w:val="bottom"/>
            <w:tcBorders>
              <w:bottom w:val="single" w:sz="8" w:color="003763"/>
            </w:tcBorders>
          </w:tcPr>
          <w:p>
            <w:pPr>
              <w:spacing w:after="0"/>
              <w:rPr>
                <w:sz w:val="2"/>
                <w:szCs w:val="2"/>
                <w:color w:val="auto"/>
              </w:rPr>
            </w:pPr>
          </w:p>
        </w:tc>
        <w:tc>
          <w:tcPr>
            <w:tcW w:w="3260" w:type="dxa"/>
            <w:vAlign w:val="bottom"/>
            <w:tcBorders>
              <w:bottom w:val="single" w:sz="8" w:color="003763"/>
            </w:tcBorders>
          </w:tcPr>
          <w:p>
            <w:pPr>
              <w:spacing w:after="0"/>
              <w:rPr>
                <w:sz w:val="2"/>
                <w:szCs w:val="2"/>
                <w:color w:val="auto"/>
              </w:rPr>
            </w:pPr>
          </w:p>
        </w:tc>
        <w:tc>
          <w:tcPr>
            <w:tcW w:w="100" w:type="dxa"/>
            <w:vAlign w:val="bottom"/>
            <w:tcBorders>
              <w:bottom w:val="single" w:sz="8" w:color="003763"/>
              <w:right w:val="single" w:sz="8" w:color="003763"/>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Three-year cliff</w:t>
            </w: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Aligns with the Company’s long-term net</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vesting, subject</w:t>
            </w: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20"/>
              <w:spacing w:after="0"/>
              <w:rPr>
                <w:sz w:val="20"/>
                <w:szCs w:val="20"/>
                <w:color w:val="auto"/>
              </w:rPr>
            </w:pPr>
            <w:r>
              <w:rPr>
                <w:rFonts w:ascii="Arial" w:cs="Arial" w:eastAsia="Arial" w:hAnsi="Arial"/>
                <w:sz w:val="15"/>
                <w:szCs w:val="15"/>
                <w:color w:val="auto"/>
              </w:rPr>
              <w:t>zero and greenhouse gas emissions</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to carbon</w:t>
            </w:r>
          </w:p>
        </w:tc>
        <w:tc>
          <w:tcPr>
            <w:tcW w:w="140" w:type="dxa"/>
            <w:vAlign w:val="bottom"/>
            <w:tcBorders>
              <w:right w:val="single" w:sz="8" w:color="003763"/>
            </w:tcBorders>
          </w:tcPr>
          <w:p>
            <w:pPr>
              <w:ind w:left="60"/>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3260" w:type="dxa"/>
            <w:vAlign w:val="bottom"/>
          </w:tcPr>
          <w:p>
            <w:pPr>
              <w:ind w:left="220"/>
              <w:spacing w:after="0"/>
              <w:rPr>
                <w:sz w:val="20"/>
                <w:szCs w:val="20"/>
                <w:color w:val="auto"/>
              </w:rPr>
            </w:pPr>
            <w:r>
              <w:rPr>
                <w:rFonts w:ascii="Arial" w:cs="Arial" w:eastAsia="Arial" w:hAnsi="Arial"/>
                <w:sz w:val="15"/>
                <w:szCs w:val="15"/>
                <w:color w:val="auto"/>
              </w:rPr>
              <w:t>reduction goals</w:t>
            </w:r>
          </w:p>
        </w:tc>
        <w:tc>
          <w:tcPr>
            <w:tcW w:w="100" w:type="dxa"/>
            <w:vAlign w:val="bottom"/>
            <w:tcBorders>
              <w:right w:val="single" w:sz="8" w:color="003763"/>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emissions</w:t>
            </w: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vMerge w:val="restart"/>
          </w:tcPr>
          <w:p>
            <w:pPr>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PSUs based on carbon emissions reduction</w:t>
            </w: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reduction goals</w:t>
            </w: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003763"/>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Borders>
              <w:right w:val="single" w:sz="8" w:color="003763"/>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right w:val="single" w:sz="8" w:color="003763"/>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right w:val="single" w:sz="8" w:color="003763"/>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Borders>
              <w:right w:val="single" w:sz="8" w:color="003763"/>
            </w:tcBorders>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vMerge w:val="restart"/>
          </w:tcPr>
          <w:p>
            <w:pPr>
              <w:ind w:left="220"/>
              <w:spacing w:after="0"/>
              <w:rPr>
                <w:sz w:val="20"/>
                <w:szCs w:val="20"/>
                <w:color w:val="auto"/>
              </w:rPr>
            </w:pPr>
            <w:r>
              <w:rPr>
                <w:rFonts w:ascii="Arial" w:cs="Arial" w:eastAsia="Arial" w:hAnsi="Arial"/>
                <w:sz w:val="15"/>
                <w:szCs w:val="15"/>
                <w:color w:val="auto"/>
              </w:rPr>
              <w:t>goals account for 5% of the total award</w:t>
            </w:r>
          </w:p>
        </w:tc>
        <w:tc>
          <w:tcPr>
            <w:tcW w:w="100" w:type="dxa"/>
            <w:vAlign w:val="bottom"/>
            <w:tcBorders>
              <w:right w:val="single" w:sz="8" w:color="003763"/>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003763"/>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Borders>
              <w:right w:val="single" w:sz="8" w:color="003763"/>
            </w:tcBorders>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Borders>
              <w:right w:val="single" w:sz="8" w:color="003763"/>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Borders>
              <w:right w:val="single" w:sz="8" w:color="003763"/>
            </w:tcBorders>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Borders>
              <w:right w:val="single" w:sz="8" w:color="003763"/>
            </w:tcBorders>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100" w:type="dxa"/>
            <w:vAlign w:val="bottom"/>
            <w:tcBorders>
              <w:right w:val="single" w:sz="8" w:color="003763"/>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003763"/>
            </w:tcBorders>
            <w:shd w:val="clear" w:color="auto" w:fill="003763"/>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right w:val="single" w:sz="8" w:color="003763"/>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right w:val="single" w:sz="8" w:color="003763"/>
            </w:tcBorders>
          </w:tcPr>
          <w:p>
            <w:pPr>
              <w:spacing w:after="0"/>
              <w:rPr>
                <w:sz w:val="2"/>
                <w:szCs w:val="2"/>
                <w:color w:val="auto"/>
              </w:rPr>
            </w:pPr>
          </w:p>
        </w:tc>
        <w:tc>
          <w:tcPr>
            <w:tcW w:w="100" w:type="dxa"/>
            <w:vAlign w:val="bottom"/>
            <w:tcBorders>
              <w:bottom w:val="single" w:sz="8" w:color="003763"/>
            </w:tcBorders>
          </w:tcPr>
          <w:p>
            <w:pPr>
              <w:spacing w:after="0"/>
              <w:rPr>
                <w:sz w:val="2"/>
                <w:szCs w:val="2"/>
                <w:color w:val="auto"/>
              </w:rPr>
            </w:pPr>
          </w:p>
        </w:tc>
        <w:tc>
          <w:tcPr>
            <w:tcW w:w="1280" w:type="dxa"/>
            <w:vAlign w:val="bottom"/>
            <w:tcBorders>
              <w:bottom w:val="single" w:sz="8" w:color="003763"/>
            </w:tcBorders>
          </w:tcPr>
          <w:p>
            <w:pPr>
              <w:spacing w:after="0"/>
              <w:rPr>
                <w:sz w:val="2"/>
                <w:szCs w:val="2"/>
                <w:color w:val="auto"/>
              </w:rPr>
            </w:pPr>
          </w:p>
        </w:tc>
        <w:tc>
          <w:tcPr>
            <w:tcW w:w="120" w:type="dxa"/>
            <w:vAlign w:val="bottom"/>
            <w:tcBorders>
              <w:bottom w:val="single" w:sz="8" w:color="003763"/>
              <w:right w:val="single" w:sz="8" w:color="003763"/>
            </w:tcBorders>
          </w:tcPr>
          <w:p>
            <w:pPr>
              <w:spacing w:after="0"/>
              <w:rPr>
                <w:sz w:val="2"/>
                <w:szCs w:val="2"/>
                <w:color w:val="auto"/>
              </w:rPr>
            </w:pPr>
          </w:p>
        </w:tc>
        <w:tc>
          <w:tcPr>
            <w:tcW w:w="120" w:type="dxa"/>
            <w:vAlign w:val="bottom"/>
            <w:tcBorders>
              <w:bottom w:val="single" w:sz="8" w:color="003763"/>
            </w:tcBorders>
          </w:tcPr>
          <w:p>
            <w:pPr>
              <w:spacing w:after="0"/>
              <w:rPr>
                <w:sz w:val="2"/>
                <w:szCs w:val="2"/>
                <w:color w:val="auto"/>
              </w:rPr>
            </w:pPr>
          </w:p>
        </w:tc>
        <w:tc>
          <w:tcPr>
            <w:tcW w:w="1260" w:type="dxa"/>
            <w:vAlign w:val="bottom"/>
            <w:tcBorders>
              <w:bottom w:val="single" w:sz="8" w:color="003763"/>
            </w:tcBorders>
          </w:tcPr>
          <w:p>
            <w:pPr>
              <w:spacing w:after="0"/>
              <w:rPr>
                <w:sz w:val="2"/>
                <w:szCs w:val="2"/>
                <w:color w:val="auto"/>
              </w:rPr>
            </w:pPr>
          </w:p>
        </w:tc>
        <w:tc>
          <w:tcPr>
            <w:tcW w:w="140" w:type="dxa"/>
            <w:vAlign w:val="bottom"/>
            <w:tcBorders>
              <w:bottom w:val="single" w:sz="8" w:color="003763"/>
              <w:right w:val="single" w:sz="8" w:color="003763"/>
            </w:tcBorders>
          </w:tcPr>
          <w:p>
            <w:pPr>
              <w:spacing w:after="0"/>
              <w:rPr>
                <w:sz w:val="2"/>
                <w:szCs w:val="2"/>
                <w:color w:val="auto"/>
              </w:rPr>
            </w:pPr>
          </w:p>
        </w:tc>
        <w:tc>
          <w:tcPr>
            <w:tcW w:w="80" w:type="dxa"/>
            <w:vAlign w:val="bottom"/>
            <w:tcBorders>
              <w:bottom w:val="single" w:sz="8" w:color="003763"/>
            </w:tcBorders>
          </w:tcPr>
          <w:p>
            <w:pPr>
              <w:spacing w:after="0"/>
              <w:rPr>
                <w:sz w:val="2"/>
                <w:szCs w:val="2"/>
                <w:color w:val="auto"/>
              </w:rPr>
            </w:pPr>
          </w:p>
        </w:tc>
        <w:tc>
          <w:tcPr>
            <w:tcW w:w="3260" w:type="dxa"/>
            <w:vAlign w:val="bottom"/>
            <w:tcBorders>
              <w:bottom w:val="single" w:sz="8" w:color="003763"/>
            </w:tcBorders>
          </w:tcPr>
          <w:p>
            <w:pPr>
              <w:spacing w:after="0"/>
              <w:rPr>
                <w:sz w:val="2"/>
                <w:szCs w:val="2"/>
                <w:color w:val="auto"/>
              </w:rPr>
            </w:pPr>
          </w:p>
        </w:tc>
        <w:tc>
          <w:tcPr>
            <w:tcW w:w="100" w:type="dxa"/>
            <w:vAlign w:val="bottom"/>
            <w:tcBorders>
              <w:bottom w:val="single" w:sz="8" w:color="003763"/>
              <w:right w:val="single" w:sz="8" w:color="003763"/>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003763"/>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right w:val="single" w:sz="8" w:color="003763"/>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right w:val="single" w:sz="8" w:color="003763"/>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right w:val="single" w:sz="8" w:color="003763"/>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Three-year</w:t>
            </w:r>
          </w:p>
        </w:tc>
        <w:tc>
          <w:tcPr>
            <w:tcW w:w="140" w:type="dxa"/>
            <w:vAlign w:val="bottom"/>
            <w:tcBorders>
              <w:right w:val="single" w:sz="8" w:color="003763"/>
            </w:tcBorders>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Promotes retention, facilitates stock</w:t>
            </w:r>
          </w:p>
        </w:tc>
        <w:tc>
          <w:tcPr>
            <w:tcW w:w="100" w:type="dxa"/>
            <w:vAlign w:val="bottom"/>
            <w:tcBorders>
              <w:right w:val="single" w:sz="8" w:color="003763"/>
            </w:tcBorders>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restart"/>
          </w:tcPr>
          <w:p>
            <w:pPr>
              <w:ind w:left="240"/>
              <w:spacing w:after="0"/>
              <w:rPr>
                <w:sz w:val="20"/>
                <w:szCs w:val="20"/>
                <w:color w:val="auto"/>
              </w:rPr>
            </w:pPr>
            <w:r>
              <w:rPr>
                <w:rFonts w:ascii="Arial" w:cs="Arial" w:eastAsia="Arial" w:hAnsi="Arial"/>
                <w:sz w:val="15"/>
                <w:szCs w:val="15"/>
                <w:color w:val="auto"/>
              </w:rPr>
              <w:t>ownership, and supports succession</w:t>
            </w: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shd w:val="clear" w:color="auto" w:fill="003763"/>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Borders>
              <w:right w:val="single" w:sz="8" w:color="003763"/>
            </w:tcBorders>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Borders>
              <w:right w:val="single" w:sz="8" w:color="003763"/>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5"/>
                <w:szCs w:val="15"/>
                <w:b w:val="1"/>
                <w:bCs w:val="1"/>
                <w:i w:val="1"/>
                <w:iCs w:val="1"/>
                <w:color w:val="auto"/>
              </w:rPr>
              <w:t>Restricted Stock</w:t>
            </w:r>
          </w:p>
        </w:tc>
        <w:tc>
          <w:tcPr>
            <w:tcW w:w="120" w:type="dxa"/>
            <w:vAlign w:val="bottom"/>
            <w:tcBorders>
              <w:right w:val="single" w:sz="8" w:color="003763"/>
            </w:tcBorders>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graded vesting,</w:t>
            </w:r>
          </w:p>
        </w:tc>
        <w:tc>
          <w:tcPr>
            <w:tcW w:w="140" w:type="dxa"/>
            <w:vAlign w:val="bottom"/>
            <w:tcBorders>
              <w:right w:val="single" w:sz="8" w:color="003763"/>
            </w:tcBorders>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100" w:type="dxa"/>
            <w:vAlign w:val="bottom"/>
            <w:tcBorders>
              <w:right w:val="single" w:sz="8" w:color="003763"/>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003763"/>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right w:val="single" w:sz="8" w:color="003763"/>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right w:val="single" w:sz="8" w:color="003763"/>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Borders>
              <w:right w:val="single" w:sz="8" w:color="003763"/>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40" w:type="dxa"/>
            <w:vAlign w:val="bottom"/>
            <w:tcBorders>
              <w:right w:val="single" w:sz="8" w:color="003763"/>
            </w:tcBorders>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Pr>
          <w:p>
            <w:pPr>
              <w:ind w:left="240"/>
              <w:spacing w:after="0" w:line="153" w:lineRule="exact"/>
              <w:rPr>
                <w:sz w:val="20"/>
                <w:szCs w:val="20"/>
                <w:color w:val="auto"/>
              </w:rPr>
            </w:pPr>
            <w:r>
              <w:rPr>
                <w:rFonts w:ascii="Arial" w:cs="Arial" w:eastAsia="Arial" w:hAnsi="Arial"/>
                <w:sz w:val="15"/>
                <w:szCs w:val="15"/>
                <w:color w:val="auto"/>
              </w:rPr>
              <w:t>planning</w:t>
            </w:r>
          </w:p>
        </w:tc>
        <w:tc>
          <w:tcPr>
            <w:tcW w:w="100" w:type="dxa"/>
            <w:vAlign w:val="bottom"/>
            <w:tcBorders>
              <w:right w:val="single" w:sz="8" w:color="003763"/>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3763"/>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right w:val="single" w:sz="8" w:color="003763"/>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Borders>
              <w:right w:val="single" w:sz="8" w:color="003763"/>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5"/>
                <w:szCs w:val="15"/>
                <w:b w:val="1"/>
                <w:bCs w:val="1"/>
                <w:i w:val="1"/>
                <w:iCs w:val="1"/>
                <w:color w:val="auto"/>
              </w:rPr>
              <w:t>Units (RSUs)</w:t>
            </w:r>
          </w:p>
        </w:tc>
        <w:tc>
          <w:tcPr>
            <w:tcW w:w="120" w:type="dxa"/>
            <w:vAlign w:val="bottom"/>
            <w:tcBorders>
              <w:right w:val="single" w:sz="8" w:color="003763"/>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5"/>
                <w:szCs w:val="15"/>
                <w:b w:val="1"/>
                <w:bCs w:val="1"/>
                <w:color w:val="auto"/>
              </w:rPr>
              <w:t>subject to</w:t>
            </w:r>
          </w:p>
        </w:tc>
        <w:tc>
          <w:tcPr>
            <w:tcW w:w="140" w:type="dxa"/>
            <w:vAlign w:val="bottom"/>
            <w:tcBorders>
              <w:right w:val="single" w:sz="8" w:color="003763"/>
            </w:tcBorders>
          </w:tcPr>
          <w:p>
            <w:pPr>
              <w:spacing w:after="0"/>
              <w:rPr>
                <w:sz w:val="11"/>
                <w:szCs w:val="11"/>
                <w:color w:val="auto"/>
              </w:rPr>
            </w:pPr>
          </w:p>
        </w:tc>
        <w:tc>
          <w:tcPr>
            <w:tcW w:w="80" w:type="dxa"/>
            <w:vAlign w:val="bottom"/>
          </w:tcPr>
          <w:p>
            <w:pPr>
              <w:spacing w:after="0"/>
              <w:rPr>
                <w:sz w:val="11"/>
                <w:szCs w:val="11"/>
                <w:color w:val="auto"/>
              </w:rPr>
            </w:pPr>
          </w:p>
        </w:tc>
        <w:tc>
          <w:tcPr>
            <w:tcW w:w="3260" w:type="dxa"/>
            <w:vAlign w:val="bottom"/>
            <w:vMerge w:val="restart"/>
          </w:tcPr>
          <w:p>
            <w:pPr>
              <w:ind w:left="20"/>
              <w:spacing w:after="0" w:line="173" w:lineRule="exact"/>
              <w:rPr>
                <w:sz w:val="20"/>
                <w:szCs w:val="20"/>
                <w:color w:val="auto"/>
              </w:rPr>
            </w:pPr>
            <w:r>
              <w:rPr>
                <w:rFonts w:ascii="MS PGothic" w:cs="MS PGothic" w:eastAsia="MS PGothic" w:hAnsi="MS PGothic"/>
                <w:sz w:val="15"/>
                <w:szCs w:val="15"/>
                <w:color w:val="6EC4E8"/>
              </w:rPr>
              <w:t>✓</w:t>
            </w:r>
            <w:r>
              <w:rPr>
                <w:rFonts w:ascii="Arial" w:cs="Arial" w:eastAsia="Arial" w:hAnsi="Arial"/>
                <w:sz w:val="15"/>
                <w:szCs w:val="15"/>
                <w:color w:val="auto"/>
              </w:rPr>
              <w:t xml:space="preserve"> Aligns with long-term shareholder interests</w:t>
            </w:r>
          </w:p>
        </w:tc>
        <w:tc>
          <w:tcPr>
            <w:tcW w:w="100" w:type="dxa"/>
            <w:vAlign w:val="bottom"/>
            <w:tcBorders>
              <w:right w:val="single" w:sz="8" w:color="003763"/>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00376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right w:val="single" w:sz="8" w:color="003763"/>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Borders>
              <w:right w:val="single" w:sz="8" w:color="003763"/>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i w:val="1"/>
                <w:iCs w:val="1"/>
                <w:color w:val="auto"/>
                <w:w w:val="99"/>
              </w:rPr>
              <w:t>25%</w:t>
            </w:r>
          </w:p>
        </w:tc>
        <w:tc>
          <w:tcPr>
            <w:tcW w:w="120" w:type="dxa"/>
            <w:vAlign w:val="bottom"/>
            <w:tcBorders>
              <w:right w:val="single" w:sz="8" w:color="003763"/>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continued</w:t>
            </w:r>
          </w:p>
        </w:tc>
        <w:tc>
          <w:tcPr>
            <w:tcW w:w="140" w:type="dxa"/>
            <w:vAlign w:val="bottom"/>
            <w:tcBorders>
              <w:right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100" w:type="dxa"/>
            <w:vAlign w:val="bottom"/>
            <w:tcBorders>
              <w:right w:val="single" w:sz="8" w:color="003763"/>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00376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Borders>
              <w:right w:val="single" w:sz="8" w:color="003763"/>
            </w:tcBorders>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Borders>
              <w:right w:val="single" w:sz="8" w:color="003763"/>
            </w:tcBorders>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1"/>
                <w:szCs w:val="21"/>
                <w:color w:val="auto"/>
              </w:rPr>
            </w:pPr>
          </w:p>
        </w:tc>
        <w:tc>
          <w:tcPr>
            <w:tcW w:w="120" w:type="dxa"/>
            <w:vAlign w:val="bottom"/>
            <w:tcBorders>
              <w:right w:val="single" w:sz="8" w:color="003763"/>
            </w:tcBorders>
          </w:tcPr>
          <w:p>
            <w:pPr>
              <w:ind w:left="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employment and</w:t>
            </w:r>
          </w:p>
        </w:tc>
        <w:tc>
          <w:tcPr>
            <w:tcW w:w="140" w:type="dxa"/>
            <w:vAlign w:val="bottom"/>
            <w:tcBorders>
              <w:right w:val="single" w:sz="8" w:color="003763"/>
            </w:tcBorders>
          </w:tcPr>
          <w:p>
            <w:pPr>
              <w:ind w:left="60"/>
              <w:spacing w:after="0"/>
              <w:rPr>
                <w:sz w:val="20"/>
                <w:szCs w:val="20"/>
                <w:color w:val="auto"/>
              </w:rPr>
            </w:pPr>
            <w:r>
              <w:rPr>
                <w:rFonts w:ascii="Arial" w:cs="Arial" w:eastAsia="Arial" w:hAnsi="Arial"/>
                <w:sz w:val="15"/>
                <w:szCs w:val="15"/>
                <w:color w:val="auto"/>
              </w:rPr>
              <w:t>​</w:t>
            </w:r>
          </w:p>
        </w:tc>
        <w:tc>
          <w:tcPr>
            <w:tcW w:w="3340" w:type="dxa"/>
            <w:vAlign w:val="bottom"/>
            <w:gridSpan w:val="2"/>
          </w:tcPr>
          <w:p>
            <w:pPr>
              <w:ind w:left="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r>
              <w:rPr>
                <w:rFonts w:ascii="MS PGothic" w:cs="MS PGothic" w:eastAsia="MS PGothic" w:hAnsi="MS PGothic"/>
                <w:sz w:val="15"/>
                <w:szCs w:val="15"/>
                <w:color w:val="6EC4E8"/>
              </w:rPr>
              <w:t>✓</w:t>
            </w:r>
            <w:r>
              <w:rPr>
                <w:rFonts w:ascii="Arial" w:cs="Arial" w:eastAsia="Arial" w:hAnsi="Arial"/>
                <w:sz w:val="15"/>
                <w:szCs w:val="15"/>
                <w:color w:val="auto"/>
              </w:rPr>
              <w:t xml:space="preserve"> RSUs represent 25% of total award value</w:t>
            </w:r>
          </w:p>
        </w:tc>
        <w:tc>
          <w:tcPr>
            <w:tcW w:w="100" w:type="dxa"/>
            <w:vAlign w:val="bottom"/>
            <w:tcBorders>
              <w:right w:val="single" w:sz="8" w:color="003763"/>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2"/>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positive</w:t>
            </w: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restart"/>
          </w:tcPr>
          <w:p>
            <w:pPr>
              <w:ind w:left="240"/>
              <w:spacing w:after="0"/>
              <w:rPr>
                <w:sz w:val="20"/>
                <w:szCs w:val="20"/>
                <w:color w:val="auto"/>
              </w:rPr>
            </w:pPr>
            <w:r>
              <w:rPr>
                <w:rFonts w:ascii="Arial" w:cs="Arial" w:eastAsia="Arial" w:hAnsi="Arial"/>
                <w:sz w:val="15"/>
                <w:szCs w:val="15"/>
                <w:color w:val="auto"/>
              </w:rPr>
              <w:t>and will vest only if CenterPoint Energy</w:t>
            </w: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operating</w:t>
            </w: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restart"/>
          </w:tcPr>
          <w:p>
            <w:pPr>
              <w:ind w:left="240"/>
              <w:spacing w:after="0"/>
              <w:rPr>
                <w:sz w:val="20"/>
                <w:szCs w:val="20"/>
                <w:color w:val="auto"/>
              </w:rPr>
            </w:pPr>
            <w:r>
              <w:rPr>
                <w:rFonts w:ascii="Arial" w:cs="Arial" w:eastAsia="Arial" w:hAnsi="Arial"/>
                <w:sz w:val="15"/>
                <w:szCs w:val="15"/>
                <w:color w:val="auto"/>
              </w:rPr>
              <w:t>achieves positive operating income for the</w:t>
            </w: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shd w:val="clear" w:color="auto" w:fill="003763"/>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right w:val="single" w:sz="8" w:color="003763"/>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Borders>
              <w:right w:val="single" w:sz="8" w:color="003763"/>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Borders>
              <w:right w:val="single" w:sz="8" w:color="003763"/>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income</w:t>
            </w:r>
          </w:p>
        </w:tc>
        <w:tc>
          <w:tcPr>
            <w:tcW w:w="140" w:type="dxa"/>
            <w:vAlign w:val="bottom"/>
            <w:tcBorders>
              <w:right w:val="single" w:sz="8" w:color="003763"/>
            </w:tcBorders>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100" w:type="dxa"/>
            <w:vAlign w:val="bottom"/>
            <w:tcBorders>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003763"/>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Borders>
              <w:right w:val="single" w:sz="8" w:color="003763"/>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Borders>
              <w:right w:val="single" w:sz="8" w:color="003763"/>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right w:val="single" w:sz="8" w:color="003763"/>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Borders>
              <w:right w:val="single" w:sz="8" w:color="003763"/>
            </w:tcBorders>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vMerge w:val="restart"/>
          </w:tcPr>
          <w:p>
            <w:pPr>
              <w:ind w:left="240"/>
              <w:spacing w:after="0"/>
              <w:rPr>
                <w:sz w:val="20"/>
                <w:szCs w:val="20"/>
                <w:color w:val="auto"/>
              </w:rPr>
            </w:pPr>
            <w:r>
              <w:rPr>
                <w:rFonts w:ascii="Arial" w:cs="Arial" w:eastAsia="Arial" w:hAnsi="Arial"/>
                <w:sz w:val="15"/>
                <w:szCs w:val="15"/>
                <w:color w:val="auto"/>
              </w:rPr>
              <w:t>last full calendar year preceding the</w:t>
            </w:r>
          </w:p>
        </w:tc>
        <w:tc>
          <w:tcPr>
            <w:tcW w:w="100" w:type="dxa"/>
            <w:vAlign w:val="bottom"/>
            <w:tcBorders>
              <w:right w:val="single" w:sz="8" w:color="003763"/>
            </w:tcBorders>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003763"/>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Borders>
              <w:right w:val="single" w:sz="8" w:color="003763"/>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Borders>
              <w:right w:val="single" w:sz="8" w:color="003763"/>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Borders>
              <w:right w:val="single" w:sz="8" w:color="003763"/>
            </w:tcBorders>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Borders>
              <w:right w:val="single" w:sz="8" w:color="003763"/>
            </w:tcBorders>
          </w:tcPr>
          <w:p>
            <w:pPr>
              <w:spacing w:after="0"/>
              <w:rPr>
                <w:sz w:val="5"/>
                <w:szCs w:val="5"/>
                <w:color w:val="auto"/>
              </w:rPr>
            </w:pPr>
          </w:p>
        </w:tc>
        <w:tc>
          <w:tcPr>
            <w:tcW w:w="8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100" w:type="dxa"/>
            <w:vAlign w:val="bottom"/>
            <w:tcBorders>
              <w:right w:val="single" w:sz="8" w:color="003763"/>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003763"/>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003763"/>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0037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003763"/>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right w:val="single" w:sz="8" w:color="003763"/>
            </w:tcBorders>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ind w:left="240"/>
              <w:spacing w:after="0"/>
              <w:rPr>
                <w:sz w:val="20"/>
                <w:szCs w:val="20"/>
                <w:color w:val="auto"/>
              </w:rPr>
            </w:pPr>
            <w:r>
              <w:rPr>
                <w:rFonts w:ascii="Arial" w:cs="Arial" w:eastAsia="Arial" w:hAnsi="Arial"/>
                <w:sz w:val="15"/>
                <w:szCs w:val="15"/>
                <w:color w:val="auto"/>
              </w:rPr>
              <w:t>applicable vesting date</w:t>
            </w:r>
          </w:p>
        </w:tc>
        <w:tc>
          <w:tcPr>
            <w:tcW w:w="100" w:type="dxa"/>
            <w:vAlign w:val="bottom"/>
            <w:tcBorders>
              <w:right w:val="single" w:sz="8" w:color="003763"/>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003763"/>
            </w:tcBorders>
            <w:shd w:val="clear" w:color="auto" w:fill="003763"/>
          </w:tcPr>
          <w:p>
            <w:pPr>
              <w:spacing w:after="0"/>
              <w:rPr>
                <w:sz w:val="8"/>
                <w:szCs w:val="8"/>
                <w:color w:val="auto"/>
              </w:rPr>
            </w:pPr>
          </w:p>
        </w:tc>
        <w:tc>
          <w:tcPr>
            <w:tcW w:w="240" w:type="dxa"/>
            <w:vAlign w:val="bottom"/>
            <w:tcBorders>
              <w:bottom w:val="single" w:sz="8" w:color="003763"/>
            </w:tcBorders>
          </w:tcPr>
          <w:p>
            <w:pPr>
              <w:spacing w:after="0"/>
              <w:rPr>
                <w:sz w:val="8"/>
                <w:szCs w:val="8"/>
                <w:color w:val="auto"/>
              </w:rPr>
            </w:pPr>
          </w:p>
        </w:tc>
        <w:tc>
          <w:tcPr>
            <w:tcW w:w="800" w:type="dxa"/>
            <w:vAlign w:val="bottom"/>
            <w:tcBorders>
              <w:bottom w:val="single" w:sz="8" w:color="003763"/>
            </w:tcBorders>
          </w:tcPr>
          <w:p>
            <w:pPr>
              <w:spacing w:after="0"/>
              <w:rPr>
                <w:sz w:val="8"/>
                <w:szCs w:val="8"/>
                <w:color w:val="auto"/>
              </w:rPr>
            </w:pPr>
          </w:p>
        </w:tc>
        <w:tc>
          <w:tcPr>
            <w:tcW w:w="240" w:type="dxa"/>
            <w:vAlign w:val="bottom"/>
            <w:tcBorders>
              <w:bottom w:val="single" w:sz="8" w:color="003763"/>
              <w:right w:val="single" w:sz="8" w:color="003763"/>
            </w:tcBorders>
          </w:tcPr>
          <w:p>
            <w:pPr>
              <w:spacing w:after="0"/>
              <w:rPr>
                <w:sz w:val="8"/>
                <w:szCs w:val="8"/>
                <w:color w:val="auto"/>
              </w:rPr>
            </w:pPr>
          </w:p>
        </w:tc>
        <w:tc>
          <w:tcPr>
            <w:tcW w:w="180" w:type="dxa"/>
            <w:vAlign w:val="bottom"/>
            <w:tcBorders>
              <w:bottom w:val="single" w:sz="8" w:color="003763"/>
            </w:tcBorders>
          </w:tcPr>
          <w:p>
            <w:pPr>
              <w:spacing w:after="0"/>
              <w:rPr>
                <w:sz w:val="8"/>
                <w:szCs w:val="8"/>
                <w:color w:val="auto"/>
              </w:rPr>
            </w:pPr>
          </w:p>
        </w:tc>
        <w:tc>
          <w:tcPr>
            <w:tcW w:w="1120" w:type="dxa"/>
            <w:vAlign w:val="bottom"/>
            <w:tcBorders>
              <w:bottom w:val="single" w:sz="8" w:color="003763"/>
            </w:tcBorders>
          </w:tcPr>
          <w:p>
            <w:pPr>
              <w:spacing w:after="0"/>
              <w:rPr>
                <w:sz w:val="8"/>
                <w:szCs w:val="8"/>
                <w:color w:val="auto"/>
              </w:rPr>
            </w:pPr>
          </w:p>
        </w:tc>
        <w:tc>
          <w:tcPr>
            <w:tcW w:w="200" w:type="dxa"/>
            <w:vAlign w:val="bottom"/>
            <w:tcBorders>
              <w:bottom w:val="single" w:sz="8" w:color="003763"/>
              <w:right w:val="single" w:sz="8" w:color="003763"/>
            </w:tcBorders>
          </w:tcPr>
          <w:p>
            <w:pPr>
              <w:spacing w:after="0"/>
              <w:rPr>
                <w:sz w:val="8"/>
                <w:szCs w:val="8"/>
                <w:color w:val="auto"/>
              </w:rPr>
            </w:pPr>
          </w:p>
        </w:tc>
        <w:tc>
          <w:tcPr>
            <w:tcW w:w="100" w:type="dxa"/>
            <w:vAlign w:val="bottom"/>
            <w:tcBorders>
              <w:bottom w:val="single" w:sz="8" w:color="003763"/>
            </w:tcBorders>
          </w:tcPr>
          <w:p>
            <w:pPr>
              <w:spacing w:after="0"/>
              <w:rPr>
                <w:sz w:val="8"/>
                <w:szCs w:val="8"/>
                <w:color w:val="auto"/>
              </w:rPr>
            </w:pPr>
          </w:p>
        </w:tc>
        <w:tc>
          <w:tcPr>
            <w:tcW w:w="1280" w:type="dxa"/>
            <w:vAlign w:val="bottom"/>
            <w:tcBorders>
              <w:bottom w:val="single" w:sz="8" w:color="003763"/>
            </w:tcBorders>
          </w:tcPr>
          <w:p>
            <w:pPr>
              <w:spacing w:after="0"/>
              <w:rPr>
                <w:sz w:val="8"/>
                <w:szCs w:val="8"/>
                <w:color w:val="auto"/>
              </w:rPr>
            </w:pPr>
          </w:p>
        </w:tc>
        <w:tc>
          <w:tcPr>
            <w:tcW w:w="120" w:type="dxa"/>
            <w:vAlign w:val="bottom"/>
            <w:tcBorders>
              <w:bottom w:val="single" w:sz="8" w:color="003763"/>
              <w:right w:val="single" w:sz="8" w:color="003763"/>
            </w:tcBorders>
          </w:tcPr>
          <w:p>
            <w:pPr>
              <w:spacing w:after="0"/>
              <w:rPr>
                <w:sz w:val="8"/>
                <w:szCs w:val="8"/>
                <w:color w:val="auto"/>
              </w:rPr>
            </w:pPr>
          </w:p>
        </w:tc>
        <w:tc>
          <w:tcPr>
            <w:tcW w:w="120" w:type="dxa"/>
            <w:vAlign w:val="bottom"/>
            <w:tcBorders>
              <w:bottom w:val="single" w:sz="8" w:color="003763"/>
            </w:tcBorders>
          </w:tcPr>
          <w:p>
            <w:pPr>
              <w:spacing w:after="0"/>
              <w:rPr>
                <w:sz w:val="8"/>
                <w:szCs w:val="8"/>
                <w:color w:val="auto"/>
              </w:rPr>
            </w:pPr>
          </w:p>
        </w:tc>
        <w:tc>
          <w:tcPr>
            <w:tcW w:w="1260" w:type="dxa"/>
            <w:vAlign w:val="bottom"/>
            <w:tcBorders>
              <w:bottom w:val="single" w:sz="8" w:color="003763"/>
            </w:tcBorders>
          </w:tcPr>
          <w:p>
            <w:pPr>
              <w:spacing w:after="0"/>
              <w:rPr>
                <w:sz w:val="8"/>
                <w:szCs w:val="8"/>
                <w:color w:val="auto"/>
              </w:rPr>
            </w:pPr>
          </w:p>
        </w:tc>
        <w:tc>
          <w:tcPr>
            <w:tcW w:w="140" w:type="dxa"/>
            <w:vAlign w:val="bottom"/>
            <w:tcBorders>
              <w:bottom w:val="single" w:sz="8" w:color="003763"/>
              <w:right w:val="single" w:sz="8" w:color="003763"/>
            </w:tcBorders>
          </w:tcPr>
          <w:p>
            <w:pPr>
              <w:spacing w:after="0"/>
              <w:rPr>
                <w:sz w:val="8"/>
                <w:szCs w:val="8"/>
                <w:color w:val="auto"/>
              </w:rPr>
            </w:pPr>
          </w:p>
        </w:tc>
        <w:tc>
          <w:tcPr>
            <w:tcW w:w="80" w:type="dxa"/>
            <w:vAlign w:val="bottom"/>
            <w:tcBorders>
              <w:bottom w:val="single" w:sz="8" w:color="003763"/>
            </w:tcBorders>
          </w:tcPr>
          <w:p>
            <w:pPr>
              <w:spacing w:after="0"/>
              <w:rPr>
                <w:sz w:val="8"/>
                <w:szCs w:val="8"/>
                <w:color w:val="auto"/>
              </w:rPr>
            </w:pPr>
          </w:p>
        </w:tc>
        <w:tc>
          <w:tcPr>
            <w:tcW w:w="3260" w:type="dxa"/>
            <w:vAlign w:val="bottom"/>
            <w:tcBorders>
              <w:bottom w:val="single" w:sz="8" w:color="003763"/>
            </w:tcBorders>
          </w:tcPr>
          <w:p>
            <w:pPr>
              <w:spacing w:after="0"/>
              <w:rPr>
                <w:sz w:val="8"/>
                <w:szCs w:val="8"/>
                <w:color w:val="auto"/>
              </w:rPr>
            </w:pPr>
          </w:p>
        </w:tc>
        <w:tc>
          <w:tcPr>
            <w:tcW w:w="100" w:type="dxa"/>
            <w:vAlign w:val="bottom"/>
            <w:tcBorders>
              <w:bottom w:val="single" w:sz="8" w:color="003763"/>
              <w:right w:val="single" w:sz="8" w:color="00376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39"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Pay For Performance</w:t>
      </w:r>
    </w:p>
    <w:p>
      <w:pPr>
        <w:spacing w:after="0" w:line="122" w:lineRule="exact"/>
        <w:rPr>
          <w:sz w:val="20"/>
          <w:szCs w:val="20"/>
          <w:color w:val="auto"/>
        </w:rPr>
      </w:pPr>
    </w:p>
    <w:p>
      <w:pPr>
        <w:jc w:val="both"/>
        <w:ind w:left="740" w:right="220"/>
        <w:spacing w:after="0" w:line="275" w:lineRule="auto"/>
        <w:rPr>
          <w:sz w:val="20"/>
          <w:szCs w:val="20"/>
          <w:color w:val="auto"/>
        </w:rPr>
      </w:pPr>
      <w:r>
        <w:rPr>
          <w:rFonts w:ascii="Arial" w:cs="Arial" w:eastAsia="Arial" w:hAnsi="Arial"/>
          <w:sz w:val="16"/>
          <w:szCs w:val="16"/>
          <w:color w:val="auto"/>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p>
    <w:p>
      <w:pPr>
        <w:spacing w:after="0" w:line="97" w:lineRule="exact"/>
        <w:rPr>
          <w:sz w:val="20"/>
          <w:szCs w:val="20"/>
          <w:color w:val="auto"/>
        </w:rPr>
      </w:pPr>
    </w:p>
    <w:p>
      <w:pPr>
        <w:ind w:left="740" w:right="160"/>
        <w:spacing w:after="0" w:line="275" w:lineRule="auto"/>
        <w:rPr>
          <w:sz w:val="20"/>
          <w:szCs w:val="20"/>
          <w:color w:val="auto"/>
        </w:rPr>
      </w:pPr>
      <w:r>
        <w:rPr>
          <w:rFonts w:ascii="Arial" w:cs="Arial" w:eastAsia="Arial" w:hAnsi="Arial"/>
          <w:sz w:val="16"/>
          <w:szCs w:val="16"/>
          <w:color w:val="auto"/>
        </w:rPr>
        <w:t>A significant portion of our named executive officers’ total direct compensation, which includes base salary in addition to the short-term and long-term incentive components, as applicable, is conditioned upon achieving results that are key to our long-term success for the benefit of our stakeholders and increasing shareholder value.</w:t>
      </w:r>
    </w:p>
    <w:p>
      <w:pPr>
        <w:spacing w:after="0" w:line="110" w:lineRule="exact"/>
        <w:rPr>
          <w:sz w:val="20"/>
          <w:szCs w:val="20"/>
          <w:color w:val="auto"/>
        </w:rPr>
      </w:pPr>
    </w:p>
    <w:p>
      <w:pPr>
        <w:ind w:left="740" w:right="20"/>
        <w:spacing w:after="0" w:line="286" w:lineRule="auto"/>
        <w:rPr>
          <w:sz w:val="20"/>
          <w:szCs w:val="20"/>
          <w:color w:val="auto"/>
        </w:rPr>
      </w:pPr>
      <w:r>
        <w:rPr>
          <w:rFonts w:ascii="Arial" w:cs="Arial" w:eastAsia="Arial" w:hAnsi="Arial"/>
          <w:sz w:val="16"/>
          <w:szCs w:val="16"/>
          <w:color w:val="auto"/>
        </w:rPr>
        <w:t>The following graphics reflect the components of the target total direct compensation opportunities provided to our named executive officers.</w:t>
      </w:r>
    </w:p>
    <w:p>
      <w:pPr>
        <w:spacing w:after="0" w:line="3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003763"/>
        </w:rPr>
        <w:t>TARGET COMPENSATION MIX AS OF DECEMBER 31, 2024</w:t>
      </w:r>
    </w:p>
    <w:p>
      <w:pPr>
        <w:spacing w:after="0" w:line="5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126365</wp:posOffset>
            </wp:positionV>
            <wp:extent cx="5503545" cy="19799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0354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40" w:right="220" w:hanging="109"/>
        <w:spacing w:after="0" w:line="330" w:lineRule="auto"/>
        <w:tabs>
          <w:tab w:leader="none" w:pos="8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graphic represents the average size of each component as a percentage of each named executive officer’s total target direct compensation opportunities (other than the Chief Executive Officer’s and Ms. Wilson’s) as of December 31, 2024, approved by the Human Capital and Compensation Committee in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2024 Executive Compensation Program</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Target Compensation Opportunities for Named Executive Officers</w:t>
      </w:r>
    </w:p>
    <w:p>
      <w:pPr>
        <w:spacing w:after="0" w:line="122"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The overall objectives and structure of our ongoing executive compensation program for our named executive officers remained largely unchanged in 2024 as compared to 2023. In connection with Mr. Wells’ appointment as President and Chief Executive Officer, the Human Capital and Compensation Committee and the other independent directors of the Board approved, effective January 5, 2024, the following compensation arrangements for Mr. Wells: (i) an annual base salary of $1,150,000 and (ii) short-term and long-term incentive plan target award levels of 125% and 500%, respectively, of his base salary. Additionally, in February 2024, the Human Capital and Compensation Committee reviewed the base salary and short-term and long-term incentive targets for each of our other named executive officers and determined their respective levels to provide each officer a competitive total direct target compensation opportunity as shown below.</w:t>
      </w:r>
    </w:p>
    <w:p>
      <w:pPr>
        <w:spacing w:after="0" w:line="164"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2340" w:type="dxa"/>
            <w:vAlign w:val="bottom"/>
            <w:shd w:val="clear" w:color="auto" w:fill="003763"/>
          </w:tcPr>
          <w:p>
            <w:pPr>
              <w:spacing w:after="0"/>
              <w:rPr>
                <w:sz w:val="14"/>
                <w:szCs w:val="14"/>
                <w:color w:val="auto"/>
              </w:rPr>
            </w:pPr>
          </w:p>
        </w:tc>
        <w:tc>
          <w:tcPr>
            <w:tcW w:w="1120" w:type="dxa"/>
            <w:vAlign w:val="bottom"/>
            <w:shd w:val="clear" w:color="auto" w:fill="003763"/>
          </w:tcPr>
          <w:p>
            <w:pPr>
              <w:spacing w:after="0"/>
              <w:rPr>
                <w:sz w:val="14"/>
                <w:szCs w:val="14"/>
                <w:color w:val="auto"/>
              </w:rPr>
            </w:pPr>
          </w:p>
        </w:tc>
        <w:tc>
          <w:tcPr>
            <w:tcW w:w="60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7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2024</w:t>
            </w:r>
          </w:p>
        </w:tc>
        <w:tc>
          <w:tcPr>
            <w:tcW w:w="40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7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2024</w:t>
            </w:r>
          </w:p>
        </w:tc>
        <w:tc>
          <w:tcPr>
            <w:tcW w:w="400" w:type="dxa"/>
            <w:vAlign w:val="bottom"/>
            <w:shd w:val="clear" w:color="auto" w:fill="003763"/>
          </w:tcPr>
          <w:p>
            <w:pPr>
              <w:spacing w:after="0"/>
              <w:rPr>
                <w:sz w:val="14"/>
                <w:szCs w:val="14"/>
                <w:color w:val="auto"/>
              </w:rPr>
            </w:pPr>
          </w:p>
        </w:tc>
        <w:tc>
          <w:tcPr>
            <w:tcW w:w="600" w:type="dxa"/>
            <w:vAlign w:val="bottom"/>
            <w:shd w:val="clear" w:color="auto" w:fill="003763"/>
          </w:tcPr>
          <w:p>
            <w:pPr>
              <w:spacing w:after="0"/>
              <w:rPr>
                <w:sz w:val="14"/>
                <w:szCs w:val="14"/>
                <w:color w:val="auto"/>
              </w:rPr>
            </w:pPr>
          </w:p>
        </w:tc>
        <w:tc>
          <w:tcPr>
            <w:tcW w:w="108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2340" w:type="dxa"/>
            <w:vAlign w:val="bottom"/>
            <w:shd w:val="clear" w:color="auto" w:fill="003763"/>
          </w:tcPr>
          <w:p>
            <w:pPr>
              <w:spacing w:after="0"/>
              <w:rPr>
                <w:sz w:val="12"/>
                <w:szCs w:val="12"/>
                <w:color w:val="auto"/>
              </w:rPr>
            </w:pPr>
          </w:p>
        </w:tc>
        <w:tc>
          <w:tcPr>
            <w:tcW w:w="1120" w:type="dxa"/>
            <w:vAlign w:val="bottom"/>
            <w:shd w:val="clear" w:color="auto" w:fill="003763"/>
          </w:tcPr>
          <w:p>
            <w:pPr>
              <w:spacing w:after="0"/>
              <w:rPr>
                <w:sz w:val="12"/>
                <w:szCs w:val="12"/>
                <w:color w:val="auto"/>
              </w:rPr>
            </w:pPr>
          </w:p>
        </w:tc>
        <w:tc>
          <w:tcPr>
            <w:tcW w:w="60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7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Short-term</w:t>
            </w:r>
          </w:p>
        </w:tc>
        <w:tc>
          <w:tcPr>
            <w:tcW w:w="400" w:type="dxa"/>
            <w:vAlign w:val="bottom"/>
            <w:shd w:val="clear" w:color="auto" w:fill="003763"/>
          </w:tcPr>
          <w:p>
            <w:pPr>
              <w:spacing w:after="0"/>
              <w:rPr>
                <w:sz w:val="12"/>
                <w:szCs w:val="12"/>
                <w:color w:val="auto"/>
              </w:rPr>
            </w:pPr>
          </w:p>
        </w:tc>
        <w:tc>
          <w:tcPr>
            <w:tcW w:w="62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2024</w:t>
            </w:r>
          </w:p>
        </w:tc>
        <w:tc>
          <w:tcPr>
            <w:tcW w:w="240" w:type="dxa"/>
            <w:vAlign w:val="bottom"/>
            <w:shd w:val="clear" w:color="auto" w:fill="003763"/>
          </w:tcPr>
          <w:p>
            <w:pPr>
              <w:spacing w:after="0"/>
              <w:rPr>
                <w:sz w:val="12"/>
                <w:szCs w:val="12"/>
                <w:color w:val="auto"/>
              </w:rPr>
            </w:pPr>
          </w:p>
        </w:tc>
        <w:tc>
          <w:tcPr>
            <w:tcW w:w="7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Long-term</w:t>
            </w:r>
          </w:p>
        </w:tc>
        <w:tc>
          <w:tcPr>
            <w:tcW w:w="40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93"/>
              <w:spacing w:after="0"/>
              <w:rPr>
                <w:sz w:val="20"/>
                <w:szCs w:val="20"/>
                <w:color w:val="auto"/>
              </w:rPr>
            </w:pPr>
            <w:r>
              <w:rPr>
                <w:rFonts w:ascii="Arial" w:cs="Arial" w:eastAsia="Arial" w:hAnsi="Arial"/>
                <w:sz w:val="13"/>
                <w:szCs w:val="13"/>
                <w:b w:val="1"/>
                <w:bCs w:val="1"/>
                <w:color w:val="FFFFFF"/>
                <w:w w:val="96"/>
              </w:rPr>
              <w:t>2024</w:t>
            </w:r>
          </w:p>
        </w:tc>
        <w:tc>
          <w:tcPr>
            <w:tcW w:w="1080" w:type="dxa"/>
            <w:vAlign w:val="bottom"/>
            <w:shd w:val="clear" w:color="auto" w:fill="003763"/>
          </w:tcPr>
          <w:p>
            <w:pPr>
              <w:jc w:val="center"/>
              <w:ind w:left="180"/>
              <w:spacing w:after="0"/>
              <w:rPr>
                <w:sz w:val="20"/>
                <w:szCs w:val="20"/>
                <w:color w:val="auto"/>
              </w:rPr>
            </w:pPr>
            <w:r>
              <w:rPr>
                <w:rFonts w:ascii="Arial" w:cs="Arial" w:eastAsia="Arial" w:hAnsi="Arial"/>
                <w:sz w:val="13"/>
                <w:szCs w:val="13"/>
                <w:b w:val="1"/>
                <w:bCs w:val="1"/>
                <w:color w:val="FFFFFF"/>
                <w:w w:val="96"/>
              </w:rPr>
              <w:t>2024</w:t>
            </w:r>
          </w:p>
        </w:tc>
        <w:tc>
          <w:tcPr>
            <w:tcW w:w="12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2340" w:type="dxa"/>
            <w:vAlign w:val="bottom"/>
            <w:shd w:val="clear" w:color="auto" w:fill="003763"/>
          </w:tcPr>
          <w:p>
            <w:pPr>
              <w:spacing w:after="0"/>
              <w:rPr>
                <w:sz w:val="14"/>
                <w:szCs w:val="14"/>
                <w:color w:val="auto"/>
              </w:rPr>
            </w:pPr>
          </w:p>
        </w:tc>
        <w:tc>
          <w:tcPr>
            <w:tcW w:w="1120" w:type="dxa"/>
            <w:vAlign w:val="bottom"/>
            <w:shd w:val="clear" w:color="auto" w:fill="003763"/>
          </w:tcPr>
          <w:p>
            <w:pPr>
              <w:spacing w:after="0"/>
              <w:rPr>
                <w:sz w:val="14"/>
                <w:szCs w:val="14"/>
                <w:color w:val="auto"/>
              </w:rPr>
            </w:pPr>
          </w:p>
        </w:tc>
        <w:tc>
          <w:tcPr>
            <w:tcW w:w="60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7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020" w:type="dxa"/>
            <w:vAlign w:val="bottom"/>
            <w:gridSpan w:val="2"/>
            <w:shd w:val="clear" w:color="auto" w:fill="003763"/>
          </w:tcPr>
          <w:p>
            <w:pPr>
              <w:ind w:left="320"/>
              <w:spacing w:after="0"/>
              <w:rPr>
                <w:sz w:val="20"/>
                <w:szCs w:val="20"/>
                <w:color w:val="auto"/>
              </w:rPr>
            </w:pPr>
            <w:r>
              <w:rPr>
                <w:rFonts w:ascii="Arial" w:cs="Arial" w:eastAsia="Arial" w:hAnsi="Arial"/>
                <w:sz w:val="13"/>
                <w:szCs w:val="13"/>
                <w:b w:val="1"/>
                <w:bCs w:val="1"/>
                <w:color w:val="FFFFFF"/>
              </w:rPr>
              <w:t>Short-term</w:t>
            </w:r>
          </w:p>
        </w:tc>
        <w:tc>
          <w:tcPr>
            <w:tcW w:w="240" w:type="dxa"/>
            <w:vAlign w:val="bottom"/>
            <w:shd w:val="clear" w:color="auto" w:fill="003763"/>
          </w:tcPr>
          <w:p>
            <w:pPr>
              <w:spacing w:after="0"/>
              <w:rPr>
                <w:sz w:val="14"/>
                <w:szCs w:val="14"/>
                <w:color w:val="auto"/>
              </w:rPr>
            </w:pPr>
          </w:p>
        </w:tc>
        <w:tc>
          <w:tcPr>
            <w:tcW w:w="7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000" w:type="dxa"/>
            <w:vAlign w:val="bottom"/>
            <w:gridSpan w:val="2"/>
            <w:shd w:val="clear" w:color="auto" w:fill="003763"/>
          </w:tcPr>
          <w:p>
            <w:pPr>
              <w:jc w:val="center"/>
              <w:ind w:left="201"/>
              <w:spacing w:after="0"/>
              <w:rPr>
                <w:sz w:val="20"/>
                <w:szCs w:val="20"/>
                <w:color w:val="auto"/>
              </w:rPr>
            </w:pPr>
            <w:r>
              <w:rPr>
                <w:rFonts w:ascii="Arial" w:cs="Arial" w:eastAsia="Arial" w:hAnsi="Arial"/>
                <w:sz w:val="13"/>
                <w:szCs w:val="13"/>
                <w:b w:val="1"/>
                <w:bCs w:val="1"/>
                <w:color w:val="FFFFFF"/>
                <w:w w:val="96"/>
              </w:rPr>
              <w:t>Long-term</w:t>
            </w:r>
          </w:p>
        </w:tc>
        <w:tc>
          <w:tcPr>
            <w:tcW w:w="1080" w:type="dxa"/>
            <w:vAlign w:val="bottom"/>
            <w:shd w:val="clear" w:color="auto" w:fill="003763"/>
          </w:tcPr>
          <w:p>
            <w:pPr>
              <w:ind w:left="320"/>
              <w:spacing w:after="0"/>
              <w:rPr>
                <w:sz w:val="20"/>
                <w:szCs w:val="20"/>
                <w:color w:val="auto"/>
              </w:rPr>
            </w:pPr>
            <w:r>
              <w:rPr>
                <w:rFonts w:ascii="Arial" w:cs="Arial" w:eastAsia="Arial" w:hAnsi="Arial"/>
                <w:sz w:val="13"/>
                <w:szCs w:val="13"/>
                <w:b w:val="1"/>
                <w:bCs w:val="1"/>
                <w:color w:val="FFFFFF"/>
              </w:rPr>
              <w:t>Total Direct</w:t>
            </w:r>
          </w:p>
        </w:tc>
        <w:tc>
          <w:tcPr>
            <w:tcW w:w="12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2340" w:type="dxa"/>
            <w:vAlign w:val="bottom"/>
            <w:shd w:val="clear" w:color="auto" w:fill="003763"/>
          </w:tcPr>
          <w:p>
            <w:pPr>
              <w:spacing w:after="0"/>
              <w:rPr>
                <w:sz w:val="12"/>
                <w:szCs w:val="12"/>
                <w:color w:val="auto"/>
              </w:rPr>
            </w:pPr>
          </w:p>
        </w:tc>
        <w:tc>
          <w:tcPr>
            <w:tcW w:w="1120" w:type="dxa"/>
            <w:vAlign w:val="bottom"/>
            <w:shd w:val="clear" w:color="auto" w:fill="003763"/>
          </w:tcPr>
          <w:p>
            <w:pPr>
              <w:spacing w:after="0"/>
              <w:rPr>
                <w:sz w:val="12"/>
                <w:szCs w:val="12"/>
                <w:color w:val="auto"/>
              </w:rPr>
            </w:pPr>
          </w:p>
        </w:tc>
        <w:tc>
          <w:tcPr>
            <w:tcW w:w="60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2024</w:t>
            </w:r>
          </w:p>
        </w:tc>
        <w:tc>
          <w:tcPr>
            <w:tcW w:w="240" w:type="dxa"/>
            <w:vAlign w:val="bottom"/>
            <w:shd w:val="clear" w:color="auto" w:fill="003763"/>
          </w:tcPr>
          <w:p>
            <w:pPr>
              <w:spacing w:after="0"/>
              <w:rPr>
                <w:sz w:val="12"/>
                <w:szCs w:val="12"/>
                <w:color w:val="auto"/>
              </w:rPr>
            </w:pPr>
          </w:p>
        </w:tc>
        <w:tc>
          <w:tcPr>
            <w:tcW w:w="7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400" w:type="dxa"/>
            <w:vAlign w:val="bottom"/>
            <w:shd w:val="clear" w:color="auto" w:fill="003763"/>
          </w:tcPr>
          <w:p>
            <w:pPr>
              <w:spacing w:after="0"/>
              <w:rPr>
                <w:sz w:val="12"/>
                <w:szCs w:val="12"/>
                <w:color w:val="auto"/>
              </w:rPr>
            </w:pPr>
          </w:p>
        </w:tc>
        <w:tc>
          <w:tcPr>
            <w:tcW w:w="62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Target</w:t>
            </w:r>
          </w:p>
        </w:tc>
        <w:tc>
          <w:tcPr>
            <w:tcW w:w="240" w:type="dxa"/>
            <w:vAlign w:val="bottom"/>
            <w:shd w:val="clear" w:color="auto" w:fill="003763"/>
          </w:tcPr>
          <w:p>
            <w:pPr>
              <w:spacing w:after="0"/>
              <w:rPr>
                <w:sz w:val="12"/>
                <w:szCs w:val="12"/>
                <w:color w:val="auto"/>
              </w:rPr>
            </w:pPr>
          </w:p>
        </w:tc>
        <w:tc>
          <w:tcPr>
            <w:tcW w:w="7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40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93"/>
              <w:spacing w:after="0"/>
              <w:rPr>
                <w:sz w:val="20"/>
                <w:szCs w:val="20"/>
                <w:color w:val="auto"/>
              </w:rPr>
            </w:pPr>
            <w:r>
              <w:rPr>
                <w:rFonts w:ascii="Arial" w:cs="Arial" w:eastAsia="Arial" w:hAnsi="Arial"/>
                <w:sz w:val="13"/>
                <w:szCs w:val="13"/>
                <w:b w:val="1"/>
                <w:bCs w:val="1"/>
                <w:color w:val="FFFFFF"/>
                <w:w w:val="90"/>
              </w:rPr>
              <w:t>Target</w:t>
            </w:r>
          </w:p>
        </w:tc>
        <w:tc>
          <w:tcPr>
            <w:tcW w:w="1080" w:type="dxa"/>
            <w:vAlign w:val="bottom"/>
            <w:shd w:val="clear" w:color="auto" w:fill="003763"/>
          </w:tcPr>
          <w:p>
            <w:pPr>
              <w:jc w:val="center"/>
              <w:ind w:left="180"/>
              <w:spacing w:after="0"/>
              <w:rPr>
                <w:sz w:val="20"/>
                <w:szCs w:val="20"/>
                <w:color w:val="auto"/>
              </w:rPr>
            </w:pPr>
            <w:r>
              <w:rPr>
                <w:rFonts w:ascii="Arial" w:cs="Arial" w:eastAsia="Arial" w:hAnsi="Arial"/>
                <w:sz w:val="13"/>
                <w:szCs w:val="13"/>
                <w:b w:val="1"/>
                <w:bCs w:val="1"/>
                <w:color w:val="FFFFFF"/>
                <w:w w:val="90"/>
              </w:rPr>
              <w:t>Target</w:t>
            </w:r>
          </w:p>
        </w:tc>
        <w:tc>
          <w:tcPr>
            <w:tcW w:w="12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Name</w:t>
            </w:r>
            <w:r>
              <w:rPr>
                <w:rFonts w:ascii="Arial" w:cs="Arial" w:eastAsia="Arial" w:hAnsi="Arial"/>
                <w:sz w:val="16"/>
                <w:szCs w:val="16"/>
                <w:b w:val="1"/>
                <w:bCs w:val="1"/>
                <w:color w:val="FFFFFF"/>
                <w:vertAlign w:val="superscript"/>
              </w:rPr>
              <w:t>(1)</w:t>
            </w:r>
          </w:p>
        </w:tc>
        <w:tc>
          <w:tcPr>
            <w:tcW w:w="1720" w:type="dxa"/>
            <w:vAlign w:val="bottom"/>
            <w:gridSpan w:val="2"/>
            <w:shd w:val="clear" w:color="auto" w:fill="003763"/>
          </w:tcPr>
          <w:p>
            <w:pPr>
              <w:ind w:left="820"/>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Base Salary</w:t>
            </w:r>
          </w:p>
        </w:tc>
        <w:tc>
          <w:tcPr>
            <w:tcW w:w="1960" w:type="dxa"/>
            <w:vAlign w:val="bottom"/>
            <w:gridSpan w:val="4"/>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 of Salary) </w:t>
            </w: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Opportunity</w:t>
            </w:r>
          </w:p>
        </w:tc>
        <w:tc>
          <w:tcPr>
            <w:tcW w:w="1960" w:type="dxa"/>
            <w:vAlign w:val="bottom"/>
            <w:gridSpan w:val="4"/>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 of Salary) </w:t>
            </w: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Opportunity</w:t>
            </w:r>
          </w:p>
        </w:tc>
        <w:tc>
          <w:tcPr>
            <w:tcW w:w="120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Compensation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0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Jason P. Wells</w:t>
            </w:r>
          </w:p>
        </w:tc>
        <w:tc>
          <w:tcPr>
            <w:tcW w:w="1720" w:type="dxa"/>
            <w:vAlign w:val="bottom"/>
            <w:gridSpan w:val="2"/>
          </w:tcPr>
          <w:p>
            <w:pPr>
              <w:ind w:left="980"/>
              <w:spacing w:after="0"/>
              <w:rPr>
                <w:sz w:val="20"/>
                <w:szCs w:val="20"/>
                <w:color w:val="auto"/>
              </w:rPr>
            </w:pPr>
            <w:r>
              <w:rPr>
                <w:rFonts w:ascii="Arial" w:cs="Arial" w:eastAsia="Arial" w:hAnsi="Arial"/>
                <w:sz w:val="14"/>
                <w:szCs w:val="14"/>
                <w:color w:val="auto"/>
              </w:rPr>
              <w:t>$1,150,000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​125%</w:t>
            </w:r>
          </w:p>
        </w:tc>
        <w:tc>
          <w:tcPr>
            <w:tcW w:w="1020" w:type="dxa"/>
            <w:vAlign w:val="bottom"/>
            <w:gridSpan w:val="2"/>
          </w:tcPr>
          <w:p>
            <w:pPr>
              <w:ind w:left="280"/>
              <w:spacing w:after="0"/>
              <w:rPr>
                <w:sz w:val="20"/>
                <w:szCs w:val="20"/>
                <w:color w:val="auto"/>
              </w:rPr>
            </w:pPr>
            <w:r>
              <w:rPr>
                <w:rFonts w:ascii="Arial" w:cs="Arial" w:eastAsia="Arial" w:hAnsi="Arial"/>
                <w:sz w:val="14"/>
                <w:szCs w:val="14"/>
                <w:color w:val="auto"/>
              </w:rPr>
              <w:t>$1,437,500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​500%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$5,750,000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rPr>
              <w:t>$8,337,500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Christopher A. Foster</w:t>
            </w:r>
          </w:p>
        </w:tc>
        <w:tc>
          <w:tcPr>
            <w:tcW w:w="112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tcPr>
          <w:p>
            <w:pPr>
              <w:ind w:left="80"/>
              <w:spacing w:after="0"/>
              <w:rPr>
                <w:sz w:val="20"/>
                <w:szCs w:val="20"/>
                <w:color w:val="auto"/>
              </w:rPr>
            </w:pPr>
            <w:r>
              <w:rPr>
                <w:rFonts w:ascii="Arial" w:cs="Arial" w:eastAsia="Arial" w:hAnsi="Arial"/>
                <w:sz w:val="14"/>
                <w:szCs w:val="14"/>
                <w:color w:val="auto"/>
                <w:w w:val="98"/>
              </w:rPr>
              <w:t>725,000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 80%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ind w:left="100"/>
              <w:spacing w:after="0"/>
              <w:rPr>
                <w:sz w:val="20"/>
                <w:szCs w:val="20"/>
                <w:color w:val="auto"/>
              </w:rPr>
            </w:pPr>
            <w:r>
              <w:rPr>
                <w:rFonts w:ascii="Arial" w:cs="Arial" w:eastAsia="Arial" w:hAnsi="Arial"/>
                <w:sz w:val="14"/>
                <w:szCs w:val="14"/>
                <w:color w:val="auto"/>
                <w:w w:val="98"/>
              </w:rPr>
              <w:t>580,000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​260%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$1,885,000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rPr>
              <w:t>$3,190,000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Monica Karuturi</w:t>
            </w:r>
          </w:p>
        </w:tc>
        <w:tc>
          <w:tcPr>
            <w:tcW w:w="112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tcPr>
          <w:p>
            <w:pPr>
              <w:ind w:left="80"/>
              <w:spacing w:after="0"/>
              <w:rPr>
                <w:sz w:val="20"/>
                <w:szCs w:val="20"/>
                <w:color w:val="auto"/>
              </w:rPr>
            </w:pPr>
            <w:r>
              <w:rPr>
                <w:rFonts w:ascii="Arial" w:cs="Arial" w:eastAsia="Arial" w:hAnsi="Arial"/>
                <w:sz w:val="14"/>
                <w:szCs w:val="14"/>
                <w:color w:val="auto"/>
                <w:w w:val="98"/>
              </w:rPr>
              <w:t>725,000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 80%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ind w:left="100"/>
              <w:spacing w:after="0"/>
              <w:rPr>
                <w:sz w:val="20"/>
                <w:szCs w:val="20"/>
                <w:color w:val="auto"/>
              </w:rPr>
            </w:pPr>
            <w:r>
              <w:rPr>
                <w:rFonts w:ascii="Arial" w:cs="Arial" w:eastAsia="Arial" w:hAnsi="Arial"/>
                <w:sz w:val="14"/>
                <w:szCs w:val="14"/>
                <w:color w:val="auto"/>
                <w:w w:val="98"/>
              </w:rPr>
              <w:t>580,000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​260%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$1,885,000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rPr>
              <w:t>$3,190,000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Jason M. Ryan</w:t>
            </w:r>
          </w:p>
        </w:tc>
        <w:tc>
          <w:tcPr>
            <w:tcW w:w="112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tcPr>
          <w:p>
            <w:pPr>
              <w:ind w:left="80"/>
              <w:spacing w:after="0"/>
              <w:rPr>
                <w:sz w:val="20"/>
                <w:szCs w:val="20"/>
                <w:color w:val="auto"/>
              </w:rPr>
            </w:pPr>
            <w:r>
              <w:rPr>
                <w:rFonts w:ascii="Arial" w:cs="Arial" w:eastAsia="Arial" w:hAnsi="Arial"/>
                <w:sz w:val="14"/>
                <w:szCs w:val="14"/>
                <w:color w:val="auto"/>
                <w:w w:val="98"/>
              </w:rPr>
              <w:t>525,000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 70%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ind w:left="100"/>
              <w:spacing w:after="0"/>
              <w:rPr>
                <w:sz w:val="20"/>
                <w:szCs w:val="20"/>
                <w:color w:val="auto"/>
              </w:rPr>
            </w:pPr>
            <w:r>
              <w:rPr>
                <w:rFonts w:ascii="Arial" w:cs="Arial" w:eastAsia="Arial" w:hAnsi="Arial"/>
                <w:sz w:val="14"/>
                <w:szCs w:val="14"/>
                <w:color w:val="auto"/>
                <w:w w:val="98"/>
              </w:rPr>
              <w:t>367,500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​200%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$1,050,000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rPr>
              <w:t>$1,942,500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Lynne Harkel-Rumford</w:t>
            </w:r>
          </w:p>
        </w:tc>
        <w:tc>
          <w:tcPr>
            <w:tcW w:w="112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tcPr>
          <w:p>
            <w:pPr>
              <w:ind w:left="80"/>
              <w:spacing w:after="0"/>
              <w:rPr>
                <w:sz w:val="20"/>
                <w:szCs w:val="20"/>
                <w:color w:val="auto"/>
              </w:rPr>
            </w:pPr>
            <w:r>
              <w:rPr>
                <w:rFonts w:ascii="Arial" w:cs="Arial" w:eastAsia="Arial" w:hAnsi="Arial"/>
                <w:sz w:val="14"/>
                <w:szCs w:val="14"/>
                <w:color w:val="auto"/>
                <w:w w:val="98"/>
              </w:rPr>
              <w:t>475,000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 70%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ind w:left="100"/>
              <w:spacing w:after="0"/>
              <w:rPr>
                <w:sz w:val="20"/>
                <w:szCs w:val="20"/>
                <w:color w:val="auto"/>
              </w:rPr>
            </w:pPr>
            <w:r>
              <w:rPr>
                <w:rFonts w:ascii="Arial" w:cs="Arial" w:eastAsia="Arial" w:hAnsi="Arial"/>
                <w:sz w:val="14"/>
                <w:szCs w:val="14"/>
                <w:color w:val="auto"/>
                <w:w w:val="98"/>
              </w:rPr>
              <w:t>332,500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​200%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950,000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rPr>
              <w:t>$1,757,500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340" w:type="dxa"/>
            <w:vAlign w:val="bottom"/>
          </w:tcPr>
          <w:p>
            <w:pPr>
              <w:spacing w:after="0"/>
              <w:rPr>
                <w:sz w:val="20"/>
                <w:szCs w:val="20"/>
                <w:color w:val="auto"/>
              </w:rPr>
            </w:pPr>
            <w:r>
              <w:rPr>
                <w:rFonts w:ascii="Arial" w:cs="Arial" w:eastAsia="Arial" w:hAnsi="Arial"/>
                <w:sz w:val="14"/>
                <w:szCs w:val="14"/>
                <w:b w:val="1"/>
                <w:bCs w:val="1"/>
                <w:color w:val="auto"/>
              </w:rPr>
              <w:t>Lynnae K. Wilson</w:t>
            </w:r>
            <w:r>
              <w:rPr>
                <w:rFonts w:ascii="Arial" w:cs="Arial" w:eastAsia="Arial" w:hAnsi="Arial"/>
                <w:sz w:val="17"/>
                <w:szCs w:val="17"/>
                <w:b w:val="1"/>
                <w:bCs w:val="1"/>
                <w:color w:val="auto"/>
                <w:vertAlign w:val="superscript"/>
              </w:rPr>
              <w:t>(2)</w:t>
            </w:r>
          </w:p>
        </w:tc>
        <w:tc>
          <w:tcPr>
            <w:tcW w:w="1120" w:type="dxa"/>
            <w:vAlign w:val="bottom"/>
          </w:tcPr>
          <w:p>
            <w:pPr>
              <w:ind w:left="980"/>
              <w:spacing w:after="0"/>
              <w:rPr>
                <w:sz w:val="20"/>
                <w:szCs w:val="20"/>
                <w:color w:val="auto"/>
              </w:rPr>
            </w:pPr>
            <w:r>
              <w:rPr>
                <w:rFonts w:ascii="Arial" w:cs="Arial" w:eastAsia="Arial" w:hAnsi="Arial"/>
                <w:sz w:val="14"/>
                <w:szCs w:val="14"/>
                <w:color w:val="auto"/>
              </w:rPr>
              <w:t>$</w:t>
            </w:r>
          </w:p>
        </w:tc>
        <w:tc>
          <w:tcPr>
            <w:tcW w:w="600" w:type="dxa"/>
            <w:vAlign w:val="bottom"/>
          </w:tcPr>
          <w:p>
            <w:pPr>
              <w:ind w:left="80"/>
              <w:spacing w:after="0"/>
              <w:rPr>
                <w:sz w:val="20"/>
                <w:szCs w:val="20"/>
                <w:color w:val="auto"/>
              </w:rPr>
            </w:pPr>
            <w:r>
              <w:rPr>
                <w:rFonts w:ascii="Arial" w:cs="Arial" w:eastAsia="Arial" w:hAnsi="Arial"/>
                <w:sz w:val="14"/>
                <w:szCs w:val="14"/>
                <w:color w:val="auto"/>
                <w:w w:val="98"/>
              </w:rPr>
              <w:t>465,000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700" w:type="dxa"/>
            <w:vAlign w:val="bottom"/>
          </w:tcPr>
          <w:p>
            <w:pPr>
              <w:ind w:left="240"/>
              <w:spacing w:after="0"/>
              <w:rPr>
                <w:sz w:val="20"/>
                <w:szCs w:val="20"/>
                <w:color w:val="auto"/>
              </w:rPr>
            </w:pPr>
            <w:r>
              <w:rPr>
                <w:rFonts w:ascii="Arial" w:cs="Arial" w:eastAsia="Arial" w:hAnsi="Arial"/>
                <w:sz w:val="14"/>
                <w:szCs w:val="14"/>
                <w:color w:val="auto"/>
              </w:rPr>
              <w:t>​ 65%</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ind w:left="100"/>
              <w:spacing w:after="0"/>
              <w:rPr>
                <w:sz w:val="20"/>
                <w:szCs w:val="20"/>
                <w:color w:val="auto"/>
              </w:rPr>
            </w:pPr>
            <w:r>
              <w:rPr>
                <w:rFonts w:ascii="Arial" w:cs="Arial" w:eastAsia="Arial" w:hAnsi="Arial"/>
                <w:sz w:val="14"/>
                <w:szCs w:val="14"/>
                <w:color w:val="auto"/>
                <w:w w:val="98"/>
              </w:rPr>
              <w:t>302,250</w:t>
            </w:r>
          </w:p>
        </w:tc>
        <w:tc>
          <w:tcPr>
            <w:tcW w:w="240" w:type="dxa"/>
            <w:vAlign w:val="bottom"/>
            <w:vMerge w:val="restart"/>
          </w:tcPr>
          <w:p>
            <w:pPr>
              <w:spacing w:after="0"/>
              <w:rPr>
                <w:sz w:val="20"/>
                <w:szCs w:val="20"/>
                <w:color w:val="auto"/>
              </w:rPr>
            </w:pPr>
            <w:r>
              <w:rPr>
                <w:rFonts w:ascii="Arial" w:cs="Arial" w:eastAsia="Arial" w:hAnsi="Arial"/>
                <w:sz w:val="14"/>
                <w:szCs w:val="14"/>
                <w:color w:val="auto"/>
              </w:rPr>
              <w:t>​ ​ ​</w:t>
            </w:r>
          </w:p>
        </w:tc>
        <w:tc>
          <w:tcPr>
            <w:tcW w:w="720" w:type="dxa"/>
            <w:vAlign w:val="bottom"/>
          </w:tcPr>
          <w:p>
            <w:pPr>
              <w:ind w:left="260"/>
              <w:spacing w:after="0"/>
              <w:rPr>
                <w:sz w:val="20"/>
                <w:szCs w:val="20"/>
                <w:color w:val="auto"/>
              </w:rPr>
            </w:pPr>
            <w:r>
              <w:rPr>
                <w:rFonts w:ascii="Arial" w:cs="Arial" w:eastAsia="Arial" w:hAnsi="Arial"/>
                <w:sz w:val="14"/>
                <w:szCs w:val="14"/>
                <w:color w:val="auto"/>
              </w:rPr>
              <w:t>​160%</w:t>
            </w: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744,000</w:t>
            </w:r>
          </w:p>
        </w:tc>
        <w:tc>
          <w:tcPr>
            <w:tcW w:w="1080" w:type="dxa"/>
            <w:vAlign w:val="bottom"/>
          </w:tcPr>
          <w:p>
            <w:pPr>
              <w:jc w:val="center"/>
              <w:ind w:left="220"/>
              <w:spacing w:after="0"/>
              <w:rPr>
                <w:sz w:val="20"/>
                <w:szCs w:val="20"/>
                <w:color w:val="auto"/>
              </w:rPr>
            </w:pPr>
            <w:r>
              <w:rPr>
                <w:rFonts w:ascii="Arial" w:cs="Arial" w:eastAsia="Arial" w:hAnsi="Arial"/>
                <w:sz w:val="14"/>
                <w:szCs w:val="14"/>
                <w:color w:val="auto"/>
                <w:w w:val="97"/>
              </w:rPr>
              <w:t>$ 1,511,250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234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ind w:left="82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00" w:type="dxa"/>
            <w:vAlign w:val="bottom"/>
            <w:tcBorders>
              <w:bottom w:val="single" w:sz="8" w:color="CCCCCC"/>
            </w:tcBorders>
          </w:tcPr>
          <w:p>
            <w:pPr>
              <w:ind w:left="24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60"/>
              <w:spacing w:after="0" w:line="81" w:lineRule="exact"/>
              <w:rPr>
                <w:sz w:val="20"/>
                <w:szCs w:val="20"/>
                <w:color w:val="auto"/>
              </w:rPr>
            </w:pPr>
            <w:r>
              <w:rPr>
                <w:rFonts w:ascii="Arial" w:cs="Arial" w:eastAsia="Arial" w:hAnsi="Arial"/>
                <w:sz w:val="9"/>
                <w:szCs w:val="9"/>
                <w:color w:val="auto"/>
              </w:rPr>
              <w:t>​​ ​ ​</w:t>
            </w:r>
          </w:p>
        </w:tc>
        <w:tc>
          <w:tcPr>
            <w:tcW w:w="62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720" w:type="dxa"/>
            <w:vAlign w:val="bottom"/>
            <w:tcBorders>
              <w:bottom w:val="single" w:sz="8" w:color="CCCCCC"/>
            </w:tcBorders>
          </w:tcPr>
          <w:p>
            <w:pPr>
              <w:ind w:left="26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CCCCCC"/>
            </w:tcBorders>
          </w:tcPr>
          <w:p>
            <w:pPr>
              <w:ind w:left="40"/>
              <w:spacing w:after="0" w:line="81" w:lineRule="exact"/>
              <w:rPr>
                <w:sz w:val="20"/>
                <w:szCs w:val="20"/>
                <w:color w:val="auto"/>
              </w:rPr>
            </w:pPr>
            <w:r>
              <w:rPr>
                <w:rFonts w:ascii="Arial" w:cs="Arial" w:eastAsia="Arial" w:hAnsi="Arial"/>
                <w:sz w:val="9"/>
                <w:szCs w:val="9"/>
                <w:color w:val="auto"/>
              </w:rPr>
              <w:t>​​ ​ ​</w:t>
            </w:r>
          </w:p>
        </w:tc>
        <w:tc>
          <w:tcPr>
            <w:tcW w:w="600" w:type="dxa"/>
            <w:vAlign w:val="bottom"/>
            <w:tcBorders>
              <w:bottom w:val="single" w:sz="8" w:color="CCCCCC"/>
            </w:tcBorders>
          </w:tcPr>
          <w:p>
            <w:pPr>
              <w:spacing w:after="0"/>
              <w:rPr>
                <w:sz w:val="7"/>
                <w:szCs w:val="7"/>
                <w:color w:val="auto"/>
              </w:rPr>
            </w:pPr>
          </w:p>
        </w:tc>
        <w:tc>
          <w:tcPr>
            <w:tcW w:w="1080" w:type="dxa"/>
            <w:vAlign w:val="bottom"/>
            <w:tcBorders>
              <w:bottom w:val="single" w:sz="8" w:color="CCCCCC"/>
            </w:tcBorders>
          </w:tcPr>
          <w:p>
            <w:pPr>
              <w:ind w:left="20"/>
              <w:spacing w:after="0" w:line="81" w:lineRule="exact"/>
              <w:rPr>
                <w:sz w:val="20"/>
                <w:szCs w:val="20"/>
                <w:color w:val="auto"/>
              </w:rPr>
            </w:pPr>
            <w:r>
              <w:rPr>
                <w:rFonts w:ascii="Arial" w:cs="Arial" w:eastAsia="Arial" w:hAnsi="Arial"/>
                <w:sz w:val="9"/>
                <w:szCs w:val="9"/>
                <w:color w:val="auto"/>
              </w:rPr>
              <w:t>​ ​ ​ ​</w:t>
            </w:r>
          </w:p>
        </w:tc>
        <w:tc>
          <w:tcPr>
            <w:tcW w:w="12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20" w:right="360" w:hanging="189"/>
        <w:spacing w:after="0" w:line="198" w:lineRule="auto"/>
        <w:tabs>
          <w:tab w:leader="none" w:pos="92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Mr. Lesar retired from his role of Chief Executive Officer on January 5, 2024, prior to the Human Capital and Compensation Committee reviewing and approving executive officer compensation for 2024.</w:t>
      </w:r>
    </w:p>
    <w:p>
      <w:pPr>
        <w:spacing w:after="0" w:line="1"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Ms. Wilson departed the Company on July 26, 2024.</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Base Salary</w:t>
      </w:r>
    </w:p>
    <w:p>
      <w:pPr>
        <w:spacing w:after="0" w:line="122"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w:t>
      </w:r>
    </w:p>
    <w:p>
      <w:pPr>
        <w:spacing w:after="0" w:line="100" w:lineRule="exact"/>
        <w:rPr>
          <w:sz w:val="20"/>
          <w:szCs w:val="20"/>
          <w:color w:val="auto"/>
        </w:rPr>
      </w:pPr>
    </w:p>
    <w:p>
      <w:pPr>
        <w:ind w:left="740" w:right="100"/>
        <w:spacing w:after="0" w:line="271" w:lineRule="auto"/>
        <w:rPr>
          <w:sz w:val="20"/>
          <w:szCs w:val="20"/>
          <w:color w:val="auto"/>
        </w:rPr>
      </w:pPr>
      <w:r>
        <w:rPr>
          <w:rFonts w:ascii="Arial" w:cs="Arial" w:eastAsia="Arial" w:hAnsi="Arial"/>
          <w:sz w:val="16"/>
          <w:szCs w:val="16"/>
          <w:color w:val="auto"/>
        </w:rPr>
        <w:t>Adjustments to base salary primarily reflect either changes or responses to changes in market data or increased experience and individual contribution of the employee. The typical date for making these adjustments is on or about April 1 of each year; however, adjustments may occur at other times during the year to recognize new responsibilities or new data regarding the market value of the job being performed.</w:t>
      </w:r>
    </w:p>
    <w:p>
      <w:pPr>
        <w:spacing w:after="0" w:line="114" w:lineRule="exact"/>
        <w:rPr>
          <w:sz w:val="20"/>
          <w:szCs w:val="20"/>
          <w:color w:val="auto"/>
        </w:rPr>
      </w:pPr>
    </w:p>
    <w:p>
      <w:pPr>
        <w:jc w:val="both"/>
        <w:ind w:left="740" w:right="320"/>
        <w:spacing w:after="0" w:line="275" w:lineRule="auto"/>
        <w:rPr>
          <w:sz w:val="20"/>
          <w:szCs w:val="20"/>
          <w:color w:val="auto"/>
        </w:rPr>
      </w:pPr>
      <w:r>
        <w:rPr>
          <w:rFonts w:ascii="Arial" w:cs="Arial" w:eastAsia="Arial" w:hAnsi="Arial"/>
          <w:sz w:val="16"/>
          <w:szCs w:val="16"/>
          <w:color w:val="auto"/>
        </w:rPr>
        <w:t>In February 2024, the Human Capital and Compensation Committee reviewed the base salary for each of our named executive officers and determined their respective base salaries in recognition of the scope of their respective roles and to align their base salaries with market benchmarks.</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235"/>
        </w:trPr>
        <w:tc>
          <w:tcPr>
            <w:tcW w:w="44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NAME</w:t>
            </w:r>
            <w:r>
              <w:rPr>
                <w:rFonts w:ascii="Arial" w:cs="Arial" w:eastAsia="Arial" w:hAnsi="Arial"/>
                <w:sz w:val="16"/>
                <w:szCs w:val="16"/>
                <w:b w:val="1"/>
                <w:bCs w:val="1"/>
                <w:color w:val="FFFFFF"/>
                <w:vertAlign w:val="superscript"/>
              </w:rPr>
              <w:t>(1)</w:t>
            </w:r>
          </w:p>
        </w:tc>
        <w:tc>
          <w:tcPr>
            <w:tcW w:w="4820" w:type="dxa"/>
            <w:vAlign w:val="bottom"/>
            <w:shd w:val="clear" w:color="auto" w:fill="003763"/>
          </w:tcPr>
          <w:p>
            <w:pPr>
              <w:jc w:val="center"/>
              <w:ind w:left="2489"/>
              <w:spacing w:after="0"/>
              <w:rPr>
                <w:sz w:val="20"/>
                <w:szCs w:val="20"/>
                <w:color w:val="auto"/>
              </w:rPr>
            </w:pPr>
            <w:r>
              <w:rPr>
                <w:rFonts w:ascii="Arial" w:cs="Arial" w:eastAsia="Arial" w:hAnsi="Arial"/>
                <w:sz w:val="13"/>
                <w:szCs w:val="13"/>
                <w:b w:val="1"/>
                <w:bCs w:val="1"/>
                <w:color w:val="FFFFFF"/>
                <w:w w:val="93"/>
              </w:rPr>
              <w:t>2024 BASE SALARY</w:t>
            </w:r>
          </w:p>
        </w:tc>
        <w:tc>
          <w:tcPr>
            <w:tcW w:w="0" w:type="dxa"/>
            <w:vAlign w:val="bottom"/>
          </w:tcPr>
          <w:p>
            <w:pPr>
              <w:spacing w:after="0"/>
              <w:rPr>
                <w:sz w:val="1"/>
                <w:szCs w:val="1"/>
                <w:color w:val="auto"/>
              </w:rPr>
            </w:pPr>
          </w:p>
        </w:tc>
      </w:tr>
      <w:tr>
        <w:trPr>
          <w:trHeight w:val="220"/>
        </w:trPr>
        <w:tc>
          <w:tcPr>
            <w:tcW w:w="4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Jason P. Wells</w:t>
            </w:r>
          </w:p>
        </w:tc>
        <w:tc>
          <w:tcPr>
            <w:tcW w:w="4820" w:type="dxa"/>
            <w:vAlign w:val="bottom"/>
          </w:tcPr>
          <w:p>
            <w:pPr>
              <w:jc w:val="center"/>
              <w:ind w:left="2449"/>
              <w:spacing w:after="0"/>
              <w:rPr>
                <w:sz w:val="20"/>
                <w:szCs w:val="20"/>
                <w:color w:val="auto"/>
              </w:rPr>
            </w:pPr>
            <w:r>
              <w:rPr>
                <w:rFonts w:ascii="Arial" w:cs="Arial" w:eastAsia="Arial" w:hAnsi="Arial"/>
                <w:sz w:val="14"/>
                <w:szCs w:val="14"/>
                <w:color w:val="auto"/>
                <w:w w:val="99"/>
              </w:rPr>
              <w:t>$1,150,000</w:t>
            </w:r>
          </w:p>
        </w:tc>
        <w:tc>
          <w:tcPr>
            <w:tcW w:w="0" w:type="dxa"/>
            <w:vAlign w:val="bottom"/>
          </w:tcPr>
          <w:p>
            <w:pPr>
              <w:spacing w:after="0"/>
              <w:rPr>
                <w:sz w:val="1"/>
                <w:szCs w:val="1"/>
                <w:color w:val="auto"/>
              </w:rPr>
            </w:pPr>
          </w:p>
        </w:tc>
      </w:tr>
      <w:tr>
        <w:trPr>
          <w:trHeight w:val="225"/>
        </w:trPr>
        <w:tc>
          <w:tcPr>
            <w:tcW w:w="4440" w:type="dxa"/>
            <w:vAlign w:val="bottom"/>
            <w:tcBorders>
              <w:bottom w:val="single" w:sz="8" w:color="CCCCCC"/>
            </w:tcBorders>
            <w:vMerge w:val="continue"/>
          </w:tcPr>
          <w:p>
            <w:pPr>
              <w:spacing w:after="0"/>
              <w:rPr>
                <w:sz w:val="19"/>
                <w:szCs w:val="19"/>
                <w:color w:val="auto"/>
              </w:rPr>
            </w:pPr>
          </w:p>
        </w:tc>
        <w:tc>
          <w:tcPr>
            <w:tcW w:w="4820" w:type="dxa"/>
            <w:vAlign w:val="bottom"/>
            <w:tcBorders>
              <w:bottom w:val="single" w:sz="8" w:color="CCCCCC"/>
            </w:tcBorders>
          </w:tcPr>
          <w:p>
            <w:pPr>
              <w:jc w:val="center"/>
              <w:ind w:left="2649"/>
              <w:spacing w:after="0"/>
              <w:rPr>
                <w:sz w:val="20"/>
                <w:szCs w:val="20"/>
                <w:color w:val="auto"/>
              </w:rPr>
            </w:pPr>
            <w:r>
              <w:rPr>
                <w:rFonts w:ascii="Arial" w:cs="Arial" w:eastAsia="Arial" w:hAnsi="Arial"/>
                <w:sz w:val="14"/>
                <w:szCs w:val="14"/>
                <w:color w:val="auto"/>
                <w:w w:val="99"/>
              </w:rPr>
              <w:t>(increase of 17% from 2023)</w:t>
            </w:r>
            <w:r>
              <w:rPr>
                <w:rFonts w:ascii="Arial" w:cs="Arial" w:eastAsia="Arial" w:hAnsi="Arial"/>
                <w:sz w:val="17"/>
                <w:szCs w:val="17"/>
                <w:color w:val="auto"/>
                <w:w w:val="99"/>
                <w:vertAlign w:val="superscript"/>
              </w:rPr>
              <w:t>(2)</w:t>
            </w:r>
          </w:p>
        </w:tc>
        <w:tc>
          <w:tcPr>
            <w:tcW w:w="0" w:type="dxa"/>
            <w:vAlign w:val="bottom"/>
          </w:tcPr>
          <w:p>
            <w:pPr>
              <w:spacing w:after="0"/>
              <w:rPr>
                <w:sz w:val="1"/>
                <w:szCs w:val="1"/>
                <w:color w:val="auto"/>
              </w:rPr>
            </w:pPr>
          </w:p>
        </w:tc>
      </w:tr>
      <w:tr>
        <w:trPr>
          <w:trHeight w:val="200"/>
        </w:trPr>
        <w:tc>
          <w:tcPr>
            <w:tcW w:w="4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Christopher A. Foster</w:t>
            </w:r>
          </w:p>
        </w:tc>
        <w:tc>
          <w:tcPr>
            <w:tcW w:w="4820" w:type="dxa"/>
            <w:vAlign w:val="bottom"/>
          </w:tcPr>
          <w:p>
            <w:pPr>
              <w:jc w:val="center"/>
              <w:ind w:left="2449"/>
              <w:spacing w:after="0"/>
              <w:rPr>
                <w:sz w:val="20"/>
                <w:szCs w:val="20"/>
                <w:color w:val="auto"/>
              </w:rPr>
            </w:pPr>
            <w:r>
              <w:rPr>
                <w:rFonts w:ascii="Arial" w:cs="Arial" w:eastAsia="Arial" w:hAnsi="Arial"/>
                <w:sz w:val="14"/>
                <w:szCs w:val="14"/>
                <w:color w:val="auto"/>
                <w:w w:val="99"/>
              </w:rPr>
              <w:t>$725,000</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4820" w:type="dxa"/>
            <w:vAlign w:val="bottom"/>
            <w:vMerge w:val="restart"/>
          </w:tcPr>
          <w:p>
            <w:pPr>
              <w:jc w:val="center"/>
              <w:ind w:left="2629"/>
              <w:spacing w:after="0"/>
              <w:rPr>
                <w:sz w:val="20"/>
                <w:szCs w:val="20"/>
                <w:color w:val="auto"/>
              </w:rPr>
            </w:pPr>
            <w:r>
              <w:rPr>
                <w:rFonts w:ascii="Arial" w:cs="Arial" w:eastAsia="Arial" w:hAnsi="Arial"/>
                <w:sz w:val="14"/>
                <w:szCs w:val="14"/>
                <w:color w:val="auto"/>
              </w:rPr>
              <w:t>(increase of 4% from 2023)</w:t>
            </w: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4440" w:type="dxa"/>
            <w:vAlign w:val="bottom"/>
            <w:tcBorders>
              <w:bottom w:val="single" w:sz="8" w:color="CCCCCC"/>
            </w:tcBorders>
          </w:tcPr>
          <w:p>
            <w:pPr>
              <w:spacing w:after="0"/>
              <w:rPr>
                <w:sz w:val="3"/>
                <w:szCs w:val="3"/>
                <w:color w:val="auto"/>
              </w:rPr>
            </w:pPr>
          </w:p>
        </w:tc>
        <w:tc>
          <w:tcPr>
            <w:tcW w:w="482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Monica Karuturi</w:t>
            </w:r>
          </w:p>
        </w:tc>
        <w:tc>
          <w:tcPr>
            <w:tcW w:w="4820" w:type="dxa"/>
            <w:vAlign w:val="bottom"/>
          </w:tcPr>
          <w:p>
            <w:pPr>
              <w:jc w:val="center"/>
              <w:ind w:left="2449"/>
              <w:spacing w:after="0"/>
              <w:rPr>
                <w:sz w:val="20"/>
                <w:szCs w:val="20"/>
                <w:color w:val="auto"/>
              </w:rPr>
            </w:pPr>
            <w:r>
              <w:rPr>
                <w:rFonts w:ascii="Arial" w:cs="Arial" w:eastAsia="Arial" w:hAnsi="Arial"/>
                <w:sz w:val="14"/>
                <w:szCs w:val="14"/>
                <w:color w:val="auto"/>
                <w:w w:val="99"/>
              </w:rPr>
              <w:t>$725,000</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4820" w:type="dxa"/>
            <w:vAlign w:val="bottom"/>
            <w:vMerge w:val="restart"/>
          </w:tcPr>
          <w:p>
            <w:pPr>
              <w:jc w:val="center"/>
              <w:ind w:left="2629"/>
              <w:spacing w:after="0"/>
              <w:rPr>
                <w:sz w:val="20"/>
                <w:szCs w:val="20"/>
                <w:color w:val="auto"/>
              </w:rPr>
            </w:pPr>
            <w:r>
              <w:rPr>
                <w:rFonts w:ascii="Arial" w:cs="Arial" w:eastAsia="Arial" w:hAnsi="Arial"/>
                <w:sz w:val="14"/>
                <w:szCs w:val="14"/>
                <w:color w:val="auto"/>
              </w:rPr>
              <w:t>(increase of 4% from 2023)</w:t>
            </w: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4440" w:type="dxa"/>
            <w:vAlign w:val="bottom"/>
            <w:tcBorders>
              <w:bottom w:val="single" w:sz="8" w:color="CCCCCC"/>
            </w:tcBorders>
          </w:tcPr>
          <w:p>
            <w:pPr>
              <w:spacing w:after="0"/>
              <w:rPr>
                <w:sz w:val="3"/>
                <w:szCs w:val="3"/>
                <w:color w:val="auto"/>
              </w:rPr>
            </w:pPr>
          </w:p>
        </w:tc>
        <w:tc>
          <w:tcPr>
            <w:tcW w:w="482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Jason M. Ryan</w:t>
            </w:r>
          </w:p>
        </w:tc>
        <w:tc>
          <w:tcPr>
            <w:tcW w:w="4820" w:type="dxa"/>
            <w:vAlign w:val="bottom"/>
          </w:tcPr>
          <w:p>
            <w:pPr>
              <w:jc w:val="center"/>
              <w:ind w:left="2449"/>
              <w:spacing w:after="0"/>
              <w:rPr>
                <w:sz w:val="20"/>
                <w:szCs w:val="20"/>
                <w:color w:val="auto"/>
              </w:rPr>
            </w:pPr>
            <w:r>
              <w:rPr>
                <w:rFonts w:ascii="Arial" w:cs="Arial" w:eastAsia="Arial" w:hAnsi="Arial"/>
                <w:sz w:val="14"/>
                <w:szCs w:val="14"/>
                <w:color w:val="auto"/>
                <w:w w:val="99"/>
              </w:rPr>
              <w:t>$525,000</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4820" w:type="dxa"/>
            <w:vAlign w:val="bottom"/>
            <w:vMerge w:val="restart"/>
          </w:tcPr>
          <w:p>
            <w:pPr>
              <w:jc w:val="center"/>
              <w:ind w:left="2629"/>
              <w:spacing w:after="0"/>
              <w:rPr>
                <w:sz w:val="20"/>
                <w:szCs w:val="20"/>
                <w:color w:val="auto"/>
              </w:rPr>
            </w:pPr>
            <w:r>
              <w:rPr>
                <w:rFonts w:ascii="Arial" w:cs="Arial" w:eastAsia="Arial" w:hAnsi="Arial"/>
                <w:sz w:val="14"/>
                <w:szCs w:val="14"/>
                <w:color w:val="auto"/>
              </w:rPr>
              <w:t>(increase of 3% from 2023)</w:t>
            </w: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4440" w:type="dxa"/>
            <w:vAlign w:val="bottom"/>
            <w:tcBorders>
              <w:bottom w:val="single" w:sz="8" w:color="CCCCCC"/>
            </w:tcBorders>
          </w:tcPr>
          <w:p>
            <w:pPr>
              <w:spacing w:after="0"/>
              <w:rPr>
                <w:sz w:val="3"/>
                <w:szCs w:val="3"/>
                <w:color w:val="auto"/>
              </w:rPr>
            </w:pPr>
          </w:p>
        </w:tc>
        <w:tc>
          <w:tcPr>
            <w:tcW w:w="482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Lynne Harkel-Rumford</w:t>
            </w:r>
          </w:p>
        </w:tc>
        <w:tc>
          <w:tcPr>
            <w:tcW w:w="4820" w:type="dxa"/>
            <w:vAlign w:val="bottom"/>
          </w:tcPr>
          <w:p>
            <w:pPr>
              <w:jc w:val="center"/>
              <w:ind w:left="2449"/>
              <w:spacing w:after="0"/>
              <w:rPr>
                <w:sz w:val="20"/>
                <w:szCs w:val="20"/>
                <w:color w:val="auto"/>
              </w:rPr>
            </w:pPr>
            <w:r>
              <w:rPr>
                <w:rFonts w:ascii="Arial" w:cs="Arial" w:eastAsia="Arial" w:hAnsi="Arial"/>
                <w:sz w:val="14"/>
                <w:szCs w:val="14"/>
                <w:color w:val="auto"/>
                <w:w w:val="99"/>
              </w:rPr>
              <w:t>$475,000</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4820" w:type="dxa"/>
            <w:vAlign w:val="bottom"/>
            <w:vMerge w:val="restart"/>
          </w:tcPr>
          <w:p>
            <w:pPr>
              <w:jc w:val="center"/>
              <w:ind w:left="2629"/>
              <w:spacing w:after="0"/>
              <w:rPr>
                <w:sz w:val="20"/>
                <w:szCs w:val="20"/>
                <w:color w:val="auto"/>
              </w:rPr>
            </w:pPr>
            <w:r>
              <w:rPr>
                <w:rFonts w:ascii="Arial" w:cs="Arial" w:eastAsia="Arial" w:hAnsi="Arial"/>
                <w:sz w:val="14"/>
                <w:szCs w:val="14"/>
                <w:color w:val="auto"/>
              </w:rPr>
              <w:t>(increase of 3% from 2023)</w:t>
            </w:r>
          </w:p>
        </w:tc>
        <w:tc>
          <w:tcPr>
            <w:tcW w:w="0" w:type="dxa"/>
            <w:vAlign w:val="bottom"/>
          </w:tcPr>
          <w:p>
            <w:pPr>
              <w:spacing w:after="0"/>
              <w:rPr>
                <w:sz w:val="1"/>
                <w:szCs w:val="1"/>
                <w:color w:val="auto"/>
              </w:rPr>
            </w:pPr>
          </w:p>
        </w:tc>
      </w:tr>
      <w:tr>
        <w:trPr>
          <w:trHeight w:val="75"/>
        </w:trPr>
        <w:tc>
          <w:tcPr>
            <w:tcW w:w="444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4440" w:type="dxa"/>
            <w:vAlign w:val="bottom"/>
            <w:tcBorders>
              <w:bottom w:val="single" w:sz="8" w:color="CCCCCC"/>
            </w:tcBorders>
          </w:tcPr>
          <w:p>
            <w:pPr>
              <w:spacing w:after="0"/>
              <w:rPr>
                <w:sz w:val="3"/>
                <w:szCs w:val="3"/>
                <w:color w:val="auto"/>
              </w:rPr>
            </w:pPr>
          </w:p>
        </w:tc>
        <w:tc>
          <w:tcPr>
            <w:tcW w:w="482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CCCC"/>
            </w:tcBorders>
          </w:tcPr>
          <w:p>
            <w:pPr>
              <w:ind w:left="80"/>
              <w:spacing w:after="0"/>
              <w:rPr>
                <w:sz w:val="20"/>
                <w:szCs w:val="20"/>
                <w:color w:val="auto"/>
              </w:rPr>
            </w:pPr>
            <w:r>
              <w:rPr>
                <w:rFonts w:ascii="Arial" w:cs="Arial" w:eastAsia="Arial" w:hAnsi="Arial"/>
                <w:sz w:val="14"/>
                <w:szCs w:val="14"/>
                <w:b w:val="1"/>
                <w:bCs w:val="1"/>
                <w:color w:val="auto"/>
              </w:rPr>
              <w:t>Lynnae K. Wilson</w:t>
            </w:r>
            <w:r>
              <w:rPr>
                <w:rFonts w:ascii="Arial" w:cs="Arial" w:eastAsia="Arial" w:hAnsi="Arial"/>
                <w:sz w:val="17"/>
                <w:szCs w:val="17"/>
                <w:b w:val="1"/>
                <w:bCs w:val="1"/>
                <w:color w:val="auto"/>
                <w:vertAlign w:val="superscript"/>
              </w:rPr>
              <w:t>(3)</w:t>
            </w:r>
          </w:p>
        </w:tc>
        <w:tc>
          <w:tcPr>
            <w:tcW w:w="4820" w:type="dxa"/>
            <w:vAlign w:val="bottom"/>
            <w:tcBorders>
              <w:bottom w:val="single" w:sz="8" w:color="CCCCCC"/>
            </w:tcBorders>
          </w:tcPr>
          <w:p>
            <w:pPr>
              <w:jc w:val="right"/>
              <w:ind w:right="769"/>
              <w:spacing w:after="0"/>
              <w:rPr>
                <w:sz w:val="20"/>
                <w:szCs w:val="20"/>
                <w:color w:val="auto"/>
              </w:rPr>
            </w:pPr>
            <w:r>
              <w:rPr>
                <w:rFonts w:ascii="Arial" w:cs="Arial" w:eastAsia="Arial" w:hAnsi="Arial"/>
                <w:sz w:val="14"/>
                <w:szCs w:val="14"/>
                <w:color w:val="auto"/>
              </w:rPr>
              <w:t>$465,000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20" w:right="360" w:hanging="189"/>
        <w:spacing w:after="0" w:line="198" w:lineRule="auto"/>
        <w:tabs>
          <w:tab w:leader="none" w:pos="920" w:val="left"/>
        </w:tabs>
        <w:numPr>
          <w:ilvl w:val="0"/>
          <w:numId w:val="89"/>
        </w:numPr>
        <w:rPr>
          <w:rFonts w:ascii="Arial" w:cs="Arial" w:eastAsia="Arial" w:hAnsi="Arial"/>
          <w:sz w:val="20"/>
          <w:szCs w:val="20"/>
          <w:color w:val="auto"/>
          <w:vertAlign w:val="superscript"/>
        </w:rPr>
      </w:pPr>
      <w:r>
        <w:rPr>
          <w:rFonts w:ascii="Arial" w:cs="Arial" w:eastAsia="Arial" w:hAnsi="Arial"/>
          <w:sz w:val="13"/>
          <w:szCs w:val="13"/>
          <w:color w:val="auto"/>
        </w:rPr>
        <w:t>Mr. Lesar retired from his role of Chief Executive Officer on January 5, 2024, prior to the Human Capital and Compensation Committee reviewing and approving executive officer compensation for 2024.</w:t>
      </w:r>
    </w:p>
    <w:p>
      <w:pPr>
        <w:sectPr>
          <w:pgSz w:w="11900" w:h="16838" w:orient="portrait"/>
          <w:cols w:equalWidth="0" w:num="1">
            <w:col w:w="10020"/>
          </w:cols>
          <w:pgMar w:left="580" w:top="97" w:right="1299" w:bottom="1440" w:gutter="0" w:footer="0" w:header="0"/>
        </w:sectPr>
      </w:pPr>
    </w:p>
    <w:p>
      <w:pPr>
        <w:spacing w:after="0" w:line="254"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80" w:hanging="189"/>
        <w:spacing w:after="0" w:line="198" w:lineRule="auto"/>
        <w:tabs>
          <w:tab w:leader="none" w:pos="92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This increase reflects Mr. Well’s appointment to the role of President and Chief Executive Officer on January 5, 2024 as a result of the Board’s continued execution of its executive succession planning.</w:t>
      </w:r>
    </w:p>
    <w:p>
      <w:pPr>
        <w:spacing w:after="0" w:line="14"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Ms. Wilson departed the Company on July 26, 2024.</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Short-Term Incentive Plan</w:t>
      </w:r>
    </w:p>
    <w:p>
      <w:pPr>
        <w:spacing w:after="0" w:line="122" w:lineRule="exact"/>
        <w:rPr>
          <w:sz w:val="20"/>
          <w:szCs w:val="20"/>
          <w:color w:val="auto"/>
        </w:rPr>
      </w:pPr>
    </w:p>
    <w:p>
      <w:pPr>
        <w:jc w:val="both"/>
        <w:ind w:left="740" w:right="120"/>
        <w:spacing w:after="0" w:line="292" w:lineRule="auto"/>
        <w:rPr>
          <w:sz w:val="20"/>
          <w:szCs w:val="20"/>
          <w:color w:val="auto"/>
        </w:rPr>
      </w:pPr>
      <w:r>
        <w:rPr>
          <w:rFonts w:ascii="Arial" w:cs="Arial" w:eastAsia="Arial" w:hAnsi="Arial"/>
          <w:sz w:val="16"/>
          <w:szCs w:val="16"/>
          <w:color w:val="auto"/>
        </w:rPr>
        <w:t>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annual base salary.</w:t>
      </w:r>
    </w:p>
    <w:p>
      <w:pPr>
        <w:spacing w:after="0" w:line="152" w:lineRule="exact"/>
        <w:rPr>
          <w:sz w:val="20"/>
          <w:szCs w:val="20"/>
          <w:color w:val="auto"/>
        </w:rPr>
      </w:pPr>
    </w:p>
    <w:p>
      <w:pPr>
        <w:jc w:val="both"/>
        <w:ind w:left="740" w:right="40"/>
        <w:spacing w:after="0" w:line="292" w:lineRule="auto"/>
        <w:rPr>
          <w:sz w:val="20"/>
          <w:szCs w:val="20"/>
          <w:color w:val="auto"/>
        </w:rPr>
      </w:pPr>
      <w:r>
        <w:rPr>
          <w:rFonts w:ascii="Arial" w:cs="Arial" w:eastAsia="Arial" w:hAnsi="Arial"/>
          <w:sz w:val="16"/>
          <w:szCs w:val="16"/>
          <w:color w:val="auto"/>
        </w:rPr>
        <w:t>The Human Capital and Compensation Committee generally determines each named executive officer’s short-term incentive target based on the competitive market data developed by its independent compensation consultant and recommendations from the Chief Executive Officer for officers other than himself.</w:t>
      </w:r>
    </w:p>
    <w:p>
      <w:pPr>
        <w:spacing w:after="0" w:line="152" w:lineRule="exact"/>
        <w:rPr>
          <w:sz w:val="20"/>
          <w:szCs w:val="20"/>
          <w:color w:val="auto"/>
        </w:rPr>
      </w:pPr>
    </w:p>
    <w:p>
      <w:pPr>
        <w:ind w:left="740" w:right="40"/>
        <w:spacing w:after="0" w:line="274" w:lineRule="auto"/>
        <w:rPr>
          <w:sz w:val="20"/>
          <w:szCs w:val="20"/>
          <w:color w:val="auto"/>
        </w:rPr>
      </w:pPr>
      <w:r>
        <w:rPr>
          <w:rFonts w:ascii="Arial" w:cs="Arial" w:eastAsia="Arial" w:hAnsi="Arial"/>
          <w:sz w:val="16"/>
          <w:szCs w:val="16"/>
          <w:color w:val="auto"/>
        </w:rPr>
        <w:t>Each year, the Human Capital and Compensation Committee seeks to identify incentive plan metrics that align with our strategy and with the interests of, and our commitments to, our shareholders and other stakeholders. The Human Capital and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Human Capital and Compensation Committee compares the actual results to the pre-established performance objectives and certifies the extent to which the objectives are achieved under the plan. For the 2024 year, consistent with 2023 and in line with the 2024 say-on-pay vote results of approximately 93.4% that indicated strong shareholder support, the Human Capital and Compensation Committee established that the short-term incentive plan for our named executive officers would be based on achieving a non-GAAP EPS target, “Adjusted EPS”, with a negative-only modifier for a diversity and inclusion target.</w:t>
      </w:r>
    </w:p>
    <w:p>
      <w:pPr>
        <w:spacing w:after="0" w:line="167" w:lineRule="exact"/>
        <w:rPr>
          <w:sz w:val="20"/>
          <w:szCs w:val="20"/>
          <w:color w:val="auto"/>
        </w:rPr>
      </w:pPr>
    </w:p>
    <w:p>
      <w:pPr>
        <w:ind w:left="740" w:right="40"/>
        <w:spacing w:after="0" w:line="275" w:lineRule="auto"/>
        <w:rPr>
          <w:sz w:val="20"/>
          <w:szCs w:val="20"/>
          <w:color w:val="auto"/>
        </w:rPr>
      </w:pPr>
      <w:r>
        <w:rPr>
          <w:rFonts w:ascii="Arial" w:cs="Arial" w:eastAsia="Arial" w:hAnsi="Arial"/>
          <w:sz w:val="16"/>
          <w:szCs w:val="16"/>
          <w:color w:val="auto"/>
        </w:rPr>
        <w:t>The entirety of each individual award is subject to the Human Capital and Compensation Committee’s discretion, consistent with the Company’s philosophy to pay for performance. In determining whether to exercise its discretion, the Human Capital and Compensation Committee may assess an individual executive’s contribution to the achievement of the performance objectives and any special circumstances and may also consider the input of our Chief Executive Officer on the amount to be awarded to each of the other named executive officers. Further, when evaluating overall Company performance, the Human Capital and Compensation Committee may determine to exercise its discretion to reduce the short-term incentive payout to named executive officers to align with the non-executive short-term incentive payouts, which reflect non-financial performance such as safety, operational excellence, and customer satisfaction metrics in addition to a financial target relating to the non-GAAP Adjusted EPS metric. The structure for the 2024 STI Plan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115570</wp:posOffset>
            </wp:positionV>
            <wp:extent cx="5880735" cy="1688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807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0" w:right="320" w:hanging="109"/>
        <w:spacing w:after="0" w:line="306" w:lineRule="auto"/>
        <w:tabs>
          <w:tab w:leader="none" w:pos="8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Potential payout subject to the discretion of the Human Capital and Compensation Committee, including downward modification for alignment with achievement of Company non-financial metrics applicable to non-executive short-term incentive awards, and a diversity and inclusion negative-only modifier.</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560"/>
        <w:spacing w:after="0" w:line="304" w:lineRule="auto"/>
        <w:rPr>
          <w:sz w:val="20"/>
          <w:szCs w:val="20"/>
          <w:color w:val="auto"/>
        </w:rPr>
      </w:pPr>
      <w:r>
        <w:rPr>
          <w:rFonts w:ascii="Arial" w:cs="Arial" w:eastAsia="Arial" w:hAnsi="Arial"/>
          <w:sz w:val="16"/>
          <w:szCs w:val="16"/>
          <w:color w:val="auto"/>
        </w:rPr>
        <w:t>The short-term incentive plan metrics for the 2024 performance year, along with the description of each metric and its critical linkage to our strategy for value creation, are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90170</wp:posOffset>
            </wp:positionV>
            <wp:extent cx="5880735"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80735" cy="265430"/>
                    </a:xfrm>
                    <a:prstGeom prst="rect">
                      <a:avLst/>
                    </a:prstGeom>
                    <a:noFill/>
                  </pic:spPr>
                </pic:pic>
              </a:graphicData>
            </a:graphic>
          </wp:anchor>
        </w:drawing>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1320" w:type="dxa"/>
            <w:vAlign w:val="bottom"/>
          </w:tcPr>
          <w:p>
            <w:pPr>
              <w:ind w:left="60"/>
              <w:spacing w:after="0"/>
              <w:rPr>
                <w:sz w:val="20"/>
                <w:szCs w:val="20"/>
                <w:color w:val="auto"/>
              </w:rPr>
            </w:pPr>
            <w:r>
              <w:rPr>
                <w:rFonts w:ascii="Arial" w:cs="Arial" w:eastAsia="Arial" w:hAnsi="Arial"/>
                <w:sz w:val="13"/>
                <w:szCs w:val="13"/>
                <w:b w:val="1"/>
                <w:bCs w:val="1"/>
                <w:color w:val="FFFFFF"/>
              </w:rPr>
              <w:t>PERFORMANCE</w:t>
            </w:r>
          </w:p>
        </w:tc>
        <w:tc>
          <w:tcPr>
            <w:tcW w:w="2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40"/>
        </w:trPr>
        <w:tc>
          <w:tcPr>
            <w:tcW w:w="1320" w:type="dxa"/>
            <w:vAlign w:val="bottom"/>
          </w:tcPr>
          <w:p>
            <w:pPr>
              <w:spacing w:after="0" w:line="240"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OBJECTIVES</w:t>
            </w:r>
          </w:p>
        </w:tc>
        <w:tc>
          <w:tcPr>
            <w:tcW w:w="2080" w:type="dxa"/>
            <w:vAlign w:val="bottom"/>
          </w:tcPr>
          <w:p>
            <w:pPr>
              <w:ind w:left="300"/>
              <w:spacing w:after="0" w:line="240"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WEIGHTING  </w:t>
            </w:r>
            <w:r>
              <w:rPr>
                <w:rFonts w:ascii="Arial" w:cs="Arial" w:eastAsia="Arial" w:hAnsi="Arial"/>
                <w:sz w:val="25"/>
                <w:szCs w:val="25"/>
                <w:b w:val="1"/>
                <w:bCs w:val="1"/>
                <w:color w:val="FFFFFF"/>
                <w:vertAlign w:val="subscript"/>
              </w:rPr>
              <w:t>​ ​</w:t>
            </w:r>
          </w:p>
        </w:tc>
        <w:tc>
          <w:tcPr>
            <w:tcW w:w="1960" w:type="dxa"/>
            <w:vAlign w:val="bottom"/>
          </w:tcPr>
          <w:p>
            <w:pPr>
              <w:ind w:left="560"/>
              <w:spacing w:after="0"/>
              <w:rPr>
                <w:sz w:val="20"/>
                <w:szCs w:val="20"/>
                <w:color w:val="auto"/>
              </w:rPr>
            </w:pPr>
            <w:r>
              <w:rPr>
                <w:rFonts w:ascii="Arial" w:cs="Arial" w:eastAsia="Arial" w:hAnsi="Arial"/>
                <w:sz w:val="13"/>
                <w:szCs w:val="13"/>
                <w:b w:val="1"/>
                <w:bCs w:val="1"/>
                <w:color w:val="FFFFFF"/>
              </w:rPr>
              <w:t>DESCRIPTION</w:t>
            </w:r>
          </w:p>
        </w:tc>
        <w:tc>
          <w:tcPr>
            <w:tcW w:w="1120" w:type="dxa"/>
            <w:vAlign w:val="bottom"/>
          </w:tcPr>
          <w:p>
            <w:pPr>
              <w:ind w:left="580"/>
              <w:spacing w:after="0"/>
              <w:rPr>
                <w:sz w:val="20"/>
                <w:szCs w:val="20"/>
                <w:color w:val="auto"/>
              </w:rPr>
            </w:pPr>
            <w:r>
              <w:rPr>
                <w:rFonts w:ascii="Arial" w:cs="Arial" w:eastAsia="Arial" w:hAnsi="Arial"/>
                <w:sz w:val="13"/>
                <w:szCs w:val="13"/>
                <w:b w:val="1"/>
                <w:bCs w:val="1"/>
                <w:color w:val="FFFFFF"/>
              </w:rPr>
              <w:t>​ ​</w:t>
            </w:r>
          </w:p>
        </w:tc>
        <w:tc>
          <w:tcPr>
            <w:tcW w:w="2260" w:type="dxa"/>
            <w:vAlign w:val="bottom"/>
          </w:tcPr>
          <w:p>
            <w:pPr>
              <w:ind w:left="400"/>
              <w:spacing w:after="0"/>
              <w:rPr>
                <w:sz w:val="20"/>
                <w:szCs w:val="20"/>
                <w:color w:val="auto"/>
              </w:rPr>
            </w:pPr>
            <w:r>
              <w:rPr>
                <w:rFonts w:ascii="Arial" w:cs="Arial" w:eastAsia="Arial" w:hAnsi="Arial"/>
                <w:sz w:val="13"/>
                <w:szCs w:val="13"/>
                <w:b w:val="1"/>
                <w:bCs w:val="1"/>
                <w:color w:val="FFFFFF"/>
              </w:rPr>
              <w:t>STRATEGY ALIGNMENT</w:t>
            </w:r>
          </w:p>
        </w:tc>
        <w:tc>
          <w:tcPr>
            <w:tcW w:w="460" w:type="dxa"/>
            <w:vAlign w:val="bottom"/>
          </w:tcPr>
          <w:p>
            <w:pPr>
              <w:ind w:left="420"/>
              <w:spacing w:after="0"/>
              <w:rPr>
                <w:sz w:val="20"/>
                <w:szCs w:val="20"/>
                <w:color w:val="auto"/>
              </w:rPr>
            </w:pPr>
            <w:r>
              <w:rPr>
                <w:rFonts w:ascii="Arial" w:cs="Arial" w:eastAsia="Arial" w:hAnsi="Arial"/>
                <w:sz w:val="13"/>
                <w:szCs w:val="13"/>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-5715</wp:posOffset>
            </wp:positionV>
            <wp:extent cx="58807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tbl>
      <w:tblPr>
        <w:tblLayout w:type="fixed"/>
        <w:tblInd w:w="740" w:type="dxa"/>
        <w:tblCellMar>
          <w:top w:w="0" w:type="dxa"/>
          <w:left w:w="0" w:type="dxa"/>
          <w:bottom w:w="0" w:type="dxa"/>
          <w:right w:w="0" w:type="dxa"/>
        </w:tblCellMar>
      </w:tblPr>
      <w:tr>
        <w:trPr>
          <w:trHeight w:val="202"/>
        </w:trPr>
        <w:tc>
          <w:tcPr>
            <w:tcW w:w="136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Adjusted EPS</w:t>
            </w:r>
          </w:p>
        </w:tc>
        <w:tc>
          <w:tcPr>
            <w:tcW w:w="560" w:type="dxa"/>
            <w:vAlign w:val="bottom"/>
          </w:tcPr>
          <w:p>
            <w:pPr>
              <w:ind w:left="260"/>
              <w:spacing w:after="0"/>
              <w:rPr>
                <w:sz w:val="20"/>
                <w:szCs w:val="20"/>
                <w:color w:val="auto"/>
              </w:rPr>
            </w:pPr>
            <w:r>
              <w:rPr>
                <w:rFonts w:ascii="Arial" w:cs="Arial" w:eastAsia="Arial" w:hAnsi="Arial"/>
                <w:sz w:val="15"/>
                <w:szCs w:val="15"/>
                <w:color w:val="auto"/>
              </w:rPr>
              <w:t>​ ​</w:t>
            </w:r>
          </w:p>
        </w:tc>
        <w:tc>
          <w:tcPr>
            <w:tcW w:w="3980" w:type="dxa"/>
            <w:vAlign w:val="bottom"/>
          </w:tcPr>
          <w:p>
            <w:pPr>
              <w:ind w:left="140"/>
              <w:spacing w:after="0" w:line="202" w:lineRule="exact"/>
              <w:rPr>
                <w:sz w:val="20"/>
                <w:szCs w:val="20"/>
                <w:color w:val="auto"/>
              </w:rPr>
            </w:pPr>
            <w:r>
              <w:rPr>
                <w:rFonts w:ascii="Arial" w:cs="Arial" w:eastAsia="Arial" w:hAnsi="Arial"/>
                <w:sz w:val="13"/>
                <w:szCs w:val="13"/>
                <w:b w:val="1"/>
                <w:bCs w:val="1"/>
                <w:color w:val="auto"/>
              </w:rPr>
              <w:t xml:space="preserve">100%   </w:t>
            </w:r>
            <w:r>
              <w:rPr>
                <w:rFonts w:ascii="Arial" w:cs="Arial" w:eastAsia="Arial" w:hAnsi="Arial"/>
                <w:sz w:val="23"/>
                <w:szCs w:val="23"/>
                <w:color w:val="auto"/>
                <w:vertAlign w:val="superscript"/>
              </w:rPr>
              <w:t>​ ​</w:t>
            </w:r>
            <w:r>
              <w:rPr>
                <w:rFonts w:ascii="Arial" w:cs="Arial" w:eastAsia="Arial" w:hAnsi="Arial"/>
                <w:sz w:val="13"/>
                <w:szCs w:val="13"/>
                <w:b w:val="1"/>
                <w:bCs w:val="1"/>
                <w:color w:val="auto"/>
              </w:rPr>
              <w:t xml:space="preserve"> </w:t>
            </w:r>
            <w:r>
              <w:rPr>
                <w:rFonts w:ascii="Arial" w:cs="Arial" w:eastAsia="Arial" w:hAnsi="Arial"/>
                <w:sz w:val="13"/>
                <w:szCs w:val="13"/>
                <w:color w:val="auto"/>
              </w:rPr>
              <w:t>Adjusted EPS is a non-GAAP metric which</w:t>
            </w:r>
          </w:p>
        </w:tc>
      </w:tr>
      <w:tr>
        <w:trPr>
          <w:trHeight w:val="176"/>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80" w:type="dxa"/>
            <w:vAlign w:val="bottom"/>
          </w:tcPr>
          <w:p>
            <w:pPr>
              <w:ind w:left="980"/>
              <w:spacing w:after="0"/>
              <w:rPr>
                <w:sz w:val="20"/>
                <w:szCs w:val="20"/>
                <w:color w:val="auto"/>
              </w:rPr>
            </w:pPr>
            <w:r>
              <w:rPr>
                <w:rFonts w:ascii="Arial" w:cs="Arial" w:eastAsia="Arial" w:hAnsi="Arial"/>
                <w:sz w:val="15"/>
                <w:szCs w:val="15"/>
                <w:color w:val="auto"/>
              </w:rPr>
              <w:t>includes net income from electric and natural</w:t>
            </w:r>
          </w:p>
        </w:tc>
      </w:tr>
      <w:tr>
        <w:trPr>
          <w:trHeight w:val="162"/>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80" w:type="dxa"/>
            <w:vAlign w:val="bottom"/>
          </w:tcPr>
          <w:p>
            <w:pPr>
              <w:ind w:left="980"/>
              <w:spacing w:after="0" w:line="162" w:lineRule="exact"/>
              <w:rPr>
                <w:sz w:val="20"/>
                <w:szCs w:val="20"/>
                <w:color w:val="auto"/>
              </w:rPr>
            </w:pPr>
            <w:r>
              <w:rPr>
                <w:rFonts w:ascii="Arial" w:cs="Arial" w:eastAsia="Arial" w:hAnsi="Arial"/>
                <w:sz w:val="15"/>
                <w:szCs w:val="15"/>
                <w:color w:val="auto"/>
              </w:rPr>
              <w:t>gas segments, as well as after-tax corporate</w:t>
            </w:r>
          </w:p>
        </w:tc>
      </w:tr>
      <w:tr>
        <w:trPr>
          <w:trHeight w:val="176"/>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80" w:type="dxa"/>
            <w:vAlign w:val="bottom"/>
          </w:tcPr>
          <w:p>
            <w:pPr>
              <w:ind w:left="980"/>
              <w:spacing w:after="0"/>
              <w:rPr>
                <w:sz w:val="20"/>
                <w:szCs w:val="20"/>
                <w:color w:val="auto"/>
              </w:rPr>
            </w:pPr>
            <w:r>
              <w:rPr>
                <w:rFonts w:ascii="Arial" w:cs="Arial" w:eastAsia="Arial" w:hAnsi="Arial"/>
                <w:sz w:val="15"/>
                <w:szCs w:val="15"/>
                <w:color w:val="auto"/>
              </w:rPr>
              <w:t>and other operating income and corporate</w:t>
            </w:r>
          </w:p>
        </w:tc>
      </w:tr>
      <w:tr>
        <w:trPr>
          <w:trHeight w:val="175"/>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80" w:type="dxa"/>
            <w:vAlign w:val="bottom"/>
          </w:tcPr>
          <w:p>
            <w:pPr>
              <w:ind w:left="980"/>
              <w:spacing w:after="0"/>
              <w:rPr>
                <w:sz w:val="20"/>
                <w:szCs w:val="20"/>
                <w:color w:val="auto"/>
              </w:rPr>
            </w:pPr>
            <w:r>
              <w:rPr>
                <w:rFonts w:ascii="Arial" w:cs="Arial" w:eastAsia="Arial" w:hAnsi="Arial"/>
                <w:sz w:val="15"/>
                <w:szCs w:val="15"/>
                <w:color w:val="auto"/>
              </w:rPr>
              <w:t>overhead. It is also adjusted for certain</w:t>
            </w:r>
          </w:p>
        </w:tc>
      </w:tr>
      <w:tr>
        <w:trPr>
          <w:trHeight w:val="162"/>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80" w:type="dxa"/>
            <w:vAlign w:val="bottom"/>
          </w:tcPr>
          <w:p>
            <w:pPr>
              <w:ind w:left="980"/>
              <w:spacing w:after="0" w:line="162" w:lineRule="exact"/>
              <w:rPr>
                <w:sz w:val="20"/>
                <w:szCs w:val="20"/>
                <w:color w:val="auto"/>
              </w:rPr>
            </w:pPr>
            <w:r>
              <w:rPr>
                <w:rFonts w:ascii="Arial" w:cs="Arial" w:eastAsia="Arial" w:hAnsi="Arial"/>
                <w:sz w:val="15"/>
                <w:szCs w:val="15"/>
                <w:color w:val="auto"/>
              </w:rPr>
              <w:t>factors to reflect what we consider to be our</w:t>
            </w:r>
          </w:p>
        </w:tc>
      </w:tr>
      <w:tr>
        <w:trPr>
          <w:trHeight w:val="200"/>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ind w:left="980"/>
              <w:spacing w:after="0"/>
              <w:rPr>
                <w:sz w:val="20"/>
                <w:szCs w:val="20"/>
                <w:color w:val="auto"/>
              </w:rPr>
            </w:pPr>
            <w:r>
              <w:rPr>
                <w:rFonts w:ascii="Arial" w:cs="Arial" w:eastAsia="Arial" w:hAnsi="Arial"/>
                <w:sz w:val="15"/>
                <w:szCs w:val="15"/>
                <w:color w:val="auto"/>
              </w:rPr>
              <w:t>fundamental business performance.*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040" w:type="dxa"/>
            <w:vAlign w:val="bottom"/>
          </w:tcPr>
          <w:p>
            <w:pPr>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An EPS measure aligns with our</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190"/>
        </w:trPr>
        <w:tc>
          <w:tcPr>
            <w:tcW w:w="3040" w:type="dxa"/>
            <w:vAlign w:val="bottom"/>
          </w:tcPr>
          <w:p>
            <w:pPr>
              <w:ind w:left="220"/>
              <w:spacing w:after="0"/>
              <w:rPr>
                <w:sz w:val="20"/>
                <w:szCs w:val="20"/>
                <w:color w:val="auto"/>
              </w:rPr>
            </w:pPr>
            <w:r>
              <w:rPr>
                <w:rFonts w:ascii="Arial" w:cs="Arial" w:eastAsia="Arial" w:hAnsi="Arial"/>
                <w:sz w:val="15"/>
                <w:szCs w:val="15"/>
                <w:color w:val="auto"/>
              </w:rPr>
              <w:t>commitment to return value to investors</w:t>
            </w:r>
          </w:p>
        </w:tc>
        <w:tc>
          <w:tcPr>
            <w:tcW w:w="220" w:type="dxa"/>
            <w:vAlign w:val="bottom"/>
          </w:tcPr>
          <w:p>
            <w:pPr>
              <w:spacing w:after="0"/>
              <w:rPr>
                <w:sz w:val="16"/>
                <w:szCs w:val="16"/>
                <w:color w:val="auto"/>
              </w:rPr>
            </w:pPr>
          </w:p>
        </w:tc>
      </w:tr>
    </w:tbl>
    <w:p>
      <w:pPr>
        <w:ind w:left="220" w:right="200"/>
        <w:spacing w:after="0" w:line="251" w:lineRule="auto"/>
        <w:rPr>
          <w:sz w:val="20"/>
          <w:szCs w:val="20"/>
          <w:color w:val="auto"/>
        </w:rPr>
      </w:pPr>
      <w:r>
        <w:rPr>
          <w:rFonts w:ascii="Arial" w:cs="Arial" w:eastAsia="Arial" w:hAnsi="Arial"/>
          <w:sz w:val="14"/>
          <w:szCs w:val="14"/>
          <w:color w:val="auto"/>
        </w:rPr>
        <w:t>through earnings and dividends paid. This measure is focused on Adjusted EPS, which</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excludes activities not considered a principal</w:t>
      </w:r>
    </w:p>
    <w:p>
      <w:pPr>
        <w:spacing w:after="0" w:line="3" w:lineRule="exact"/>
        <w:rPr>
          <w:sz w:val="20"/>
          <w:szCs w:val="20"/>
          <w:color w:val="auto"/>
        </w:rPr>
      </w:pPr>
    </w:p>
    <w:p>
      <w:pPr>
        <w:ind w:left="220" w:right="860"/>
        <w:spacing w:after="0" w:line="244" w:lineRule="auto"/>
        <w:rPr>
          <w:sz w:val="20"/>
          <w:szCs w:val="20"/>
          <w:color w:val="auto"/>
        </w:rPr>
      </w:pPr>
      <w:r>
        <w:rPr>
          <w:rFonts w:ascii="Arial" w:cs="Arial" w:eastAsia="Arial" w:hAnsi="Arial"/>
          <w:sz w:val="15"/>
          <w:szCs w:val="15"/>
          <w:color w:val="auto"/>
        </w:rPr>
        <w:t>driver of overall long-term financial performance.*</w:t>
      </w:r>
    </w:p>
    <w:p>
      <w:pPr>
        <w:spacing w:after="0" w:line="92" w:lineRule="exact"/>
        <w:rPr>
          <w:sz w:val="20"/>
          <w:szCs w:val="20"/>
          <w:color w:val="auto"/>
        </w:rPr>
      </w:pPr>
    </w:p>
    <w:p>
      <w:pPr>
        <w:sectPr>
          <w:pgSz w:w="11900" w:h="16838" w:orient="portrait"/>
          <w:cols w:equalWidth="0" w:num="2">
            <w:col w:w="6640" w:space="20"/>
            <w:col w:w="3360"/>
          </w:cols>
          <w:pgMar w:left="580" w:top="97" w:right="1299" w:bottom="1440" w:gutter="0" w:footer="0" w:header="0"/>
          <w:type w:val="continuous"/>
        </w:sectPr>
      </w:pPr>
    </w:p>
    <w:tbl>
      <w:tblPr>
        <w:tblLayout w:type="fixed"/>
        <w:tblInd w:w="740" w:type="dxa"/>
        <w:tblCellMar>
          <w:top w:w="0" w:type="dxa"/>
          <w:left w:w="0" w:type="dxa"/>
          <w:bottom w:w="0" w:type="dxa"/>
          <w:right w:w="0" w:type="dxa"/>
        </w:tblCellMar>
      </w:tblPr>
      <w:tr>
        <w:trPr>
          <w:trHeight w:val="210"/>
        </w:trPr>
        <w:tc>
          <w:tcPr>
            <w:tcW w:w="1840" w:type="dxa"/>
            <w:vAlign w:val="bottom"/>
            <w:tcBorders>
              <w:top w:val="single" w:sz="8" w:color="CCCCCC"/>
            </w:tcBorders>
            <w:shd w:val="clear" w:color="auto" w:fill="F2F2F2"/>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b w:val="1"/>
                <w:bCs w:val="1"/>
                <w:color w:val="auto"/>
              </w:rPr>
              <w:t xml:space="preserve"> Discretion of Human </w:t>
            </w:r>
            <w:r>
              <w:rPr>
                <w:rFonts w:ascii="Arial" w:cs="Arial" w:eastAsia="Arial" w:hAnsi="Arial"/>
                <w:sz w:val="24"/>
                <w:szCs w:val="24"/>
                <w:color w:val="auto"/>
                <w:vertAlign w:val="superscript"/>
              </w:rPr>
              <w:t>​ ​</w:t>
            </w:r>
          </w:p>
        </w:tc>
        <w:tc>
          <w:tcPr>
            <w:tcW w:w="4080" w:type="dxa"/>
            <w:vAlign w:val="bottom"/>
            <w:tcBorders>
              <w:top w:val="single" w:sz="8" w:color="CCCCCC"/>
            </w:tcBorders>
            <w:shd w:val="clear" w:color="auto" w:fill="F2F2F2"/>
          </w:tcPr>
          <w:p>
            <w:pPr>
              <w:ind w:left="80"/>
              <w:spacing w:after="0" w:line="210" w:lineRule="exact"/>
              <w:rPr>
                <w:sz w:val="20"/>
                <w:szCs w:val="20"/>
                <w:color w:val="auto"/>
              </w:rPr>
            </w:pPr>
            <w:r>
              <w:rPr>
                <w:rFonts w:ascii="Arial" w:cs="Arial" w:eastAsia="Arial" w:hAnsi="Arial"/>
                <w:sz w:val="13"/>
                <w:szCs w:val="13"/>
                <w:b w:val="1"/>
                <w:bCs w:val="1"/>
                <w:color w:val="auto"/>
              </w:rPr>
              <w:t xml:space="preserve">Modifiers </w:t>
            </w:r>
            <w:r>
              <w:rPr>
                <w:rFonts w:ascii="Arial" w:cs="Arial" w:eastAsia="Arial" w:hAnsi="Arial"/>
                <w:sz w:val="24"/>
                <w:szCs w:val="24"/>
                <w:color w:val="auto"/>
                <w:vertAlign w:val="superscript"/>
              </w:rPr>
              <w:t>​ ​</w:t>
            </w:r>
            <w:r>
              <w:rPr>
                <w:rFonts w:ascii="Arial" w:cs="Arial" w:eastAsia="Arial" w:hAnsi="Arial"/>
                <w:sz w:val="13"/>
                <w:szCs w:val="13"/>
                <w:b w:val="1"/>
                <w:bCs w:val="1"/>
                <w:color w:val="auto"/>
              </w:rPr>
              <w:t xml:space="preserve"> </w:t>
            </w:r>
            <w:r>
              <w:rPr>
                <w:rFonts w:ascii="Arial" w:cs="Arial" w:eastAsia="Arial" w:hAnsi="Arial"/>
                <w:sz w:val="13"/>
                <w:szCs w:val="13"/>
                <w:color w:val="auto"/>
              </w:rPr>
              <w:t>Potential payout is subject to the Human</w:t>
            </w:r>
          </w:p>
        </w:tc>
        <w:tc>
          <w:tcPr>
            <w:tcW w:w="3220" w:type="dxa"/>
            <w:vAlign w:val="bottom"/>
            <w:tcBorders>
              <w:top w:val="single" w:sz="8" w:color="CCCCCC"/>
            </w:tcBorders>
            <w:shd w:val="clear" w:color="auto" w:fill="F2F2F2"/>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The Human Capital and Compensation</w:t>
            </w:r>
          </w:p>
        </w:tc>
        <w:tc>
          <w:tcPr>
            <w:tcW w:w="120" w:type="dxa"/>
            <w:vAlign w:val="bottom"/>
            <w:tcBorders>
              <w:top w:val="single" w:sz="8" w:color="CCCCCC"/>
            </w:tcBorders>
            <w:shd w:val="clear" w:color="auto" w:fill="F2F2F2"/>
          </w:tcPr>
          <w:p>
            <w:pPr>
              <w:spacing w:after="0"/>
              <w:rPr>
                <w:sz w:val="20"/>
                <w:szCs w:val="20"/>
                <w:color w:val="auto"/>
              </w:rPr>
            </w:pPr>
            <w:r>
              <w:rPr>
                <w:rFonts w:ascii="Arial" w:cs="Arial" w:eastAsia="Arial" w:hAnsi="Arial"/>
                <w:sz w:val="15"/>
                <w:szCs w:val="15"/>
                <w:color w:val="auto"/>
              </w:rPr>
              <w:t>​</w:t>
            </w:r>
          </w:p>
        </w:tc>
      </w:tr>
      <w:tr>
        <w:trPr>
          <w:trHeight w:val="176"/>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Capital and</w:t>
            </w: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Capital and Compensation Committee’s</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Committee’s ability to exercise its discretion</w:t>
            </w:r>
          </w:p>
        </w:tc>
        <w:tc>
          <w:tcPr>
            <w:tcW w:w="120" w:type="dxa"/>
            <w:vAlign w:val="bottom"/>
            <w:shd w:val="clear" w:color="auto" w:fill="F2F2F2"/>
          </w:tcPr>
          <w:p>
            <w:pPr>
              <w:spacing w:after="0"/>
              <w:rPr>
                <w:sz w:val="15"/>
                <w:szCs w:val="15"/>
                <w:color w:val="auto"/>
              </w:rPr>
            </w:pPr>
          </w:p>
        </w:tc>
      </w:tr>
      <w:tr>
        <w:trPr>
          <w:trHeight w:val="162"/>
        </w:trPr>
        <w:tc>
          <w:tcPr>
            <w:tcW w:w="1840" w:type="dxa"/>
            <w:vAlign w:val="bottom"/>
            <w:shd w:val="clear" w:color="auto" w:fill="F2F2F2"/>
          </w:tcPr>
          <w:p>
            <w:pPr>
              <w:ind w:left="100"/>
              <w:spacing w:after="0" w:line="162" w:lineRule="exact"/>
              <w:rPr>
                <w:sz w:val="20"/>
                <w:szCs w:val="20"/>
                <w:color w:val="auto"/>
              </w:rPr>
            </w:pPr>
            <w:r>
              <w:rPr>
                <w:rFonts w:ascii="Arial" w:cs="Arial" w:eastAsia="Arial" w:hAnsi="Arial"/>
                <w:sz w:val="15"/>
                <w:szCs w:val="15"/>
                <w:b w:val="1"/>
                <w:bCs w:val="1"/>
                <w:color w:val="auto"/>
              </w:rPr>
              <w:t>Compensation</w:t>
            </w:r>
          </w:p>
        </w:tc>
        <w:tc>
          <w:tcPr>
            <w:tcW w:w="4080" w:type="dxa"/>
            <w:vAlign w:val="bottom"/>
            <w:shd w:val="clear" w:color="auto" w:fill="F2F2F2"/>
          </w:tcPr>
          <w:p>
            <w:pPr>
              <w:ind w:left="1060"/>
              <w:spacing w:after="0" w:line="162" w:lineRule="exact"/>
              <w:rPr>
                <w:sz w:val="20"/>
                <w:szCs w:val="20"/>
                <w:color w:val="auto"/>
              </w:rPr>
            </w:pPr>
            <w:r>
              <w:rPr>
                <w:rFonts w:ascii="Arial" w:cs="Arial" w:eastAsia="Arial" w:hAnsi="Arial"/>
                <w:sz w:val="15"/>
                <w:szCs w:val="15"/>
                <w:color w:val="auto"/>
              </w:rPr>
              <w:t>discretion and a negative-only modifier</w:t>
            </w:r>
          </w:p>
        </w:tc>
        <w:tc>
          <w:tcPr>
            <w:tcW w:w="3220" w:type="dxa"/>
            <w:vAlign w:val="bottom"/>
            <w:shd w:val="clear" w:color="auto" w:fill="F2F2F2"/>
          </w:tcPr>
          <w:p>
            <w:pPr>
              <w:ind w:left="220"/>
              <w:spacing w:after="0" w:line="162" w:lineRule="exact"/>
              <w:rPr>
                <w:sz w:val="20"/>
                <w:szCs w:val="20"/>
                <w:color w:val="auto"/>
              </w:rPr>
            </w:pPr>
            <w:r>
              <w:rPr>
                <w:rFonts w:ascii="Arial" w:cs="Arial" w:eastAsia="Arial" w:hAnsi="Arial"/>
                <w:sz w:val="15"/>
                <w:szCs w:val="15"/>
                <w:color w:val="auto"/>
              </w:rPr>
              <w:t>aligns with our commitment to motivating</w:t>
            </w:r>
          </w:p>
        </w:tc>
        <w:tc>
          <w:tcPr>
            <w:tcW w:w="120" w:type="dxa"/>
            <w:vAlign w:val="bottom"/>
            <w:shd w:val="clear" w:color="auto" w:fill="F2F2F2"/>
          </w:tcPr>
          <w:p>
            <w:pPr>
              <w:spacing w:after="0"/>
              <w:rPr>
                <w:sz w:val="14"/>
                <w:szCs w:val="14"/>
                <w:color w:val="auto"/>
              </w:rPr>
            </w:pPr>
          </w:p>
        </w:tc>
      </w:tr>
      <w:tr>
        <w:trPr>
          <w:trHeight w:val="176"/>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Committee and</w:t>
            </w: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focused on a diversity of applicants goal that</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employees, including executive officers, to</w:t>
            </w:r>
          </w:p>
        </w:tc>
        <w:tc>
          <w:tcPr>
            <w:tcW w:w="120" w:type="dxa"/>
            <w:vAlign w:val="bottom"/>
            <w:shd w:val="clear" w:color="auto" w:fill="F2F2F2"/>
          </w:tcPr>
          <w:p>
            <w:pPr>
              <w:spacing w:after="0"/>
              <w:rPr>
                <w:sz w:val="15"/>
                <w:szCs w:val="15"/>
                <w:color w:val="auto"/>
              </w:rPr>
            </w:pPr>
          </w:p>
        </w:tc>
      </w:tr>
      <w:tr>
        <w:trPr>
          <w:trHeight w:val="178"/>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Negative Modifier</w:t>
            </w: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can only reduce the potential payout by a</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meet these important non-financial metrics</w:t>
            </w:r>
          </w:p>
        </w:tc>
        <w:tc>
          <w:tcPr>
            <w:tcW w:w="120" w:type="dxa"/>
            <w:vAlign w:val="bottom"/>
            <w:shd w:val="clear" w:color="auto" w:fill="F2F2F2"/>
          </w:tcPr>
          <w:p>
            <w:pPr>
              <w:spacing w:after="0"/>
              <w:rPr>
                <w:sz w:val="15"/>
                <w:szCs w:val="15"/>
                <w:color w:val="auto"/>
              </w:rPr>
            </w:pPr>
          </w:p>
        </w:tc>
      </w:tr>
      <w:tr>
        <w:trPr>
          <w:trHeight w:val="162"/>
        </w:trPr>
        <w:tc>
          <w:tcPr>
            <w:tcW w:w="1840" w:type="dxa"/>
            <w:vAlign w:val="bottom"/>
            <w:shd w:val="clear" w:color="auto" w:fill="F2F2F2"/>
          </w:tcPr>
          <w:p>
            <w:pPr>
              <w:spacing w:after="0"/>
              <w:rPr>
                <w:sz w:val="14"/>
                <w:szCs w:val="14"/>
                <w:color w:val="auto"/>
              </w:rPr>
            </w:pPr>
          </w:p>
        </w:tc>
        <w:tc>
          <w:tcPr>
            <w:tcW w:w="4080" w:type="dxa"/>
            <w:vAlign w:val="bottom"/>
            <w:shd w:val="clear" w:color="auto" w:fill="F2F2F2"/>
          </w:tcPr>
          <w:p>
            <w:pPr>
              <w:ind w:left="1060"/>
              <w:spacing w:after="0" w:line="162" w:lineRule="exact"/>
              <w:rPr>
                <w:sz w:val="20"/>
                <w:szCs w:val="20"/>
                <w:color w:val="auto"/>
              </w:rPr>
            </w:pPr>
            <w:r>
              <w:rPr>
                <w:rFonts w:ascii="Arial" w:cs="Arial" w:eastAsia="Arial" w:hAnsi="Arial"/>
                <w:sz w:val="15"/>
                <w:szCs w:val="15"/>
                <w:color w:val="auto"/>
              </w:rPr>
              <w:t>total of 5% (it cannot increase the short-term</w:t>
            </w:r>
          </w:p>
        </w:tc>
        <w:tc>
          <w:tcPr>
            <w:tcW w:w="3220" w:type="dxa"/>
            <w:vAlign w:val="bottom"/>
            <w:shd w:val="clear" w:color="auto" w:fill="F2F2F2"/>
          </w:tcPr>
          <w:p>
            <w:pPr>
              <w:ind w:left="220"/>
              <w:spacing w:after="0" w:line="162" w:lineRule="exact"/>
              <w:rPr>
                <w:sz w:val="20"/>
                <w:szCs w:val="20"/>
                <w:color w:val="auto"/>
              </w:rPr>
            </w:pPr>
            <w:r>
              <w:rPr>
                <w:rFonts w:ascii="Arial" w:cs="Arial" w:eastAsia="Arial" w:hAnsi="Arial"/>
                <w:sz w:val="15"/>
                <w:szCs w:val="15"/>
                <w:color w:val="auto"/>
              </w:rPr>
              <w:t>while also recognizing the importance of</w:t>
            </w:r>
          </w:p>
        </w:tc>
        <w:tc>
          <w:tcPr>
            <w:tcW w:w="120" w:type="dxa"/>
            <w:vAlign w:val="bottom"/>
            <w:shd w:val="clear" w:color="auto" w:fill="F2F2F2"/>
          </w:tcPr>
          <w:p>
            <w:pPr>
              <w:spacing w:after="0"/>
              <w:rPr>
                <w:sz w:val="14"/>
                <w:szCs w:val="14"/>
                <w:color w:val="auto"/>
              </w:rPr>
            </w:pPr>
          </w:p>
        </w:tc>
      </w:tr>
      <w:tr>
        <w:trPr>
          <w:trHeight w:val="175"/>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incentive plan awards). The Human Capital</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EPS performance to our shareholders and</w:t>
            </w:r>
          </w:p>
        </w:tc>
        <w:tc>
          <w:tcPr>
            <w:tcW w:w="120" w:type="dxa"/>
            <w:vAlign w:val="bottom"/>
            <w:shd w:val="clear" w:color="auto" w:fill="F2F2F2"/>
          </w:tcPr>
          <w:p>
            <w:pPr>
              <w:spacing w:after="0"/>
              <w:rPr>
                <w:sz w:val="15"/>
                <w:szCs w:val="15"/>
                <w:color w:val="auto"/>
              </w:rPr>
            </w:pPr>
          </w:p>
        </w:tc>
      </w:tr>
      <w:tr>
        <w:trPr>
          <w:trHeight w:val="176"/>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and Compensation Committee, with the</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encouraging our executive officers to</w:t>
            </w:r>
          </w:p>
        </w:tc>
        <w:tc>
          <w:tcPr>
            <w:tcW w:w="120" w:type="dxa"/>
            <w:vAlign w:val="bottom"/>
            <w:shd w:val="clear" w:color="auto" w:fill="F2F2F2"/>
          </w:tcPr>
          <w:p>
            <w:pPr>
              <w:spacing w:after="0"/>
              <w:rPr>
                <w:sz w:val="15"/>
                <w:szCs w:val="15"/>
                <w:color w:val="auto"/>
              </w:rPr>
            </w:pPr>
          </w:p>
        </w:tc>
      </w:tr>
      <w:tr>
        <w:trPr>
          <w:trHeight w:val="162"/>
        </w:trPr>
        <w:tc>
          <w:tcPr>
            <w:tcW w:w="1840" w:type="dxa"/>
            <w:vAlign w:val="bottom"/>
            <w:shd w:val="clear" w:color="auto" w:fill="F2F2F2"/>
          </w:tcPr>
          <w:p>
            <w:pPr>
              <w:spacing w:after="0"/>
              <w:rPr>
                <w:sz w:val="14"/>
                <w:szCs w:val="14"/>
                <w:color w:val="auto"/>
              </w:rPr>
            </w:pPr>
          </w:p>
        </w:tc>
        <w:tc>
          <w:tcPr>
            <w:tcW w:w="4080" w:type="dxa"/>
            <w:vAlign w:val="bottom"/>
            <w:shd w:val="clear" w:color="auto" w:fill="F2F2F2"/>
          </w:tcPr>
          <w:p>
            <w:pPr>
              <w:ind w:left="1060"/>
              <w:spacing w:after="0" w:line="162" w:lineRule="exact"/>
              <w:rPr>
                <w:sz w:val="20"/>
                <w:szCs w:val="20"/>
                <w:color w:val="auto"/>
              </w:rPr>
            </w:pPr>
            <w:r>
              <w:rPr>
                <w:rFonts w:ascii="Arial" w:cs="Arial" w:eastAsia="Arial" w:hAnsi="Arial"/>
                <w:sz w:val="15"/>
                <w:szCs w:val="15"/>
                <w:color w:val="auto"/>
              </w:rPr>
              <w:t>support of management, is committed to</w:t>
            </w:r>
          </w:p>
        </w:tc>
        <w:tc>
          <w:tcPr>
            <w:tcW w:w="3220" w:type="dxa"/>
            <w:vAlign w:val="bottom"/>
            <w:shd w:val="clear" w:color="auto" w:fill="F2F2F2"/>
          </w:tcPr>
          <w:p>
            <w:pPr>
              <w:ind w:left="220"/>
              <w:spacing w:after="0" w:line="162" w:lineRule="exact"/>
              <w:rPr>
                <w:sz w:val="20"/>
                <w:szCs w:val="20"/>
                <w:color w:val="auto"/>
              </w:rPr>
            </w:pPr>
            <w:r>
              <w:rPr>
                <w:rFonts w:ascii="Arial" w:cs="Arial" w:eastAsia="Arial" w:hAnsi="Arial"/>
                <w:sz w:val="15"/>
                <w:szCs w:val="15"/>
                <w:color w:val="auto"/>
              </w:rPr>
              <w:t>continue to advance and support the</w:t>
            </w:r>
          </w:p>
        </w:tc>
        <w:tc>
          <w:tcPr>
            <w:tcW w:w="120" w:type="dxa"/>
            <w:vAlign w:val="bottom"/>
            <w:shd w:val="clear" w:color="auto" w:fill="F2F2F2"/>
          </w:tcPr>
          <w:p>
            <w:pPr>
              <w:spacing w:after="0"/>
              <w:rPr>
                <w:sz w:val="14"/>
                <w:szCs w:val="14"/>
                <w:color w:val="auto"/>
              </w:rPr>
            </w:pPr>
          </w:p>
        </w:tc>
      </w:tr>
      <w:tr>
        <w:trPr>
          <w:trHeight w:val="176"/>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exercising its discretion to reduce the payout</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w w:val="99"/>
              </w:rPr>
              <w:t>Company’s position as a premium utility. The</w:t>
            </w:r>
          </w:p>
        </w:tc>
        <w:tc>
          <w:tcPr>
            <w:tcW w:w="120" w:type="dxa"/>
            <w:vAlign w:val="bottom"/>
            <w:shd w:val="clear" w:color="auto" w:fill="F2F2F2"/>
          </w:tcPr>
          <w:p>
            <w:pPr>
              <w:spacing w:after="0"/>
              <w:rPr>
                <w:sz w:val="15"/>
                <w:szCs w:val="15"/>
                <w:color w:val="auto"/>
              </w:rPr>
            </w:pPr>
          </w:p>
        </w:tc>
      </w:tr>
      <w:tr>
        <w:trPr>
          <w:trHeight w:val="176"/>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for executive officers, as applicable, to align</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w w:val="99"/>
              </w:rPr>
              <w:t>negative modifier aligns with our commitment</w:t>
            </w:r>
          </w:p>
        </w:tc>
        <w:tc>
          <w:tcPr>
            <w:tcW w:w="120" w:type="dxa"/>
            <w:vAlign w:val="bottom"/>
            <w:shd w:val="clear" w:color="auto" w:fill="F2F2F2"/>
          </w:tcPr>
          <w:p>
            <w:pPr>
              <w:spacing w:after="0"/>
              <w:rPr>
                <w:sz w:val="15"/>
                <w:szCs w:val="15"/>
                <w:color w:val="auto"/>
              </w:rPr>
            </w:pPr>
          </w:p>
        </w:tc>
      </w:tr>
      <w:tr>
        <w:trPr>
          <w:trHeight w:val="162"/>
        </w:trPr>
        <w:tc>
          <w:tcPr>
            <w:tcW w:w="1840" w:type="dxa"/>
            <w:vAlign w:val="bottom"/>
            <w:shd w:val="clear" w:color="auto" w:fill="F2F2F2"/>
          </w:tcPr>
          <w:p>
            <w:pPr>
              <w:spacing w:after="0"/>
              <w:rPr>
                <w:sz w:val="14"/>
                <w:szCs w:val="14"/>
                <w:color w:val="auto"/>
              </w:rPr>
            </w:pPr>
          </w:p>
        </w:tc>
        <w:tc>
          <w:tcPr>
            <w:tcW w:w="4080" w:type="dxa"/>
            <w:vAlign w:val="bottom"/>
            <w:shd w:val="clear" w:color="auto" w:fill="F2F2F2"/>
          </w:tcPr>
          <w:p>
            <w:pPr>
              <w:ind w:left="1060"/>
              <w:spacing w:after="0" w:line="162" w:lineRule="exact"/>
              <w:rPr>
                <w:sz w:val="20"/>
                <w:szCs w:val="20"/>
                <w:color w:val="auto"/>
              </w:rPr>
            </w:pPr>
            <w:r>
              <w:rPr>
                <w:rFonts w:ascii="Arial" w:cs="Arial" w:eastAsia="Arial" w:hAnsi="Arial"/>
                <w:sz w:val="15"/>
                <w:szCs w:val="15"/>
                <w:color w:val="auto"/>
              </w:rPr>
              <w:t>with the achievement of non-financial metrics</w:t>
            </w:r>
          </w:p>
        </w:tc>
        <w:tc>
          <w:tcPr>
            <w:tcW w:w="3220" w:type="dxa"/>
            <w:vAlign w:val="bottom"/>
            <w:shd w:val="clear" w:color="auto" w:fill="F2F2F2"/>
          </w:tcPr>
          <w:p>
            <w:pPr>
              <w:ind w:left="220"/>
              <w:spacing w:after="0" w:line="162" w:lineRule="exact"/>
              <w:rPr>
                <w:sz w:val="20"/>
                <w:szCs w:val="20"/>
                <w:color w:val="auto"/>
              </w:rPr>
            </w:pPr>
            <w:r>
              <w:rPr>
                <w:rFonts w:ascii="Arial" w:cs="Arial" w:eastAsia="Arial" w:hAnsi="Arial"/>
                <w:sz w:val="15"/>
                <w:szCs w:val="15"/>
                <w:color w:val="auto"/>
                <w:w w:val="99"/>
              </w:rPr>
              <w:t>to recruit and retain a qualified workforce that</w:t>
            </w:r>
          </w:p>
        </w:tc>
        <w:tc>
          <w:tcPr>
            <w:tcW w:w="120" w:type="dxa"/>
            <w:vAlign w:val="bottom"/>
            <w:shd w:val="clear" w:color="auto" w:fill="F2F2F2"/>
          </w:tcPr>
          <w:p>
            <w:pPr>
              <w:spacing w:after="0"/>
              <w:rPr>
                <w:sz w:val="14"/>
                <w:szCs w:val="14"/>
                <w:color w:val="auto"/>
              </w:rPr>
            </w:pPr>
          </w:p>
        </w:tc>
      </w:tr>
      <w:tr>
        <w:trPr>
          <w:trHeight w:val="176"/>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applicable to the short-term incentive payout</w:t>
            </w:r>
          </w:p>
        </w:tc>
        <w:tc>
          <w:tcPr>
            <w:tcW w:w="32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is reflective of the communities we serve.</w:t>
            </w:r>
          </w:p>
        </w:tc>
        <w:tc>
          <w:tcPr>
            <w:tcW w:w="120" w:type="dxa"/>
            <w:vAlign w:val="bottom"/>
            <w:shd w:val="clear" w:color="auto" w:fill="F2F2F2"/>
          </w:tcPr>
          <w:p>
            <w:pPr>
              <w:spacing w:after="0"/>
              <w:rPr>
                <w:sz w:val="15"/>
                <w:szCs w:val="15"/>
                <w:color w:val="auto"/>
              </w:rPr>
            </w:pPr>
          </w:p>
        </w:tc>
      </w:tr>
      <w:tr>
        <w:trPr>
          <w:trHeight w:val="175"/>
        </w:trPr>
        <w:tc>
          <w:tcPr>
            <w:tcW w:w="1840" w:type="dxa"/>
            <w:vAlign w:val="bottom"/>
            <w:shd w:val="clear" w:color="auto" w:fill="F2F2F2"/>
          </w:tcPr>
          <w:p>
            <w:pPr>
              <w:spacing w:after="0"/>
              <w:rPr>
                <w:sz w:val="15"/>
                <w:szCs w:val="15"/>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for non-executives (including safety,</w:t>
            </w:r>
          </w:p>
        </w:tc>
        <w:tc>
          <w:tcPr>
            <w:tcW w:w="32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r>
      <w:tr>
        <w:trPr>
          <w:trHeight w:val="162"/>
        </w:trPr>
        <w:tc>
          <w:tcPr>
            <w:tcW w:w="1840" w:type="dxa"/>
            <w:vAlign w:val="bottom"/>
            <w:shd w:val="clear" w:color="auto" w:fill="F2F2F2"/>
          </w:tcPr>
          <w:p>
            <w:pPr>
              <w:spacing w:after="0"/>
              <w:rPr>
                <w:sz w:val="14"/>
                <w:szCs w:val="14"/>
                <w:color w:val="auto"/>
              </w:rPr>
            </w:pPr>
          </w:p>
        </w:tc>
        <w:tc>
          <w:tcPr>
            <w:tcW w:w="4080" w:type="dxa"/>
            <w:vAlign w:val="bottom"/>
            <w:shd w:val="clear" w:color="auto" w:fill="F2F2F2"/>
          </w:tcPr>
          <w:p>
            <w:pPr>
              <w:ind w:left="1060"/>
              <w:spacing w:after="0" w:line="162" w:lineRule="exact"/>
              <w:rPr>
                <w:sz w:val="20"/>
                <w:szCs w:val="20"/>
                <w:color w:val="auto"/>
              </w:rPr>
            </w:pPr>
            <w:r>
              <w:rPr>
                <w:rFonts w:ascii="Arial" w:cs="Arial" w:eastAsia="Arial" w:hAnsi="Arial"/>
                <w:sz w:val="15"/>
                <w:szCs w:val="15"/>
                <w:color w:val="auto"/>
              </w:rPr>
              <w:t>operational excellence, and customer</w:t>
            </w:r>
          </w:p>
        </w:tc>
        <w:tc>
          <w:tcPr>
            <w:tcW w:w="32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r>
      <w:tr>
        <w:trPr>
          <w:trHeight w:val="200"/>
        </w:trPr>
        <w:tc>
          <w:tcPr>
            <w:tcW w:w="1840" w:type="dxa"/>
            <w:vAlign w:val="bottom"/>
            <w:shd w:val="clear" w:color="auto" w:fill="F2F2F2"/>
          </w:tcPr>
          <w:p>
            <w:pPr>
              <w:spacing w:after="0"/>
              <w:rPr>
                <w:sz w:val="17"/>
                <w:szCs w:val="17"/>
                <w:color w:val="auto"/>
              </w:rPr>
            </w:pPr>
          </w:p>
        </w:tc>
        <w:tc>
          <w:tcPr>
            <w:tcW w:w="4080" w:type="dxa"/>
            <w:vAlign w:val="bottom"/>
            <w:shd w:val="clear" w:color="auto" w:fill="F2F2F2"/>
          </w:tcPr>
          <w:p>
            <w:pPr>
              <w:ind w:left="1060"/>
              <w:spacing w:after="0"/>
              <w:rPr>
                <w:sz w:val="20"/>
                <w:szCs w:val="20"/>
                <w:color w:val="auto"/>
              </w:rPr>
            </w:pPr>
            <w:r>
              <w:rPr>
                <w:rFonts w:ascii="Arial" w:cs="Arial" w:eastAsia="Arial" w:hAnsi="Arial"/>
                <w:sz w:val="15"/>
                <w:szCs w:val="15"/>
                <w:color w:val="auto"/>
              </w:rPr>
              <w:t>satisfaction metrics).</w:t>
            </w:r>
          </w:p>
        </w:tc>
        <w:tc>
          <w:tcPr>
            <w:tcW w:w="322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r>
      <w:tr>
        <w:trPr>
          <w:trHeight w:val="114"/>
        </w:trPr>
        <w:tc>
          <w:tcPr>
            <w:tcW w:w="1840" w:type="dxa"/>
            <w:vAlign w:val="bottom"/>
            <w:tcBorders>
              <w:bottom w:val="single" w:sz="8" w:color="CCCCCC"/>
            </w:tcBorders>
            <w:shd w:val="clear" w:color="auto" w:fill="F2F2F2"/>
          </w:tcPr>
          <w:p>
            <w:pPr>
              <w:spacing w:after="0"/>
              <w:rPr>
                <w:sz w:val="9"/>
                <w:szCs w:val="9"/>
                <w:color w:val="auto"/>
              </w:rPr>
            </w:pPr>
          </w:p>
        </w:tc>
        <w:tc>
          <w:tcPr>
            <w:tcW w:w="4080" w:type="dxa"/>
            <w:vAlign w:val="bottom"/>
            <w:tcBorders>
              <w:bottom w:val="single" w:sz="8" w:color="CCCCCC"/>
            </w:tcBorders>
            <w:shd w:val="clear" w:color="auto" w:fill="F2F2F2"/>
          </w:tcPr>
          <w:p>
            <w:pPr>
              <w:spacing w:after="0"/>
              <w:rPr>
                <w:sz w:val="9"/>
                <w:szCs w:val="9"/>
                <w:color w:val="auto"/>
              </w:rPr>
            </w:pPr>
          </w:p>
        </w:tc>
        <w:tc>
          <w:tcPr>
            <w:tcW w:w="3220" w:type="dxa"/>
            <w:vAlign w:val="bottom"/>
            <w:tcBorders>
              <w:bottom w:val="single" w:sz="8" w:color="CCCCCC"/>
            </w:tcBorders>
            <w:shd w:val="clear" w:color="auto" w:fill="F2F2F2"/>
          </w:tcPr>
          <w:p>
            <w:pPr>
              <w:spacing w:after="0"/>
              <w:rPr>
                <w:sz w:val="9"/>
                <w:szCs w:val="9"/>
                <w:color w:val="auto"/>
              </w:rPr>
            </w:pPr>
          </w:p>
        </w:tc>
        <w:tc>
          <w:tcPr>
            <w:tcW w:w="120" w:type="dxa"/>
            <w:vAlign w:val="bottom"/>
            <w:tcBorders>
              <w:bottom w:val="single" w:sz="8" w:color="CCCCCC"/>
            </w:tcBorders>
            <w:shd w:val="clear" w:color="auto" w:fill="F2F2F2"/>
          </w:tcPr>
          <w:p>
            <w:pPr>
              <w:spacing w:after="0"/>
              <w:rPr>
                <w:sz w:val="9"/>
                <w:szCs w:val="9"/>
                <w:color w:val="auto"/>
              </w:rPr>
            </w:pPr>
          </w:p>
        </w:tc>
      </w:tr>
    </w:tbl>
    <w:p>
      <w:pPr>
        <w:spacing w:after="0" w:line="92" w:lineRule="exact"/>
        <w:rPr>
          <w:sz w:val="20"/>
          <w:szCs w:val="20"/>
          <w:color w:val="auto"/>
        </w:rPr>
      </w:pPr>
    </w:p>
    <w:p>
      <w:pPr>
        <w:ind w:left="840" w:right="180" w:hanging="109"/>
        <w:spacing w:after="0" w:line="261" w:lineRule="auto"/>
        <w:tabs>
          <w:tab w:leader="none" w:pos="840" w:val="left"/>
        </w:tabs>
        <w:numPr>
          <w:ilvl w:val="0"/>
          <w:numId w:val="92"/>
        </w:numPr>
        <w:rPr>
          <w:rFonts w:ascii="Arial" w:cs="Arial" w:eastAsia="Arial" w:hAnsi="Arial"/>
          <w:sz w:val="13"/>
          <w:szCs w:val="13"/>
          <w:color w:val="auto"/>
        </w:rPr>
      </w:pPr>
      <w:r>
        <w:rPr>
          <w:rFonts w:ascii="Arial" w:cs="Arial" w:eastAsia="Arial" w:hAnsi="Arial"/>
          <w:sz w:val="13"/>
          <w:szCs w:val="13"/>
          <w:i w:val="1"/>
          <w:iCs w:val="1"/>
          <w:color w:val="auto"/>
        </w:rPr>
        <w:t>Adjustments are detailed as part of the “Executive Compensation Tables—Non-Equity Incentive Plan Awards” disclosure and a reconciliation to the nearest GAAP metric can be found in Appendix A.</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Establishing Performance Measures and Target Ranges</w:t>
      </w:r>
    </w:p>
    <w:p>
      <w:pPr>
        <w:spacing w:after="0" w:line="122" w:lineRule="exact"/>
        <w:rPr>
          <w:sz w:val="20"/>
          <w:szCs w:val="20"/>
          <w:color w:val="auto"/>
        </w:rPr>
      </w:pPr>
    </w:p>
    <w:p>
      <w:pPr>
        <w:ind w:left="740" w:right="260"/>
        <w:spacing w:after="0" w:line="279" w:lineRule="auto"/>
        <w:rPr>
          <w:sz w:val="20"/>
          <w:szCs w:val="20"/>
          <w:color w:val="auto"/>
        </w:rPr>
      </w:pPr>
      <w:r>
        <w:rPr>
          <w:rFonts w:ascii="Arial" w:cs="Arial" w:eastAsia="Arial" w:hAnsi="Arial"/>
          <w:sz w:val="16"/>
          <w:szCs w:val="16"/>
          <w:color w:val="auto"/>
        </w:rPr>
        <w:t>The Human Capital and Compensation Committee aims to establish annual performance measures that align with our business strategy and contribute to our long-term shareholder value proposition. The Human Capital and Compensation Committee establishes performance measures and the scaling of the levels necessary to achieve threshold, target, and maximum performance, based on strategic priorities for the organization and an assessment of expected business performance during the measurement period. The 2024 Adjusted EPS target level is based on achieving 8% growth relative to 2023 actual performance, which is in the top quartile for the utility sector.</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Executive Officer Short-Term Incentive Plan Results</w:t>
      </w:r>
    </w:p>
    <w:p>
      <w:pPr>
        <w:spacing w:after="0" w:line="122" w:lineRule="exact"/>
        <w:rPr>
          <w:sz w:val="20"/>
          <w:szCs w:val="20"/>
          <w:color w:val="auto"/>
        </w:rPr>
      </w:pPr>
    </w:p>
    <w:p>
      <w:pPr>
        <w:ind w:left="740" w:right="480"/>
        <w:spacing w:after="0" w:line="283" w:lineRule="auto"/>
        <w:rPr>
          <w:sz w:val="20"/>
          <w:szCs w:val="20"/>
          <w:color w:val="auto"/>
        </w:rPr>
      </w:pPr>
      <w:r>
        <w:rPr>
          <w:rFonts w:ascii="Arial" w:cs="Arial" w:eastAsia="Arial" w:hAnsi="Arial"/>
          <w:sz w:val="16"/>
          <w:szCs w:val="16"/>
          <w:color w:val="auto"/>
        </w:rPr>
        <w:t>CenterPoint Energy’s 2024 performance against the pre-established short-term incentive plan measures is described below. Despite increased spending by the Company in the second half of 2024 to enhance system resiliency for the benefit of our customers in the event of future inclement weather, in 2024, we met the non-GAAP Adjusted EPS target under the short-term incentive plan.</w:t>
      </w:r>
    </w:p>
    <w:p>
      <w:pPr>
        <w:spacing w:after="0" w:line="15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3360" w:type="dxa"/>
            <w:vAlign w:val="bottom"/>
            <w:shd w:val="clear" w:color="auto" w:fill="003763"/>
          </w:tcPr>
          <w:p>
            <w:pPr>
              <w:spacing w:after="0"/>
              <w:rPr>
                <w:sz w:val="14"/>
                <w:szCs w:val="14"/>
                <w:color w:val="auto"/>
              </w:rPr>
            </w:pPr>
          </w:p>
        </w:tc>
        <w:tc>
          <w:tcPr>
            <w:tcW w:w="192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60" w:type="dxa"/>
            <w:vAlign w:val="bottom"/>
            <w:shd w:val="clear" w:color="auto" w:fill="003763"/>
          </w:tcPr>
          <w:p>
            <w:pPr>
              <w:spacing w:after="0"/>
              <w:rPr>
                <w:sz w:val="14"/>
                <w:szCs w:val="14"/>
                <w:color w:val="auto"/>
              </w:rPr>
            </w:pPr>
          </w:p>
        </w:tc>
        <w:tc>
          <w:tcPr>
            <w:tcW w:w="62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Target</w:t>
            </w:r>
          </w:p>
        </w:tc>
        <w:tc>
          <w:tcPr>
            <w:tcW w:w="100" w:type="dxa"/>
            <w:vAlign w:val="bottom"/>
            <w:shd w:val="clear" w:color="auto" w:fill="003763"/>
          </w:tcPr>
          <w:p>
            <w:pPr>
              <w:spacing w:after="0"/>
              <w:rPr>
                <w:sz w:val="14"/>
                <w:szCs w:val="14"/>
                <w:color w:val="auto"/>
              </w:rPr>
            </w:pPr>
          </w:p>
        </w:tc>
        <w:tc>
          <w:tcPr>
            <w:tcW w:w="60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w w:val="96"/>
              </w:rPr>
              <w:t>Maximum</w:t>
            </w:r>
          </w:p>
        </w:tc>
        <w:tc>
          <w:tcPr>
            <w:tcW w:w="140" w:type="dxa"/>
            <w:vAlign w:val="bottom"/>
            <w:shd w:val="clear" w:color="auto" w:fill="003763"/>
          </w:tcPr>
          <w:p>
            <w:pPr>
              <w:spacing w:after="0"/>
              <w:rPr>
                <w:sz w:val="14"/>
                <w:szCs w:val="14"/>
                <w:color w:val="auto"/>
              </w:rPr>
            </w:pPr>
          </w:p>
        </w:tc>
        <w:tc>
          <w:tcPr>
            <w:tcW w:w="700" w:type="dxa"/>
            <w:vAlign w:val="bottom"/>
            <w:shd w:val="clear" w:color="auto" w:fill="003763"/>
          </w:tcPr>
          <w:p>
            <w:pPr>
              <w:ind w:left="120"/>
              <w:spacing w:after="0"/>
              <w:rPr>
                <w:sz w:val="20"/>
                <w:szCs w:val="20"/>
                <w:color w:val="auto"/>
              </w:rPr>
            </w:pPr>
            <w:r>
              <w:rPr>
                <w:rFonts w:ascii="Arial" w:cs="Arial" w:eastAsia="Arial" w:hAnsi="Arial"/>
                <w:sz w:val="13"/>
                <w:szCs w:val="13"/>
                <w:b w:val="1"/>
                <w:bCs w:val="1"/>
                <w:color w:val="FFFFFF"/>
              </w:rPr>
              <w:t>Actual</w:t>
            </w:r>
          </w:p>
        </w:tc>
        <w:tc>
          <w:tcPr>
            <w:tcW w:w="160" w:type="dxa"/>
            <w:vAlign w:val="bottom"/>
            <w:shd w:val="clear" w:color="auto" w:fill="003763"/>
          </w:tcPr>
          <w:p>
            <w:pPr>
              <w:spacing w:after="0"/>
              <w:rPr>
                <w:sz w:val="14"/>
                <w:szCs w:val="14"/>
                <w:color w:val="auto"/>
              </w:rPr>
            </w:pPr>
          </w:p>
        </w:tc>
        <w:tc>
          <w:tcPr>
            <w:tcW w:w="78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Actual</w:t>
            </w:r>
          </w:p>
        </w:tc>
      </w:tr>
      <w:tr>
        <w:trPr>
          <w:trHeight w:val="234"/>
        </w:trPr>
        <w:tc>
          <w:tcPr>
            <w:tcW w:w="3360" w:type="dxa"/>
            <w:vAlign w:val="bottom"/>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Performance Objectives</w:t>
            </w:r>
          </w:p>
        </w:tc>
        <w:tc>
          <w:tcPr>
            <w:tcW w:w="1920" w:type="dxa"/>
            <w:vAlign w:val="bottom"/>
            <w:shd w:val="clear" w:color="auto" w:fill="003763"/>
          </w:tcPr>
          <w:p>
            <w:pPr>
              <w:ind w:left="18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2"/>
              </w:rPr>
              <w:t>(75%)</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003763"/>
          </w:tcPr>
          <w:p>
            <w:pPr>
              <w:ind w:left="2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(125%) </w:t>
            </w:r>
            <w:r>
              <w:rPr>
                <w:rFonts w:ascii="Arial" w:cs="Arial" w:eastAsia="Arial" w:hAnsi="Arial"/>
                <w:sz w:val="25"/>
                <w:szCs w:val="25"/>
                <w:b w:val="1"/>
                <w:bCs w:val="1"/>
                <w:color w:val="FFFFFF"/>
                <w:vertAlign w:val="subscript"/>
              </w:rPr>
              <w:t>​</w:t>
            </w:r>
          </w:p>
        </w:tc>
        <w:tc>
          <w:tcPr>
            <w:tcW w:w="1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(200%)</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Results </w:t>
            </w:r>
            <w:r>
              <w:rPr>
                <w:rFonts w:ascii="Arial" w:cs="Arial" w:eastAsia="Arial" w:hAnsi="Arial"/>
                <w:sz w:val="25"/>
                <w:szCs w:val="25"/>
                <w:b w:val="1"/>
                <w:bCs w:val="1"/>
                <w:color w:val="FFFFFF"/>
                <w:vertAlign w:val="subscript"/>
              </w:rPr>
              <w:t>​</w:t>
            </w:r>
          </w:p>
        </w:tc>
        <w:tc>
          <w:tcPr>
            <w:tcW w:w="940" w:type="dxa"/>
            <w:vAlign w:val="bottom"/>
            <w:gridSpan w:val="2"/>
            <w:shd w:val="clear" w:color="auto" w:fill="003763"/>
          </w:tcPr>
          <w:p>
            <w:pPr>
              <w:ind w:left="2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Achievement </w:t>
            </w:r>
            <w:r>
              <w:rPr>
                <w:rFonts w:ascii="Arial" w:cs="Arial" w:eastAsia="Arial" w:hAnsi="Arial"/>
                <w:sz w:val="25"/>
                <w:szCs w:val="25"/>
                <w:b w:val="1"/>
                <w:bCs w:val="1"/>
                <w:color w:val="FFFFFF"/>
                <w:vertAlign w:val="subscript"/>
              </w:rPr>
              <w:t>​</w:t>
            </w:r>
          </w:p>
        </w:tc>
      </w:tr>
      <w:tr>
        <w:trPr>
          <w:trHeight w:val="283"/>
        </w:trPr>
        <w:tc>
          <w:tcPr>
            <w:tcW w:w="336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Adjusted EPS</w:t>
            </w:r>
          </w:p>
        </w:tc>
        <w:tc>
          <w:tcPr>
            <w:tcW w:w="1920" w:type="dxa"/>
            <w:vAlign w:val="bottom"/>
            <w:tcBorders>
              <w:bottom w:val="single" w:sz="8" w:color="CCCCCC"/>
            </w:tcBorders>
          </w:tcPr>
          <w:p>
            <w:pPr>
              <w:ind w:left="1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CCCC"/>
            </w:tcBorders>
          </w:tcPr>
          <w:p>
            <w:pPr>
              <w:jc w:val="center"/>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$1.61</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CCCC"/>
            </w:tcBorders>
          </w:tcPr>
          <w:p>
            <w:pPr>
              <w:ind w:left="20"/>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$1.62 </w:t>
            </w:r>
            <w:r>
              <w:rPr>
                <w:rFonts w:ascii="Arial" w:cs="Arial" w:eastAsia="Arial" w:hAnsi="Arial"/>
                <w:sz w:val="28"/>
                <w:szCs w:val="28"/>
                <w:color w:val="auto"/>
                <w:vertAlign w:val="subscript"/>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tcPr>
          <w:p>
            <w:pPr>
              <w:ind w:left="12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$1.63</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$1.62 </w:t>
            </w:r>
            <w:r>
              <w:rPr>
                <w:rFonts w:ascii="Arial" w:cs="Arial" w:eastAsia="Arial" w:hAnsi="Arial"/>
                <w:sz w:val="28"/>
                <w:szCs w:val="28"/>
                <w:color w:val="auto"/>
                <w:vertAlign w:val="subscript"/>
              </w:rPr>
              <w:t>​​</w:t>
            </w:r>
          </w:p>
        </w:tc>
        <w:tc>
          <w:tcPr>
            <w:tcW w:w="16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tcPr>
          <w:p>
            <w:pPr>
              <w:ind w:left="18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​125%  </w:t>
            </w:r>
            <w:r>
              <w:rPr>
                <w:rFonts w:ascii="Arial" w:cs="Arial" w:eastAsia="Arial" w:hAnsi="Arial"/>
                <w:sz w:val="28"/>
                <w:szCs w:val="28"/>
                <w:color w:val="auto"/>
                <w:vertAlign w:val="subscript"/>
              </w:rPr>
              <w:t>​​</w:t>
            </w:r>
          </w:p>
        </w:tc>
      </w:tr>
    </w:tbl>
    <w:p>
      <w:pPr>
        <w:spacing w:after="0" w:line="92" w:lineRule="exact"/>
        <w:rPr>
          <w:sz w:val="20"/>
          <w:szCs w:val="20"/>
          <w:color w:val="auto"/>
        </w:rPr>
      </w:pPr>
    </w:p>
    <w:p>
      <w:pPr>
        <w:ind w:left="840" w:right="180" w:hanging="109"/>
        <w:spacing w:after="0" w:line="283" w:lineRule="auto"/>
        <w:tabs>
          <w:tab w:leader="none" w:pos="840" w:val="left"/>
        </w:tabs>
        <w:numPr>
          <w:ilvl w:val="0"/>
          <w:numId w:val="93"/>
        </w:numPr>
        <w:rPr>
          <w:rFonts w:ascii="Arial" w:cs="Arial" w:eastAsia="Arial" w:hAnsi="Arial"/>
          <w:sz w:val="13"/>
          <w:szCs w:val="13"/>
          <w:color w:val="auto"/>
        </w:rPr>
      </w:pPr>
      <w:r>
        <w:rPr>
          <w:rFonts w:ascii="Arial" w:cs="Arial" w:eastAsia="Arial" w:hAnsi="Arial"/>
          <w:sz w:val="13"/>
          <w:szCs w:val="13"/>
          <w:i w:val="1"/>
          <w:iCs w:val="1"/>
          <w:color w:val="auto"/>
        </w:rPr>
        <w:t>Adjustments are detailed as part of the “Executive Compensation Tables—Non-Equity Incentive Plan Awards” disclosure and a reconciliation to the nearest GAAP metric can be found in Appendix A.</w:t>
      </w:r>
    </w:p>
    <w:p>
      <w:pPr>
        <w:spacing w:after="0" w:line="108" w:lineRule="exact"/>
        <w:rPr>
          <w:sz w:val="20"/>
          <w:szCs w:val="20"/>
          <w:color w:val="auto"/>
        </w:rPr>
      </w:pPr>
    </w:p>
    <w:p>
      <w:pPr>
        <w:ind w:left="740" w:right="160"/>
        <w:spacing w:after="0" w:line="304" w:lineRule="auto"/>
        <w:rPr>
          <w:sz w:val="20"/>
          <w:szCs w:val="20"/>
          <w:color w:val="auto"/>
        </w:rPr>
      </w:pPr>
      <w:r>
        <w:rPr>
          <w:rFonts w:ascii="Arial" w:cs="Arial" w:eastAsia="Arial" w:hAnsi="Arial"/>
          <w:sz w:val="16"/>
          <w:szCs w:val="16"/>
          <w:color w:val="auto"/>
        </w:rPr>
        <w:t>The diversity and inclusion metric acts as a negative-only modifier of up to a total of 5%. Based on the Company’s achievement of the target with respect to this performance objective, the negative modifier was not applied for 2024.</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Individual Short-Term Incentive Plan Awards for 2024 Performance</w:t>
      </w:r>
    </w:p>
    <w:p>
      <w:pPr>
        <w:spacing w:after="0" w:line="122" w:lineRule="exact"/>
        <w:rPr>
          <w:sz w:val="20"/>
          <w:szCs w:val="20"/>
          <w:color w:val="auto"/>
        </w:rPr>
      </w:pPr>
    </w:p>
    <w:p>
      <w:pPr>
        <w:ind w:left="740" w:right="180"/>
        <w:spacing w:after="0" w:line="266" w:lineRule="auto"/>
        <w:rPr>
          <w:sz w:val="20"/>
          <w:szCs w:val="20"/>
          <w:color w:val="auto"/>
        </w:rPr>
      </w:pPr>
      <w:r>
        <w:rPr>
          <w:rFonts w:ascii="Arial" w:cs="Arial" w:eastAsia="Arial" w:hAnsi="Arial"/>
          <w:sz w:val="16"/>
          <w:szCs w:val="16"/>
          <w:color w:val="auto"/>
        </w:rPr>
        <w:t>Based on the approved levels of achievement of the 2024 performance objectives under the short-term incentive plan and an assessment of each individual’s performance by the Human Capital and Compensation Committee, the 2024 short-term incentive awards for our named executive officers, expressed as a percentage of their individual target awards, were as follows:</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4080" w:type="dxa"/>
            <w:vAlign w:val="bottom"/>
            <w:shd w:val="clear" w:color="auto" w:fill="003763"/>
          </w:tcPr>
          <w:p>
            <w:pPr>
              <w:spacing w:after="0"/>
              <w:rPr>
                <w:sz w:val="14"/>
                <w:szCs w:val="14"/>
                <w:color w:val="auto"/>
              </w:rPr>
            </w:pPr>
          </w:p>
        </w:tc>
        <w:tc>
          <w:tcPr>
            <w:tcW w:w="258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24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5"/>
              </w:rPr>
              <w:t>2024 Short-Term Incentive Achievement</w:t>
            </w:r>
          </w:p>
        </w:tc>
        <w:tc>
          <w:tcPr>
            <w:tcW w:w="100" w:type="dxa"/>
            <w:vAlign w:val="bottom"/>
            <w:shd w:val="clear" w:color="auto" w:fill="003763"/>
          </w:tcPr>
          <w:p>
            <w:pPr>
              <w:spacing w:after="0"/>
              <w:rPr>
                <w:sz w:val="14"/>
                <w:szCs w:val="14"/>
                <w:color w:val="auto"/>
              </w:rPr>
            </w:pPr>
          </w:p>
        </w:tc>
      </w:tr>
      <w:tr>
        <w:trPr>
          <w:trHeight w:val="234"/>
        </w:trPr>
        <w:tc>
          <w:tcPr>
            <w:tcW w:w="4080" w:type="dxa"/>
            <w:vAlign w:val="bottom"/>
            <w:shd w:val="clear" w:color="auto" w:fill="003763"/>
          </w:tcPr>
          <w:p>
            <w:pPr>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Name</w:t>
            </w:r>
            <w:r>
              <w:rPr>
                <w:rFonts w:ascii="Arial" w:cs="Arial" w:eastAsia="Arial" w:hAnsi="Arial"/>
                <w:sz w:val="16"/>
                <w:szCs w:val="16"/>
                <w:b w:val="1"/>
                <w:bCs w:val="1"/>
                <w:color w:val="FFFFFF"/>
                <w:vertAlign w:val="superscript"/>
              </w:rPr>
              <w:t>(1)</w:t>
            </w:r>
          </w:p>
        </w:tc>
        <w:tc>
          <w:tcPr>
            <w:tcW w:w="2580" w:type="dxa"/>
            <w:vAlign w:val="bottom"/>
            <w:shd w:val="clear" w:color="auto" w:fill="003763"/>
          </w:tcPr>
          <w:p>
            <w:pPr>
              <w:ind w:left="248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2400" w:type="dxa"/>
            <w:vAlign w:val="bottom"/>
            <w:shd w:val="clear" w:color="auto" w:fill="003763"/>
          </w:tcPr>
          <w:p>
            <w:pPr>
              <w:ind w:left="200"/>
              <w:spacing w:after="0"/>
              <w:rPr>
                <w:sz w:val="20"/>
                <w:szCs w:val="20"/>
                <w:color w:val="auto"/>
              </w:rPr>
            </w:pPr>
            <w:r>
              <w:rPr>
                <w:rFonts w:ascii="Arial" w:cs="Arial" w:eastAsia="Arial" w:hAnsi="Arial"/>
                <w:sz w:val="13"/>
                <w:szCs w:val="13"/>
                <w:b w:val="1"/>
                <w:bCs w:val="1"/>
                <w:color w:val="FFFFFF"/>
              </w:rPr>
              <w:t>(as a Percentage of Target Award)</w:t>
            </w:r>
          </w:p>
        </w:tc>
        <w:tc>
          <w:tcPr>
            <w:tcW w:w="1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r>
      <w:tr>
        <w:trPr>
          <w:trHeight w:val="283"/>
        </w:trPr>
        <w:tc>
          <w:tcPr>
            <w:tcW w:w="408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Jason P. Wells</w:t>
            </w:r>
          </w:p>
        </w:tc>
        <w:tc>
          <w:tcPr>
            <w:tcW w:w="2580" w:type="dxa"/>
            <w:vAlign w:val="bottom"/>
            <w:tcBorders>
              <w:bottom w:val="single" w:sz="8" w:color="CCCCCC"/>
            </w:tcBorders>
          </w:tcPr>
          <w:p>
            <w:pPr>
              <w:ind w:left="2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CCCCC"/>
            </w:tcBorders>
          </w:tcPr>
          <w:p>
            <w:pPr>
              <w:ind w:left="108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​125%</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r>
      <w:tr>
        <w:trPr>
          <w:trHeight w:val="263"/>
        </w:trPr>
        <w:tc>
          <w:tcPr>
            <w:tcW w:w="408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Christopher A. Foster</w:t>
            </w:r>
          </w:p>
        </w:tc>
        <w:tc>
          <w:tcPr>
            <w:tcW w:w="2580" w:type="dxa"/>
            <w:vAlign w:val="bottom"/>
            <w:tcBorders>
              <w:bottom w:val="single" w:sz="8" w:color="CCCCCC"/>
            </w:tcBorders>
          </w:tcPr>
          <w:p>
            <w:pPr>
              <w:ind w:left="2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CCCCC"/>
            </w:tcBorders>
          </w:tcPr>
          <w:p>
            <w:pPr>
              <w:ind w:left="10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​125%</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r>
      <w:tr>
        <w:trPr>
          <w:trHeight w:val="263"/>
        </w:trPr>
        <w:tc>
          <w:tcPr>
            <w:tcW w:w="408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Monica Karuturi</w:t>
            </w:r>
          </w:p>
        </w:tc>
        <w:tc>
          <w:tcPr>
            <w:tcW w:w="2580" w:type="dxa"/>
            <w:vAlign w:val="bottom"/>
            <w:tcBorders>
              <w:bottom w:val="single" w:sz="8" w:color="CCCCCC"/>
            </w:tcBorders>
          </w:tcPr>
          <w:p>
            <w:pPr>
              <w:ind w:left="2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CCCCC"/>
            </w:tcBorders>
          </w:tcPr>
          <w:p>
            <w:pPr>
              <w:ind w:left="10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​125%</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r>
      <w:tr>
        <w:trPr>
          <w:trHeight w:val="263"/>
        </w:trPr>
        <w:tc>
          <w:tcPr>
            <w:tcW w:w="408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Jason M. Ryan</w:t>
            </w:r>
          </w:p>
        </w:tc>
        <w:tc>
          <w:tcPr>
            <w:tcW w:w="2580" w:type="dxa"/>
            <w:vAlign w:val="bottom"/>
            <w:tcBorders>
              <w:bottom w:val="single" w:sz="8" w:color="CCCCCC"/>
            </w:tcBorders>
          </w:tcPr>
          <w:p>
            <w:pPr>
              <w:ind w:left="2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CCCCC"/>
            </w:tcBorders>
          </w:tcPr>
          <w:p>
            <w:pPr>
              <w:ind w:left="10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​125%</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r>
      <w:tr>
        <w:trPr>
          <w:trHeight w:val="264"/>
        </w:trPr>
        <w:tc>
          <w:tcPr>
            <w:tcW w:w="408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Lynne Harkel-Rumford</w:t>
            </w:r>
          </w:p>
        </w:tc>
        <w:tc>
          <w:tcPr>
            <w:tcW w:w="2580" w:type="dxa"/>
            <w:vAlign w:val="bottom"/>
            <w:tcBorders>
              <w:bottom w:val="single" w:sz="8" w:color="CCCCCC"/>
            </w:tcBorders>
          </w:tcPr>
          <w:p>
            <w:pPr>
              <w:ind w:left="2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CCCCC"/>
            </w:tcBorders>
          </w:tcPr>
          <w:p>
            <w:pPr>
              <w:ind w:left="10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​125%</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r>
    </w:tbl>
    <w:p>
      <w:pPr>
        <w:spacing w:after="0" w:line="144" w:lineRule="exact"/>
        <w:rPr>
          <w:sz w:val="20"/>
          <w:szCs w:val="20"/>
          <w:color w:val="auto"/>
        </w:rPr>
      </w:pPr>
    </w:p>
    <w:p>
      <w:pPr>
        <w:ind w:left="920" w:right="20" w:hanging="189"/>
        <w:spacing w:after="0" w:line="221" w:lineRule="auto"/>
        <w:tabs>
          <w:tab w:leader="none" w:pos="920" w:val="left"/>
        </w:tabs>
        <w:numPr>
          <w:ilvl w:val="0"/>
          <w:numId w:val="94"/>
        </w:numPr>
        <w:rPr>
          <w:rFonts w:ascii="Arial" w:cs="Arial" w:eastAsia="Arial" w:hAnsi="Arial"/>
          <w:sz w:val="20"/>
          <w:szCs w:val="20"/>
          <w:color w:val="auto"/>
          <w:vertAlign w:val="superscript"/>
        </w:rPr>
      </w:pPr>
      <w:r>
        <w:rPr>
          <w:rFonts w:ascii="Arial" w:cs="Arial" w:eastAsia="Arial" w:hAnsi="Arial"/>
          <w:sz w:val="13"/>
          <w:szCs w:val="13"/>
          <w:color w:val="auto"/>
        </w:rPr>
        <w:t>Mr. Lesar and Ms. Wilson departed the Company on January 5, 2024 and July 26, 2024, respectively, and were not eligible for, and did not receive payment of, any award under the short-term incentive plan for 2024. Ms. Harkel-Rumford departed from the company on February 3, 2025, prior to payment of the short-term incentive awards for 2024, but was “retirement eligible” and, accordingly, was eligible to receive her award under the short-term incentive plan for 2024 in accordance with the terms of the plan.</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Long-Term Incentive Plan</w:t>
      </w:r>
    </w:p>
    <w:p>
      <w:pPr>
        <w:spacing w:after="0" w:line="122" w:lineRule="exact"/>
        <w:rPr>
          <w:sz w:val="20"/>
          <w:szCs w:val="20"/>
          <w:color w:val="auto"/>
        </w:rPr>
      </w:pPr>
    </w:p>
    <w:p>
      <w:pPr>
        <w:ind w:left="740" w:right="120"/>
        <w:spacing w:after="0" w:line="259" w:lineRule="auto"/>
        <w:rPr>
          <w:sz w:val="20"/>
          <w:szCs w:val="20"/>
          <w:color w:val="auto"/>
        </w:rPr>
      </w:pPr>
      <w:r>
        <w:rPr>
          <w:rFonts w:ascii="Arial" w:cs="Arial" w:eastAsia="Arial" w:hAnsi="Arial"/>
          <w:sz w:val="16"/>
          <w:szCs w:val="16"/>
          <w:color w:val="auto"/>
        </w:rPr>
        <w:t>We provide a long-term incentive plan in which each of our named executive officers and certain other management-level employees participate. Our long-term incentive plan is designed to align the interests of participants with those of our shareholders and reward participants for sustained improvements in our financial performance and increases in the value of our common stock and dividends over an extended period.</w:t>
      </w:r>
    </w:p>
    <w:p>
      <w:pPr>
        <w:spacing w:after="0" w:line="110" w:lineRule="exact"/>
        <w:rPr>
          <w:sz w:val="20"/>
          <w:szCs w:val="20"/>
          <w:color w:val="auto"/>
        </w:rPr>
      </w:pPr>
    </w:p>
    <w:p>
      <w:pPr>
        <w:ind w:left="740" w:right="240"/>
        <w:spacing w:after="0" w:line="256" w:lineRule="auto"/>
        <w:rPr>
          <w:sz w:val="20"/>
          <w:szCs w:val="20"/>
          <w:color w:val="auto"/>
        </w:rPr>
      </w:pPr>
      <w:r>
        <w:rPr>
          <w:rFonts w:ascii="Arial" w:cs="Arial" w:eastAsia="Arial" w:hAnsi="Arial"/>
          <w:sz w:val="16"/>
          <w:szCs w:val="16"/>
          <w:color w:val="auto"/>
        </w:rPr>
        <w:t>Our long-term incentive plan awards vest over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NYSE on the grant date, which is the date the Human Capital and Compensation Committee approves the grants.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Long-Term Incentive Plan Design</w:t>
      </w:r>
    </w:p>
    <w:p>
      <w:pPr>
        <w:spacing w:after="0" w:line="122" w:lineRule="exact"/>
        <w:rPr>
          <w:sz w:val="20"/>
          <w:szCs w:val="20"/>
          <w:color w:val="auto"/>
        </w:rPr>
      </w:pPr>
    </w:p>
    <w:p>
      <w:pPr>
        <w:ind w:left="740" w:right="20"/>
        <w:spacing w:after="0" w:line="254" w:lineRule="auto"/>
        <w:rPr>
          <w:sz w:val="20"/>
          <w:szCs w:val="20"/>
          <w:color w:val="auto"/>
        </w:rPr>
      </w:pPr>
      <w:r>
        <w:rPr>
          <w:rFonts w:ascii="Arial" w:cs="Arial" w:eastAsia="Arial" w:hAnsi="Arial"/>
          <w:sz w:val="16"/>
          <w:szCs w:val="16"/>
          <w:color w:val="auto"/>
        </w:rPr>
        <w:t>The total long-term incentive opportunity for each executive officer is determined on an annual and individual basis, considering the executive’s position and performance and the long-term compensation provided to similar roles in the peer group. Each year, the Human Capital and Compensation Committee also reviews the allocation of the long-term incentive opportunity between performance share units and restricted stock unit awards. The Human Capital and Compensation Committee approved for our executive officers an allocation between performance share units and restricted stock unit awards of 75% and 25%, respectively,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90170</wp:posOffset>
            </wp:positionV>
            <wp:extent cx="1311275" cy="1465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1127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Performance Share Unit (PSU) Awards (75% of Award Value)</w:t>
      </w:r>
    </w:p>
    <w:p>
      <w:pPr>
        <w:spacing w:after="0" w:line="39" w:lineRule="exact"/>
        <w:rPr>
          <w:sz w:val="20"/>
          <w:szCs w:val="20"/>
          <w:color w:val="auto"/>
        </w:rPr>
      </w:pPr>
    </w:p>
    <w:p>
      <w:pPr>
        <w:ind w:left="740" w:right="460"/>
        <w:spacing w:after="0" w:line="274" w:lineRule="auto"/>
        <w:rPr>
          <w:sz w:val="20"/>
          <w:szCs w:val="20"/>
          <w:color w:val="auto"/>
        </w:rPr>
      </w:pPr>
      <w:r>
        <w:rPr>
          <w:rFonts w:ascii="Arial" w:cs="Arial" w:eastAsia="Arial" w:hAnsi="Arial"/>
          <w:sz w:val="15"/>
          <w:szCs w:val="15"/>
          <w:color w:val="auto"/>
        </w:rPr>
        <w:t>Our 2024 PSU awards were made in three separate grants, with the payout opportunity for each grant based on a different performance objective. The first is based on total TSR over the three-year performance cycle as compared to that of the other</w:t>
      </w:r>
    </w:p>
    <w:p>
      <w:pPr>
        <w:ind w:left="740" w:right="40"/>
        <w:spacing w:after="0" w:line="251" w:lineRule="auto"/>
        <w:rPr>
          <w:sz w:val="20"/>
          <w:szCs w:val="20"/>
          <w:color w:val="auto"/>
        </w:rPr>
      </w:pPr>
      <w:r>
        <w:rPr>
          <w:rFonts w:ascii="Arial" w:cs="Arial" w:eastAsia="Arial" w:hAnsi="Arial"/>
          <w:sz w:val="16"/>
          <w:szCs w:val="16"/>
          <w:color w:val="auto"/>
        </w:rPr>
        <w:t>18 companies included in our peer group. Thirty-five percent of long-term incentive compensation is based on the TSR metric. Thirty-five percent is based on achieving a specified non-GAAP Adjusted EPS goal over the three-year performance cycle. The remaining 5% is based on achieving a specified carbon emissions reduction goal over the three-year performance cycle. Based on our shareholder engagement and our internal strategy, these three metrics were identified as important indicators of our Company’s performance.</w:t>
      </w:r>
    </w:p>
    <w:p>
      <w:pPr>
        <w:spacing w:after="0" w:line="115" w:lineRule="exact"/>
        <w:rPr>
          <w:sz w:val="20"/>
          <w:szCs w:val="20"/>
          <w:color w:val="auto"/>
        </w:rPr>
      </w:pPr>
    </w:p>
    <w:p>
      <w:pPr>
        <w:ind w:left="740" w:right="160"/>
        <w:spacing w:after="0" w:line="286" w:lineRule="auto"/>
        <w:rPr>
          <w:sz w:val="20"/>
          <w:szCs w:val="20"/>
          <w:color w:val="auto"/>
        </w:rPr>
      </w:pPr>
      <w:r>
        <w:rPr>
          <w:rFonts w:ascii="Arial" w:cs="Arial" w:eastAsia="Arial" w:hAnsi="Arial"/>
          <w:sz w:val="16"/>
          <w:szCs w:val="16"/>
          <w:color w:val="auto"/>
        </w:rPr>
        <w:t>If actual achievement for the performance objective under an award does not meet at least the threshold level, the Human Capital and Compensation Committee will not approve a distribution for the award, except in the case of an award based on the</w:t>
      </w:r>
    </w:p>
    <w:p>
      <w:pPr>
        <w:sectPr>
          <w:pgSz w:w="11900" w:h="16838" w:orient="portrait"/>
          <w:cols w:equalWidth="0" w:num="1">
            <w:col w:w="10020"/>
          </w:cols>
          <w:pgMar w:left="580" w:top="97" w:right="1299" w:bottom="1440" w:gutter="0" w:footer="0" w:header="0"/>
        </w:sectPr>
      </w:pPr>
    </w:p>
    <w:p>
      <w:pPr>
        <w:spacing w:after="0" w:line="206"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00"/>
        <w:spacing w:after="0" w:line="262" w:lineRule="auto"/>
        <w:rPr>
          <w:sz w:val="20"/>
          <w:szCs w:val="20"/>
          <w:color w:val="auto"/>
        </w:rPr>
      </w:pPr>
      <w:r>
        <w:rPr>
          <w:rFonts w:ascii="Arial" w:cs="Arial" w:eastAsia="Arial" w:hAnsi="Arial"/>
          <w:sz w:val="16"/>
          <w:szCs w:val="16"/>
          <w:color w:val="auto"/>
        </w:rPr>
        <w:t>TSR metric when the price-to-earnings (P/E) modifier is triggered as described below. If a performance objective meets or exceeds the threshold level, the threshold payout for these awards is 33% of target for the TSR performance objective and 50% of target for the applicable Adjusted EPS performance and carbon emissions reduction objectives, and the maximum payout opportunity is 200% of target for all three performance metrics. In the case of awards based on the TSR performance objective, however, if the Company’s P/E ratio ranks in the top quartile of our peer group, a P/E modifier will apply that provides for a minimum 75% payout level for the award regardless of the level of TSR performance achieved. The P/E modifier was introduced to incentivize achievement of a peer leading P/E ratio, reflective of the Company’s position as a premium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102235</wp:posOffset>
            </wp:positionV>
            <wp:extent cx="5220335" cy="28543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2033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left="740" w:right="460"/>
        <w:spacing w:after="0" w:line="306" w:lineRule="auto"/>
        <w:rPr>
          <w:sz w:val="20"/>
          <w:szCs w:val="20"/>
          <w:color w:val="auto"/>
        </w:rPr>
      </w:pPr>
      <w:r>
        <w:rPr>
          <w:rFonts w:ascii="Arial" w:cs="Arial" w:eastAsia="Arial" w:hAnsi="Arial"/>
          <w:sz w:val="12"/>
          <w:szCs w:val="12"/>
          <w:color w:val="auto"/>
        </w:rPr>
        <w:t>   *  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p>
    <w:p>
      <w:pPr>
        <w:spacing w:after="0" w:line="26" w:lineRule="exact"/>
        <w:rPr>
          <w:sz w:val="20"/>
          <w:szCs w:val="20"/>
          <w:color w:val="auto"/>
        </w:rPr>
      </w:pPr>
    </w:p>
    <w:p>
      <w:pPr>
        <w:ind w:left="960" w:right="100" w:hanging="233"/>
        <w:spacing w:after="0" w:line="262" w:lineRule="auto"/>
        <w:rPr>
          <w:sz w:val="20"/>
          <w:szCs w:val="20"/>
          <w:color w:val="auto"/>
        </w:rPr>
      </w:pPr>
      <w:r>
        <w:rPr>
          <w:rFonts w:ascii="Arial" w:cs="Arial" w:eastAsia="Arial" w:hAnsi="Arial"/>
          <w:sz w:val="13"/>
          <w:szCs w:val="13"/>
          <w:color w:val="auto"/>
        </w:rPr>
        <w:t>  ** Adjusted EPS goal at each level represents 8.5% annual growth in 2024 and 8% annual growth in 2025 and 2026, based on 2023 (Maximum), 8% annual growth in 2024 and 6% annual growth in 2025 and 2026, based on 2023 (Target) and 7% annual growth in 2024 and 5.5% annual growth in 2025 and 2026, based on 2023 (Threshold).</w:t>
      </w:r>
    </w:p>
    <w:p>
      <w:pPr>
        <w:spacing w:after="0" w:line="37" w:lineRule="exact"/>
        <w:rPr>
          <w:sz w:val="20"/>
          <w:szCs w:val="20"/>
          <w:color w:val="auto"/>
        </w:rPr>
      </w:pPr>
    </w:p>
    <w:p>
      <w:pPr>
        <w:ind w:left="960" w:right="40" w:hanging="233"/>
        <w:spacing w:after="0" w:line="286" w:lineRule="auto"/>
        <w:rPr>
          <w:sz w:val="20"/>
          <w:szCs w:val="20"/>
          <w:color w:val="auto"/>
        </w:rPr>
      </w:pPr>
      <w:r>
        <w:rPr>
          <w:rFonts w:ascii="Arial" w:cs="Arial" w:eastAsia="Arial" w:hAnsi="Arial"/>
          <w:sz w:val="13"/>
          <w:szCs w:val="13"/>
          <w:color w:val="auto"/>
        </w:rPr>
        <w:t> *** Linear interpolation between award levels. No payout is earned below Threshold performance except in the case of awards based on the TSR performance objective when the P/E modifier applies as described.</w:t>
      </w:r>
    </w:p>
    <w:p>
      <w:pPr>
        <w:spacing w:after="0" w:line="22" w:lineRule="exact"/>
        <w:rPr>
          <w:sz w:val="20"/>
          <w:szCs w:val="20"/>
          <w:color w:val="auto"/>
        </w:rPr>
      </w:pPr>
    </w:p>
    <w:p>
      <w:pPr>
        <w:ind w:left="960" w:right="160" w:hanging="229"/>
        <w:spacing w:after="0" w:line="286" w:lineRule="auto"/>
        <w:tabs>
          <w:tab w:leader="none" w:pos="9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Results will represent an average of 20 TSR calculation periods, beginning the first 20 of the last 30 trading days preceding the performance period and ending the first 20 of the last 30 trading days of the performance period.</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Relative TSR (35% of Award Value)</w:t>
      </w:r>
    </w:p>
    <w:p>
      <w:pPr>
        <w:spacing w:after="0" w:line="20" w:lineRule="exact"/>
        <w:rPr>
          <w:sz w:val="20"/>
          <w:szCs w:val="20"/>
          <w:color w:val="auto"/>
        </w:rPr>
      </w:pPr>
    </w:p>
    <w:p>
      <w:pPr>
        <w:ind w:left="740" w:right="480"/>
        <w:spacing w:after="0" w:line="211" w:lineRule="auto"/>
        <w:rPr>
          <w:sz w:val="20"/>
          <w:szCs w:val="20"/>
          <w:color w:val="auto"/>
        </w:rPr>
      </w:pPr>
      <w:r>
        <w:rPr>
          <w:rFonts w:ascii="Arial" w:cs="Arial" w:eastAsia="Arial" w:hAnsi="Arial"/>
          <w:sz w:val="15"/>
          <w:szCs w:val="15"/>
          <w:color w:val="auto"/>
        </w:rPr>
        <w:t>Maximum achievement (200% of target) requires CenterPoint Energy to rank at the 85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or higher in our TSR Peer Group, and no shares would vest if the Company ranks below the 25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in that comparison (threshold level). For this</w:t>
      </w:r>
    </w:p>
    <w:p>
      <w:pPr>
        <w:spacing w:after="0" w:line="2"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performance objective, the number of PSUs granted will vest using linear interpolation between the threshold, target, and maximum achievement levels. Notwithstanding the above, if the Company’s P/E ratio ranks in the top quartile of our peer group, a P/E modifier is triggered, which provides for a minimum 75% payout level for the award regardless of the level of TSR performance achieved.</w:t>
      </w:r>
    </w:p>
    <w:p>
      <w:pPr>
        <w:spacing w:after="0" w:line="106" w:lineRule="exact"/>
        <w:rPr>
          <w:sz w:val="20"/>
          <w:szCs w:val="20"/>
          <w:color w:val="auto"/>
        </w:rPr>
      </w:pPr>
    </w:p>
    <w:p>
      <w:pPr>
        <w:ind w:left="740" w:right="520"/>
        <w:spacing w:after="0" w:line="275" w:lineRule="auto"/>
        <w:rPr>
          <w:sz w:val="20"/>
          <w:szCs w:val="20"/>
          <w:color w:val="auto"/>
        </w:rPr>
      </w:pPr>
      <w:r>
        <w:rPr>
          <w:rFonts w:ascii="Arial" w:cs="Arial" w:eastAsia="Arial" w:hAnsi="Arial"/>
          <w:sz w:val="16"/>
          <w:szCs w:val="16"/>
          <w:color w:val="auto"/>
        </w:rPr>
        <w:t>The 18 companies utilized for measuring TSR are the same companies represented in our Peer Group disclosure below. We believe the peer group is a reasonable proxy for the universe of companies engaged in businesses similar to ours and is appropriate for measuring relative TSR.</w:t>
      </w:r>
    </w:p>
    <w:p>
      <w:pPr>
        <w:spacing w:after="0" w:line="10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Cumulative Adjusted EPS (35% of Award Value)</w:t>
      </w:r>
    </w:p>
    <w:p>
      <w:pPr>
        <w:spacing w:after="0" w:line="39" w:lineRule="exact"/>
        <w:rPr>
          <w:sz w:val="20"/>
          <w:szCs w:val="20"/>
          <w:color w:val="auto"/>
        </w:rPr>
      </w:pPr>
    </w:p>
    <w:p>
      <w:pPr>
        <w:ind w:left="740" w:right="40"/>
        <w:spacing w:after="0" w:line="268" w:lineRule="auto"/>
        <w:rPr>
          <w:sz w:val="20"/>
          <w:szCs w:val="20"/>
          <w:color w:val="auto"/>
        </w:rPr>
      </w:pPr>
      <w:r>
        <w:rPr>
          <w:rFonts w:ascii="Arial" w:cs="Arial" w:eastAsia="Arial" w:hAnsi="Arial"/>
          <w:sz w:val="16"/>
          <w:szCs w:val="16"/>
          <w:color w:val="auto"/>
        </w:rPr>
        <w:t>The Human Capital and Compensation Committee established a cumulative Adjusted EPS target as a performance objective for long-term incentive awards made in 2024. Cumulative Adjusted EPS is calculated by aggregating three years of Adjusted EPS as reported by the Company. Adjusted EPS is a non-GAAP metric which includes consolidated net income from electric and natural gas segments, as well as after-tax corporate and other operating income and corporate overhead. This metric is also adjusted for certain factors to reflect what we consider to be our fundamental business performance. For a detailed description of the calculation of Adjusted EPS, see “Executive Compensation Tables—Non-Equity Incentive Plan Awards.”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Carbon Emissions Reduction (5% of Award Value)</w:t>
      </w:r>
    </w:p>
    <w:p>
      <w:pPr>
        <w:spacing w:after="0" w:line="39" w:lineRule="exact"/>
        <w:rPr>
          <w:sz w:val="20"/>
          <w:szCs w:val="20"/>
          <w:color w:val="auto"/>
        </w:rPr>
      </w:pPr>
    </w:p>
    <w:p>
      <w:pPr>
        <w:ind w:left="740" w:right="40"/>
        <w:spacing w:after="0" w:line="269" w:lineRule="auto"/>
        <w:rPr>
          <w:sz w:val="20"/>
          <w:szCs w:val="20"/>
          <w:color w:val="auto"/>
        </w:rPr>
      </w:pPr>
      <w:r>
        <w:rPr>
          <w:rFonts w:ascii="Arial" w:cs="Arial" w:eastAsia="Arial" w:hAnsi="Arial"/>
          <w:sz w:val="16"/>
          <w:szCs w:val="16"/>
          <w:color w:val="auto"/>
        </w:rPr>
        <w:t>The Human Capital and Compensation Committee established a carbon emissions reduction target as the third performance objective for the long-term incentive awards, beginning in 2022. The carbon emissions reduction objective consists of a 3-year cumulative carbon emissions reduction goal for Scope 1 and 2 carbon emissions (4% award value) and a 3-year cumulative carbon emissions reduction goal for Scope 3 carbon emissions (1% award value). Cumulative carbon emissions reduction is calculated from 2021 levels.</w:t>
      </w:r>
    </w:p>
    <w:p>
      <w:pPr>
        <w:spacing w:after="0" w:line="103" w:lineRule="exact"/>
        <w:rPr>
          <w:sz w:val="20"/>
          <w:szCs w:val="20"/>
          <w:color w:val="auto"/>
        </w:rPr>
      </w:pPr>
    </w:p>
    <w:p>
      <w:pPr>
        <w:ind w:left="740" w:right="100"/>
        <w:spacing w:after="0" w:line="271" w:lineRule="auto"/>
        <w:rPr>
          <w:sz w:val="20"/>
          <w:szCs w:val="20"/>
          <w:color w:val="auto"/>
        </w:rPr>
      </w:pPr>
      <w:r>
        <w:rPr>
          <w:rFonts w:ascii="Arial" w:cs="Arial" w:eastAsia="Arial" w:hAnsi="Arial"/>
          <w:sz w:val="16"/>
          <w:szCs w:val="16"/>
          <w:color w:val="auto"/>
        </w:rPr>
        <w:t>For 3-year cumulative carbon emissions reduction under our Scope 1 and 2 carbon emissions objective, maximum achievement (200% of target) requires CenterPoint Energy to achieve at least a 65% reduction in Scope 1 and 2 combined carbon emissions compared to 2021 levels, and no shares would vest if the Company achieves reduction of less than 10% of combined Scope 1 and 2 carbon emissions compared to 2021 levels.</w:t>
      </w:r>
    </w:p>
    <w:p>
      <w:pPr>
        <w:spacing w:after="0" w:line="100" w:lineRule="exact"/>
        <w:rPr>
          <w:sz w:val="20"/>
          <w:szCs w:val="20"/>
          <w:color w:val="auto"/>
        </w:rPr>
      </w:pPr>
    </w:p>
    <w:p>
      <w:pPr>
        <w:ind w:left="740" w:right="40"/>
        <w:spacing w:after="0" w:line="311" w:lineRule="auto"/>
        <w:rPr>
          <w:sz w:val="20"/>
          <w:szCs w:val="20"/>
          <w:color w:val="auto"/>
        </w:rPr>
      </w:pPr>
      <w:r>
        <w:rPr>
          <w:rFonts w:ascii="Arial" w:cs="Arial" w:eastAsia="Arial" w:hAnsi="Arial"/>
          <w:sz w:val="15"/>
          <w:szCs w:val="15"/>
          <w:color w:val="auto"/>
        </w:rPr>
        <w:t>For 3-year cumulative carbon emissions reduction under our Scope 3 carbon emissions objective, maximum achievement (200% of target) requires CenterPoint Energy to achieve at least a 6% reduction in Scope 3 carbon emissions compared to 2021 levels, and no shares would vest if the Company achieves reductions in Scope 3 carbon emissions of less than 3.5% compared to 2021 levels.</w:t>
      </w:r>
    </w:p>
    <w:p>
      <w:pPr>
        <w:spacing w:after="0" w:line="72" w:lineRule="exact"/>
        <w:rPr>
          <w:sz w:val="20"/>
          <w:szCs w:val="20"/>
          <w:color w:val="auto"/>
        </w:rPr>
      </w:pPr>
    </w:p>
    <w:p>
      <w:pPr>
        <w:ind w:left="740" w:right="540"/>
        <w:spacing w:after="0" w:line="304" w:lineRule="auto"/>
        <w:rPr>
          <w:sz w:val="20"/>
          <w:szCs w:val="20"/>
          <w:color w:val="auto"/>
        </w:rPr>
      </w:pPr>
      <w:r>
        <w:rPr>
          <w:rFonts w:ascii="Arial" w:cs="Arial" w:eastAsia="Arial" w:hAnsi="Arial"/>
          <w:sz w:val="16"/>
          <w:szCs w:val="16"/>
          <w:color w:val="auto"/>
        </w:rPr>
        <w:t>For information regarding how we define Scope 1, 2 and 3 carbon emissions, see “Equity Incentive Plan Awards—Additional Information” below.</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Restricted Stock Unit Awards (25% of Award Value)</w:t>
      </w:r>
    </w:p>
    <w:p>
      <w:pPr>
        <w:spacing w:after="0" w:line="52" w:lineRule="exact"/>
        <w:rPr>
          <w:sz w:val="20"/>
          <w:szCs w:val="20"/>
          <w:color w:val="auto"/>
        </w:rPr>
      </w:pPr>
    </w:p>
    <w:p>
      <w:pPr>
        <w:ind w:left="740" w:right="140"/>
        <w:spacing w:after="0" w:line="265" w:lineRule="auto"/>
        <w:rPr>
          <w:sz w:val="20"/>
          <w:szCs w:val="20"/>
          <w:color w:val="auto"/>
        </w:rPr>
      </w:pPr>
      <w:r>
        <w:rPr>
          <w:rFonts w:ascii="Arial" w:cs="Arial" w:eastAsia="Arial" w:hAnsi="Arial"/>
          <w:sz w:val="16"/>
          <w:szCs w:val="16"/>
          <w:color w:val="auto"/>
        </w:rPr>
        <w:t>The restricted stock units (RSUs or stock awards) are intended to retain executive officers and reward them for absolute long-term stock appreciation while providing some value to the recipient even if the stock price declines. In this way, the RSUs help balance against the variable, at-risk nature of the performance share unit awards and promote retention. Our 2024 RSUs (excluding any sign-on awards) are subject to a three-year graded vesting schedule with one-third of the underlying units vesting on each of the first three anniversaries of the grant date, subject to continued employment and CenterPoint Energy achieving positive operating income for the last full calendar year preceding the applicable vesting date.*</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Long-Term Incentive Awards for Named Executive Officers</w:t>
      </w:r>
    </w:p>
    <w:p>
      <w:pPr>
        <w:spacing w:after="0" w:line="122" w:lineRule="exact"/>
        <w:rPr>
          <w:sz w:val="20"/>
          <w:szCs w:val="20"/>
          <w:color w:val="auto"/>
        </w:rPr>
      </w:pPr>
    </w:p>
    <w:p>
      <w:pPr>
        <w:ind w:left="740" w:right="40"/>
        <w:spacing w:after="0" w:line="262" w:lineRule="auto"/>
        <w:rPr>
          <w:sz w:val="20"/>
          <w:szCs w:val="20"/>
          <w:color w:val="auto"/>
        </w:rPr>
      </w:pPr>
      <w:r>
        <w:rPr>
          <w:rFonts w:ascii="Arial" w:cs="Arial" w:eastAsia="Arial" w:hAnsi="Arial"/>
          <w:sz w:val="16"/>
          <w:szCs w:val="16"/>
          <w:color w:val="auto"/>
        </w:rPr>
        <w:t>On February 15, 2024, the Human Capital and Compensation Committee authorized awards as shown in the table below. The individual long-term incentive targets were authorized by the Human Capital and Compensation Committee following the Human Capital and Compensation Committee’s review of market data provided by its independent compensation consultant. Vesting and payout of the PSUs requires continuous service through the performance period and will be determined based on the level of achievement of each performance objective over the three-year cycle of 2024 through 2026. Vesting of stock awards is subject to a three-year graded vesting schedule with one-third of the underlying units vesting on each of the first three anniversaries of the grant date and requires continuous service through the applicable vesting date and achievement of positive operating income for the last full calendar year preceding the applicable vesting date.</w:t>
      </w:r>
    </w:p>
    <w:p>
      <w:pPr>
        <w:spacing w:after="0" w:line="118"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3120" w:type="dxa"/>
            <w:vAlign w:val="bottom"/>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Description</w:t>
            </w:r>
          </w:p>
        </w:tc>
        <w:tc>
          <w:tcPr>
            <w:tcW w:w="540" w:type="dxa"/>
            <w:vAlign w:val="bottom"/>
            <w:shd w:val="clear" w:color="auto" w:fill="003763"/>
          </w:tcPr>
          <w:p>
            <w:pPr>
              <w:ind w:left="300"/>
              <w:spacing w:after="0"/>
              <w:rPr>
                <w:sz w:val="20"/>
                <w:szCs w:val="20"/>
                <w:color w:val="auto"/>
              </w:rPr>
            </w:pPr>
            <w:r>
              <w:rPr>
                <w:rFonts w:ascii="Arial" w:cs="Arial" w:eastAsia="Arial" w:hAnsi="Arial"/>
                <w:sz w:val="13"/>
                <w:szCs w:val="13"/>
                <w:b w:val="1"/>
                <w:bCs w:val="1"/>
                <w:color w:val="FFFFFF"/>
              </w:rPr>
              <w:t>​ ​</w:t>
            </w:r>
          </w:p>
        </w:tc>
        <w:tc>
          <w:tcPr>
            <w:tcW w:w="580" w:type="dxa"/>
            <w:vAlign w:val="bottom"/>
            <w:shd w:val="clear" w:color="auto" w:fill="003763"/>
          </w:tcPr>
          <w:p>
            <w:pPr>
              <w:ind w:left="120"/>
              <w:spacing w:after="0"/>
              <w:rPr>
                <w:sz w:val="20"/>
                <w:szCs w:val="20"/>
                <w:color w:val="auto"/>
              </w:rPr>
            </w:pPr>
            <w:r>
              <w:rPr>
                <w:rFonts w:ascii="Arial" w:cs="Arial" w:eastAsia="Arial" w:hAnsi="Arial"/>
                <w:sz w:val="13"/>
                <w:szCs w:val="13"/>
                <w:b w:val="1"/>
                <w:bCs w:val="1"/>
                <w:color w:val="FFFFFF"/>
              </w:rPr>
              <w:t>Wells</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60" w:type="dxa"/>
            <w:vAlign w:val="bottom"/>
            <w:shd w:val="clear" w:color="auto" w:fill="003763"/>
          </w:tcPr>
          <w:p>
            <w:pPr>
              <w:spacing w:after="0"/>
              <w:rPr>
                <w:sz w:val="24"/>
                <w:szCs w:val="24"/>
                <w:color w:val="auto"/>
              </w:rPr>
            </w:pPr>
          </w:p>
        </w:tc>
        <w:tc>
          <w:tcPr>
            <w:tcW w:w="5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Foster</w:t>
            </w:r>
          </w:p>
        </w:tc>
        <w:tc>
          <w:tcPr>
            <w:tcW w:w="1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003763"/>
          </w:tcPr>
          <w:p>
            <w:pPr>
              <w:jc w:val="center"/>
              <w:ind w:right="10"/>
              <w:spacing w:after="0"/>
              <w:rPr>
                <w:sz w:val="20"/>
                <w:szCs w:val="20"/>
                <w:color w:val="auto"/>
              </w:rPr>
            </w:pPr>
            <w:r>
              <w:rPr>
                <w:rFonts w:ascii="Arial" w:cs="Arial" w:eastAsia="Arial" w:hAnsi="Arial"/>
                <w:sz w:val="13"/>
                <w:szCs w:val="13"/>
                <w:b w:val="1"/>
                <w:bCs w:val="1"/>
                <w:color w:val="FFFFFF"/>
                <w:w w:val="94"/>
              </w:rPr>
              <w:t>Karuturi</w:t>
            </w:r>
          </w:p>
        </w:tc>
        <w:tc>
          <w:tcPr>
            <w:tcW w:w="2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60" w:type="dxa"/>
            <w:vAlign w:val="bottom"/>
            <w:shd w:val="clear" w:color="auto" w:fill="003763"/>
          </w:tcPr>
          <w:p>
            <w:pPr>
              <w:spacing w:after="0"/>
              <w:rPr>
                <w:sz w:val="24"/>
                <w:szCs w:val="24"/>
                <w:color w:val="auto"/>
              </w:rPr>
            </w:pPr>
          </w:p>
        </w:tc>
        <w:tc>
          <w:tcPr>
            <w:tcW w:w="520" w:type="dxa"/>
            <w:vAlign w:val="bottom"/>
            <w:shd w:val="clear" w:color="auto" w:fill="003763"/>
          </w:tcPr>
          <w:p>
            <w:pPr>
              <w:jc w:val="center"/>
              <w:ind w:right="10"/>
              <w:spacing w:after="0"/>
              <w:rPr>
                <w:sz w:val="20"/>
                <w:szCs w:val="20"/>
                <w:color w:val="auto"/>
              </w:rPr>
            </w:pPr>
            <w:r>
              <w:rPr>
                <w:rFonts w:ascii="Arial" w:cs="Arial" w:eastAsia="Arial" w:hAnsi="Arial"/>
                <w:sz w:val="13"/>
                <w:szCs w:val="13"/>
                <w:b w:val="1"/>
                <w:bCs w:val="1"/>
                <w:color w:val="FFFFFF"/>
              </w:rPr>
              <w:t>Ryan</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80" w:type="dxa"/>
            <w:vAlign w:val="bottom"/>
            <w:gridSpan w:val="3"/>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Harkel-Rumford </w:t>
            </w:r>
            <w:r>
              <w:rPr>
                <w:rFonts w:ascii="Arial" w:cs="Arial" w:eastAsia="Arial" w:hAnsi="Arial"/>
                <w:sz w:val="25"/>
                <w:szCs w:val="25"/>
                <w:b w:val="1"/>
                <w:bCs w:val="1"/>
                <w:color w:val="FFFFFF"/>
                <w:vertAlign w:val="subscript"/>
              </w:rPr>
              <w:t>​</w:t>
            </w:r>
          </w:p>
        </w:tc>
        <w:tc>
          <w:tcPr>
            <w:tcW w:w="1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Wilson</w:t>
            </w:r>
          </w:p>
        </w:tc>
        <w:tc>
          <w:tcPr>
            <w:tcW w:w="1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284"/>
        </w:trPr>
        <w:tc>
          <w:tcPr>
            <w:tcW w:w="312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Base Salary</w:t>
            </w:r>
          </w:p>
        </w:tc>
        <w:tc>
          <w:tcPr>
            <w:tcW w:w="1380" w:type="dxa"/>
            <w:vAlign w:val="bottom"/>
            <w:tcBorders>
              <w:bottom w:val="single" w:sz="8" w:color="CCCCCC"/>
            </w:tcBorders>
            <w:gridSpan w:val="3"/>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$1,150,000</w:t>
            </w:r>
            <w:r>
              <w:rPr>
                <w:rFonts w:ascii="Arial" w:cs="Arial" w:eastAsia="Arial" w:hAnsi="Arial"/>
                <w:sz w:val="28"/>
                <w:szCs w:val="28"/>
                <w:color w:val="auto"/>
                <w:vertAlign w:val="subscript"/>
              </w:rPr>
              <w:t>​​ ​</w:t>
            </w:r>
          </w:p>
        </w:tc>
        <w:tc>
          <w:tcPr>
            <w:tcW w:w="160" w:type="dxa"/>
            <w:vAlign w:val="bottom"/>
            <w:tcBorders>
              <w:bottom w:val="single" w:sz="8" w:color="CCCCCC"/>
            </w:tcBorders>
          </w:tcPr>
          <w:p>
            <w:pPr>
              <w:ind w:left="20"/>
              <w:spacing w:after="0" w:line="28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14"/>
                <w:szCs w:val="14"/>
                <w:color w:val="auto"/>
              </w:rPr>
              <w:t>725,000</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4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14"/>
                <w:szCs w:val="14"/>
                <w:color w:val="auto"/>
              </w:rPr>
              <w:t>725,000</w:t>
            </w:r>
            <w:r>
              <w:rPr>
                <w:rFonts w:ascii="Arial" w:cs="Arial" w:eastAsia="Arial" w:hAnsi="Arial"/>
                <w:sz w:val="28"/>
                <w:szCs w:val="28"/>
                <w:color w:val="auto"/>
                <w:vertAlign w:val="subscript"/>
              </w:rPr>
              <w:t>​​ ​</w:t>
            </w:r>
          </w:p>
        </w:tc>
        <w:tc>
          <w:tcPr>
            <w:tcW w:w="160" w:type="dxa"/>
            <w:vAlign w:val="bottom"/>
            <w:tcBorders>
              <w:bottom w:val="single" w:sz="8" w:color="CCCCCC"/>
            </w:tcBorders>
          </w:tcPr>
          <w:p>
            <w:pPr>
              <w:ind w:left="20"/>
              <w:spacing w:after="0" w:line="28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14"/>
                <w:szCs w:val="14"/>
                <w:color w:val="auto"/>
              </w:rPr>
              <w:t>525,000</w:t>
            </w:r>
            <w:r>
              <w:rPr>
                <w:rFonts w:ascii="Arial" w:cs="Arial" w:eastAsia="Arial" w:hAnsi="Arial"/>
                <w:sz w:val="28"/>
                <w:szCs w:val="28"/>
                <w:color w:val="auto"/>
                <w:vertAlign w:val="subscript"/>
              </w:rPr>
              <w:t>​​</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tcPr>
          <w:p>
            <w:pPr>
              <w:jc w:val="center"/>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$475,000</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gridSpan w:val="3"/>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$465,000</w:t>
            </w:r>
            <w:r>
              <w:rPr>
                <w:rFonts w:ascii="Arial" w:cs="Arial" w:eastAsia="Arial" w:hAnsi="Arial"/>
                <w:sz w:val="28"/>
                <w:szCs w:val="28"/>
                <w:color w:val="auto"/>
                <w:vertAlign w:val="subscript"/>
              </w:rPr>
              <w:t>​​</w:t>
            </w:r>
          </w:p>
        </w:tc>
      </w:tr>
      <w:tr>
        <w:trPr>
          <w:trHeight w:val="263"/>
        </w:trPr>
        <w:tc>
          <w:tcPr>
            <w:tcW w:w="312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Long-term incentive target</w:t>
            </w:r>
          </w:p>
        </w:tc>
        <w:tc>
          <w:tcPr>
            <w:tcW w:w="540" w:type="dxa"/>
            <w:vAlign w:val="bottom"/>
            <w:tcBorders>
              <w:bottom w:val="single" w:sz="8" w:color="CCCCCC"/>
            </w:tcBorders>
            <w:shd w:val="clear" w:color="auto" w:fill="F2F2F2"/>
          </w:tcPr>
          <w:p>
            <w:pPr>
              <w:ind w:left="30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F2F2F2"/>
          </w:tcPr>
          <w:p>
            <w:pPr>
              <w:ind w:left="100"/>
              <w:spacing w:after="0"/>
              <w:rPr>
                <w:sz w:val="20"/>
                <w:szCs w:val="20"/>
                <w:color w:val="auto"/>
              </w:rPr>
            </w:pPr>
            <w:r>
              <w:rPr>
                <w:rFonts w:ascii="Arial" w:cs="Arial" w:eastAsia="Arial" w:hAnsi="Arial"/>
                <w:sz w:val="14"/>
                <w:szCs w:val="14"/>
                <w:color w:val="auto"/>
              </w:rPr>
              <w:t>500%</w:t>
            </w:r>
          </w:p>
        </w:tc>
        <w:tc>
          <w:tcPr>
            <w:tcW w:w="2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CCCC"/>
            </w:tcBorders>
            <w:shd w:val="clear" w:color="auto" w:fill="F2F2F2"/>
          </w:tcPr>
          <w:p>
            <w:pPr>
              <w:spacing w:after="0"/>
              <w:rPr>
                <w:sz w:val="22"/>
                <w:szCs w:val="22"/>
                <w:color w:val="auto"/>
              </w:rPr>
            </w:pPr>
          </w:p>
        </w:tc>
        <w:tc>
          <w:tcPr>
            <w:tcW w:w="54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260%</w:t>
            </w:r>
          </w:p>
        </w:tc>
        <w:tc>
          <w:tcPr>
            <w:tcW w:w="1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shd w:val="clear" w:color="auto" w:fill="F2F2F2"/>
          </w:tcPr>
          <w:p>
            <w:pPr>
              <w:jc w:val="right"/>
              <w:ind w:right="90"/>
              <w:spacing w:after="0"/>
              <w:rPr>
                <w:sz w:val="20"/>
                <w:szCs w:val="20"/>
                <w:color w:val="auto"/>
              </w:rPr>
            </w:pPr>
            <w:r>
              <w:rPr>
                <w:rFonts w:ascii="Arial" w:cs="Arial" w:eastAsia="Arial" w:hAnsi="Arial"/>
                <w:sz w:val="14"/>
                <w:szCs w:val="14"/>
                <w:color w:val="auto"/>
              </w:rPr>
              <w:t>260%</w:t>
            </w:r>
          </w:p>
        </w:tc>
        <w:tc>
          <w:tcPr>
            <w:tcW w:w="2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CCCC"/>
            </w:tcBorders>
            <w:shd w:val="clear" w:color="auto" w:fill="F2F2F2"/>
          </w:tcPr>
          <w:p>
            <w:pPr>
              <w:spacing w:after="0"/>
              <w:rPr>
                <w:sz w:val="22"/>
                <w:szCs w:val="22"/>
                <w:color w:val="auto"/>
              </w:rPr>
            </w:pPr>
          </w:p>
        </w:tc>
        <w:tc>
          <w:tcPr>
            <w:tcW w:w="520" w:type="dxa"/>
            <w:vAlign w:val="bottom"/>
            <w:tcBorders>
              <w:bottom w:val="single" w:sz="8" w:color="CCCCCC"/>
            </w:tcBorders>
            <w:shd w:val="clear" w:color="auto" w:fill="F2F2F2"/>
          </w:tcPr>
          <w:p>
            <w:pPr>
              <w:jc w:val="right"/>
              <w:ind w:right="50"/>
              <w:spacing w:after="0"/>
              <w:rPr>
                <w:sz w:val="20"/>
                <w:szCs w:val="20"/>
                <w:color w:val="auto"/>
              </w:rPr>
            </w:pPr>
            <w:r>
              <w:rPr>
                <w:rFonts w:ascii="Arial" w:cs="Arial" w:eastAsia="Arial" w:hAnsi="Arial"/>
                <w:sz w:val="14"/>
                <w:szCs w:val="14"/>
                <w:color w:val="auto"/>
              </w:rPr>
              <w:t>200%</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F2F2F2"/>
          </w:tcPr>
          <w:p>
            <w:pPr>
              <w:jc w:val="center"/>
              <w:spacing w:after="0"/>
              <w:rPr>
                <w:sz w:val="20"/>
                <w:szCs w:val="20"/>
                <w:color w:val="auto"/>
              </w:rPr>
            </w:pPr>
            <w:r>
              <w:rPr>
                <w:rFonts w:ascii="Arial" w:cs="Arial" w:eastAsia="Arial" w:hAnsi="Arial"/>
                <w:sz w:val="14"/>
                <w:szCs w:val="14"/>
                <w:color w:val="auto"/>
              </w:rPr>
              <w:t>200%</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F2F2F2"/>
          </w:tcPr>
          <w:p>
            <w:pPr>
              <w:jc w:val="right"/>
              <w:ind w:right="13"/>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312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Long-term incentive compensation at target</w:t>
            </w:r>
          </w:p>
        </w:tc>
        <w:tc>
          <w:tcPr>
            <w:tcW w:w="13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$5,750,000</w:t>
            </w:r>
            <w:r>
              <w:rPr>
                <w:rFonts w:ascii="Arial" w:cs="Arial" w:eastAsia="Arial" w:hAnsi="Arial"/>
                <w:sz w:val="28"/>
                <w:szCs w:val="28"/>
                <w:color w:val="auto"/>
                <w:vertAlign w:val="subscript"/>
              </w:rPr>
              <w:t>​​ ​</w:t>
            </w:r>
          </w:p>
        </w:tc>
        <w:tc>
          <w:tcPr>
            <w:tcW w:w="8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$1,885,000</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1,885,000</w:t>
            </w:r>
            <w:r>
              <w:rPr>
                <w:rFonts w:ascii="Arial" w:cs="Arial" w:eastAsia="Arial" w:hAnsi="Arial"/>
                <w:sz w:val="28"/>
                <w:szCs w:val="28"/>
                <w:color w:val="auto"/>
                <w:vertAlign w:val="subscript"/>
              </w:rPr>
              <w:t>​​ ​</w:t>
            </w:r>
          </w:p>
        </w:tc>
        <w:tc>
          <w:tcPr>
            <w:tcW w:w="8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$1,050,000</w:t>
            </w:r>
            <w:r>
              <w:rPr>
                <w:rFonts w:ascii="Arial" w:cs="Arial" w:eastAsia="Arial" w:hAnsi="Arial"/>
                <w:sz w:val="28"/>
                <w:szCs w:val="28"/>
                <w:color w:val="auto"/>
                <w:vertAlign w:val="subscript"/>
              </w:rPr>
              <w:t>​​</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$950,000</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$744,000</w:t>
            </w:r>
            <w:r>
              <w:rPr>
                <w:rFonts w:ascii="Arial" w:cs="Arial" w:eastAsia="Arial" w:hAnsi="Arial"/>
                <w:sz w:val="28"/>
                <w:szCs w:val="28"/>
                <w:color w:val="auto"/>
                <w:vertAlign w:val="subscript"/>
              </w:rPr>
              <w:t>​​</w:t>
            </w:r>
          </w:p>
        </w:tc>
      </w:tr>
      <w:tr>
        <w:trPr>
          <w:trHeight w:val="264"/>
        </w:trPr>
        <w:tc>
          <w:tcPr>
            <w:tcW w:w="312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Performance share unit portion (75%)</w:t>
            </w:r>
          </w:p>
        </w:tc>
        <w:tc>
          <w:tcPr>
            <w:tcW w:w="138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$4,312,500</w:t>
            </w:r>
            <w:r>
              <w:rPr>
                <w:rFonts w:ascii="Arial" w:cs="Arial" w:eastAsia="Arial" w:hAnsi="Arial"/>
                <w:sz w:val="28"/>
                <w:szCs w:val="28"/>
                <w:color w:val="auto"/>
                <w:vertAlign w:val="subscript"/>
              </w:rPr>
              <w:t>​​ ​</w:t>
            </w:r>
          </w:p>
        </w:tc>
        <w:tc>
          <w:tcPr>
            <w:tcW w:w="88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$1,413,750</w:t>
            </w:r>
            <w:r>
              <w:rPr>
                <w:rFonts w:ascii="Arial" w:cs="Arial" w:eastAsia="Arial" w:hAnsi="Arial"/>
                <w:sz w:val="28"/>
                <w:szCs w:val="28"/>
                <w:color w:val="auto"/>
                <w:vertAlign w:val="subscript"/>
              </w:rPr>
              <w:t>​​</w:t>
            </w:r>
          </w:p>
        </w:tc>
        <w:tc>
          <w:tcPr>
            <w:tcW w:w="20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1,413,750</w:t>
            </w:r>
            <w:r>
              <w:rPr>
                <w:rFonts w:ascii="Arial" w:cs="Arial" w:eastAsia="Arial" w:hAnsi="Arial"/>
                <w:sz w:val="28"/>
                <w:szCs w:val="28"/>
                <w:color w:val="auto"/>
                <w:vertAlign w:val="subscript"/>
              </w:rPr>
              <w:t>​​ ​</w:t>
            </w:r>
          </w:p>
        </w:tc>
        <w:tc>
          <w:tcPr>
            <w:tcW w:w="16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787,500</w:t>
            </w:r>
            <w:r>
              <w:rPr>
                <w:rFonts w:ascii="Arial" w:cs="Arial" w:eastAsia="Arial" w:hAnsi="Arial"/>
                <w:sz w:val="28"/>
                <w:szCs w:val="28"/>
                <w:color w:val="auto"/>
                <w:vertAlign w:val="subscript"/>
              </w:rPr>
              <w:t>​​</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$712,500</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$558,000</w:t>
            </w:r>
            <w:r>
              <w:rPr>
                <w:rFonts w:ascii="Arial" w:cs="Arial" w:eastAsia="Arial" w:hAnsi="Arial"/>
                <w:sz w:val="28"/>
                <w:szCs w:val="28"/>
                <w:color w:val="auto"/>
                <w:vertAlign w:val="subscript"/>
              </w:rPr>
              <w:t>​​</w:t>
            </w:r>
          </w:p>
        </w:tc>
      </w:tr>
      <w:tr>
        <w:trPr>
          <w:trHeight w:val="263"/>
        </w:trPr>
        <w:tc>
          <w:tcPr>
            <w:tcW w:w="312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Stock award portion (25%)</w:t>
            </w:r>
          </w:p>
        </w:tc>
        <w:tc>
          <w:tcPr>
            <w:tcW w:w="13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$1,437,500</w:t>
            </w:r>
            <w:r>
              <w:rPr>
                <w:rFonts w:ascii="Arial" w:cs="Arial" w:eastAsia="Arial" w:hAnsi="Arial"/>
                <w:sz w:val="28"/>
                <w:szCs w:val="28"/>
                <w:color w:val="auto"/>
                <w:vertAlign w:val="subscript"/>
              </w:rPr>
              <w:t>​​ ​</w:t>
            </w:r>
          </w:p>
        </w:tc>
        <w:tc>
          <w:tcPr>
            <w:tcW w:w="16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471,250</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471,250</w:t>
            </w:r>
            <w:r>
              <w:rPr>
                <w:rFonts w:ascii="Arial" w:cs="Arial" w:eastAsia="Arial" w:hAnsi="Arial"/>
                <w:sz w:val="28"/>
                <w:szCs w:val="28"/>
                <w:color w:val="auto"/>
                <w:vertAlign w:val="subscript"/>
              </w:rPr>
              <w:t>​​ ​</w:t>
            </w:r>
          </w:p>
        </w:tc>
        <w:tc>
          <w:tcPr>
            <w:tcW w:w="16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262,500</w:t>
            </w:r>
            <w:r>
              <w:rPr>
                <w:rFonts w:ascii="Arial" w:cs="Arial" w:eastAsia="Arial" w:hAnsi="Arial"/>
                <w:sz w:val="28"/>
                <w:szCs w:val="28"/>
                <w:color w:val="auto"/>
                <w:vertAlign w:val="subscript"/>
              </w:rPr>
              <w:t>​​</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$237,500</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$186,000</w:t>
            </w:r>
            <w:r>
              <w:rPr>
                <w:rFonts w:ascii="Arial" w:cs="Arial" w:eastAsia="Arial" w:hAnsi="Arial"/>
                <w:sz w:val="28"/>
                <w:szCs w:val="28"/>
                <w:color w:val="auto"/>
                <w:vertAlign w:val="subscript"/>
              </w:rPr>
              <w:t>​​</w:t>
            </w:r>
          </w:p>
        </w:tc>
      </w:tr>
    </w:tbl>
    <w:p>
      <w:pPr>
        <w:spacing w:after="0" w:line="215" w:lineRule="exact"/>
        <w:rPr>
          <w:sz w:val="20"/>
          <w:szCs w:val="20"/>
          <w:color w:val="auto"/>
        </w:rPr>
      </w:pPr>
    </w:p>
    <w:p>
      <w:pPr>
        <w:jc w:val="both"/>
        <w:ind w:left="740" w:right="400"/>
        <w:spacing w:after="0" w:line="284" w:lineRule="auto"/>
        <w:rPr>
          <w:sz w:val="20"/>
          <w:szCs w:val="20"/>
          <w:color w:val="auto"/>
        </w:rPr>
      </w:pPr>
      <w:r>
        <w:rPr>
          <w:rFonts w:ascii="Arial" w:cs="Arial" w:eastAsia="Arial" w:hAnsi="Arial"/>
          <w:sz w:val="16"/>
          <w:szCs w:val="16"/>
          <w:color w:val="auto"/>
        </w:rPr>
        <w:t>Mr. Lesar retired from the Company on January 5, 2024, and, therefore, was not eligible for, and did not receive a grant of, any award under the long-term incentive plan for 2024. Ms. Wilson’s 2024 awards, along with the rest of her outstanding long-term incentive awards, were forfeited upon her departure from the Company in accordance with their terms.</w:t>
      </w:r>
    </w:p>
    <w:p>
      <w:pPr>
        <w:spacing w:after="0" w:line="89" w:lineRule="exact"/>
        <w:rPr>
          <w:sz w:val="20"/>
          <w:szCs w:val="20"/>
          <w:color w:val="auto"/>
        </w:rPr>
      </w:pPr>
    </w:p>
    <w:p>
      <w:pPr>
        <w:ind w:left="740" w:right="100"/>
        <w:spacing w:after="0" w:line="271" w:lineRule="auto"/>
        <w:rPr>
          <w:sz w:val="20"/>
          <w:szCs w:val="20"/>
          <w:color w:val="auto"/>
        </w:rPr>
      </w:pPr>
      <w:r>
        <w:rPr>
          <w:rFonts w:ascii="Arial" w:cs="Arial" w:eastAsia="Arial" w:hAnsi="Arial"/>
          <w:sz w:val="16"/>
          <w:szCs w:val="16"/>
          <w:color w:val="auto"/>
        </w:rPr>
        <w:t>Both the PSUs and the RSUs accrue dividend equivalents over the performance cycle or vesting period, respectively, until they are delivered, at the same level as dividends earned by shareholders on shares of our common stock outstanding. Dividend equivalents on the shares that are vested are paid in cash when the shares are delivered. Dividend equivalents are not paid with respect to unearned and unvested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right="580" w:hanging="109"/>
        <w:spacing w:after="0" w:line="264" w:lineRule="auto"/>
        <w:tabs>
          <w:tab w:leader="none" w:pos="8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RSUs granted prior to 2024 (excluding any sign-on or buy-out awards) vested under a three-year cliff vesting schedule, subject to continued employment and CenterPoint Energy achieving positive operating income for the last full calendar year of the vesting period.</w:t>
      </w:r>
    </w:p>
    <w:p>
      <w:pPr>
        <w:sectPr>
          <w:pgSz w:w="11900" w:h="16838" w:orient="portrait"/>
          <w:cols w:equalWidth="0" w:num="1">
            <w:col w:w="10020"/>
          </w:cols>
          <w:pgMar w:left="580" w:top="97" w:right="1299" w:bottom="1440" w:gutter="0" w:footer="0" w:header="0"/>
        </w:sectPr>
      </w:pPr>
    </w:p>
    <w:p>
      <w:pPr>
        <w:spacing w:after="0" w:line="23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2022 – 2024 PSU Award Vesting</w:t>
      </w:r>
    </w:p>
    <w:p>
      <w:pPr>
        <w:spacing w:after="0" w:line="122" w:lineRule="exact"/>
        <w:rPr>
          <w:sz w:val="20"/>
          <w:szCs w:val="20"/>
          <w:color w:val="auto"/>
        </w:rPr>
      </w:pPr>
    </w:p>
    <w:p>
      <w:pPr>
        <w:ind w:left="740" w:right="80"/>
        <w:spacing w:after="0" w:line="265" w:lineRule="auto"/>
        <w:rPr>
          <w:sz w:val="20"/>
          <w:szCs w:val="20"/>
          <w:color w:val="auto"/>
        </w:rPr>
      </w:pPr>
      <w:r>
        <w:rPr>
          <w:rFonts w:ascii="Arial" w:cs="Arial" w:eastAsia="Arial" w:hAnsi="Arial"/>
          <w:sz w:val="16"/>
          <w:szCs w:val="16"/>
          <w:color w:val="auto"/>
        </w:rPr>
        <w:t>The calculated payout for the 2022 – 2024 PSU awards was 149% of target based on the Company’s three-year relative TSR performance, three-year cumulative non-GAAP Adjusted EPS and three-year cumulative carbon emissions reduction performance. The Company exceeded the target for cumulative non-GAAP Adjusted EPS, as well as cumulative carbon emissions reduction under Scopes 1, 2 and 3, and met the target for relative TSR during the performance period.</w:t>
      </w:r>
    </w:p>
    <w:p>
      <w:pPr>
        <w:spacing w:after="0" w:line="160" w:lineRule="exact"/>
        <w:rPr>
          <w:sz w:val="20"/>
          <w:szCs w:val="20"/>
          <w:color w:val="auto"/>
        </w:rPr>
      </w:pPr>
    </w:p>
    <w:tbl>
      <w:tblPr>
        <w:tblLayout w:type="fixed"/>
        <w:tblInd w:w="740" w:type="dxa"/>
        <w:tblCellMar>
          <w:top w:w="0" w:type="dxa"/>
          <w:left w:w="0" w:type="dxa"/>
          <w:bottom w:w="0" w:type="dxa"/>
          <w:right w:w="0" w:type="dxa"/>
        </w:tblCellMar>
      </w:tblPr>
      <w:tr>
        <w:trPr>
          <w:trHeight w:val="158"/>
        </w:trPr>
        <w:tc>
          <w:tcPr>
            <w:tcW w:w="250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2022 – 2024</w:t>
            </w:r>
          </w:p>
        </w:tc>
        <w:tc>
          <w:tcPr>
            <w:tcW w:w="200" w:type="dxa"/>
            <w:vAlign w:val="bottom"/>
            <w:shd w:val="clear" w:color="auto" w:fill="003763"/>
          </w:tcPr>
          <w:p>
            <w:pPr>
              <w:spacing w:after="0"/>
              <w:rPr>
                <w:sz w:val="13"/>
                <w:szCs w:val="13"/>
                <w:color w:val="auto"/>
              </w:rPr>
            </w:pPr>
          </w:p>
        </w:tc>
        <w:tc>
          <w:tcPr>
            <w:tcW w:w="1280" w:type="dxa"/>
            <w:vAlign w:val="bottom"/>
            <w:shd w:val="clear" w:color="auto" w:fill="003763"/>
          </w:tcPr>
          <w:p>
            <w:pPr>
              <w:spacing w:after="0"/>
              <w:rPr>
                <w:sz w:val="13"/>
                <w:szCs w:val="13"/>
                <w:color w:val="auto"/>
              </w:rPr>
            </w:pPr>
          </w:p>
        </w:tc>
        <w:tc>
          <w:tcPr>
            <w:tcW w:w="1660" w:type="dxa"/>
            <w:vAlign w:val="bottom"/>
            <w:gridSpan w:val="3"/>
            <w:shd w:val="clear" w:color="auto" w:fill="003763"/>
          </w:tcPr>
          <w:p>
            <w:pPr>
              <w:ind w:left="40"/>
              <w:spacing w:after="0"/>
              <w:rPr>
                <w:sz w:val="20"/>
                <w:szCs w:val="20"/>
                <w:color w:val="auto"/>
              </w:rPr>
            </w:pPr>
            <w:r>
              <w:rPr>
                <w:rFonts w:ascii="Arial" w:cs="Arial" w:eastAsia="Arial" w:hAnsi="Arial"/>
                <w:sz w:val="13"/>
                <w:szCs w:val="13"/>
                <w:b w:val="1"/>
                <w:bCs w:val="1"/>
                <w:color w:val="FFFFFF"/>
                <w:w w:val="98"/>
              </w:rPr>
              <w:t>AWARD DETERMINATION</w:t>
            </w:r>
          </w:p>
        </w:tc>
        <w:tc>
          <w:tcPr>
            <w:tcW w:w="1300" w:type="dxa"/>
            <w:vAlign w:val="bottom"/>
            <w:shd w:val="clear" w:color="auto" w:fill="003763"/>
          </w:tcPr>
          <w:p>
            <w:pPr>
              <w:spacing w:after="0"/>
              <w:rPr>
                <w:sz w:val="13"/>
                <w:szCs w:val="13"/>
                <w:color w:val="auto"/>
              </w:rPr>
            </w:pPr>
          </w:p>
        </w:tc>
        <w:tc>
          <w:tcPr>
            <w:tcW w:w="260" w:type="dxa"/>
            <w:vAlign w:val="bottom"/>
            <w:shd w:val="clear" w:color="auto" w:fill="003763"/>
          </w:tcPr>
          <w:p>
            <w:pPr>
              <w:spacing w:after="0"/>
              <w:rPr>
                <w:sz w:val="13"/>
                <w:szCs w:val="13"/>
                <w:color w:val="auto"/>
              </w:rPr>
            </w:pPr>
          </w:p>
        </w:tc>
        <w:tc>
          <w:tcPr>
            <w:tcW w:w="540" w:type="dxa"/>
            <w:vAlign w:val="bottom"/>
            <w:shd w:val="clear" w:color="auto" w:fill="003763"/>
          </w:tcPr>
          <w:p>
            <w:pPr>
              <w:spacing w:after="0"/>
              <w:rPr>
                <w:sz w:val="13"/>
                <w:szCs w:val="13"/>
                <w:color w:val="auto"/>
              </w:rPr>
            </w:pPr>
          </w:p>
        </w:tc>
        <w:tc>
          <w:tcPr>
            <w:tcW w:w="260" w:type="dxa"/>
            <w:vAlign w:val="bottom"/>
            <w:shd w:val="clear" w:color="auto" w:fill="003763"/>
          </w:tcPr>
          <w:p>
            <w:pPr>
              <w:spacing w:after="0"/>
              <w:rPr>
                <w:sz w:val="13"/>
                <w:szCs w:val="13"/>
                <w:color w:val="auto"/>
              </w:rPr>
            </w:pPr>
          </w:p>
        </w:tc>
        <w:tc>
          <w:tcPr>
            <w:tcW w:w="560" w:type="dxa"/>
            <w:vAlign w:val="bottom"/>
            <w:shd w:val="clear" w:color="auto" w:fill="003763"/>
          </w:tcPr>
          <w:p>
            <w:pPr>
              <w:spacing w:after="0"/>
              <w:rPr>
                <w:sz w:val="13"/>
                <w:szCs w:val="13"/>
                <w:color w:val="auto"/>
              </w:rPr>
            </w:pPr>
          </w:p>
        </w:tc>
        <w:tc>
          <w:tcPr>
            <w:tcW w:w="700" w:type="dxa"/>
            <w:vAlign w:val="bottom"/>
            <w:shd w:val="clear" w:color="auto" w:fill="003763"/>
          </w:tcPr>
          <w:p>
            <w:pPr>
              <w:spacing w:after="0"/>
              <w:rPr>
                <w:sz w:val="13"/>
                <w:szCs w:val="13"/>
                <w:color w:val="auto"/>
              </w:rPr>
            </w:pPr>
          </w:p>
        </w:tc>
      </w:tr>
      <w:tr>
        <w:trPr>
          <w:trHeight w:val="207"/>
        </w:trPr>
        <w:tc>
          <w:tcPr>
            <w:tcW w:w="2500" w:type="dxa"/>
            <w:vAlign w:val="bottom"/>
            <w:shd w:val="clear" w:color="auto" w:fill="003763"/>
          </w:tcPr>
          <w:p>
            <w:pPr>
              <w:ind w:left="40"/>
              <w:spacing w:after="0" w:line="207"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2"/>
                <w:szCs w:val="12"/>
                <w:b w:val="1"/>
                <w:bCs w:val="1"/>
                <w:color w:val="FFFFFF"/>
              </w:rPr>
              <w:t xml:space="preserve"> PSU AWARD GOALS</w:t>
            </w:r>
          </w:p>
        </w:tc>
        <w:tc>
          <w:tcPr>
            <w:tcW w:w="20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 ​</w:t>
            </w:r>
          </w:p>
        </w:tc>
        <w:tc>
          <w:tcPr>
            <w:tcW w:w="1280" w:type="dxa"/>
            <w:vAlign w:val="bottom"/>
            <w:shd w:val="clear" w:color="auto" w:fill="003763"/>
          </w:tcPr>
          <w:p>
            <w:pPr>
              <w:spacing w:after="0"/>
              <w:rPr>
                <w:sz w:val="18"/>
                <w:szCs w:val="18"/>
                <w:color w:val="auto"/>
              </w:rPr>
            </w:pPr>
          </w:p>
        </w:tc>
        <w:tc>
          <w:tcPr>
            <w:tcW w:w="180" w:type="dxa"/>
            <w:vAlign w:val="bottom"/>
            <w:shd w:val="clear" w:color="auto" w:fill="003763"/>
          </w:tcPr>
          <w:p>
            <w:pPr>
              <w:spacing w:after="0"/>
              <w:rPr>
                <w:sz w:val="18"/>
                <w:szCs w:val="18"/>
                <w:color w:val="auto"/>
              </w:rPr>
            </w:pPr>
          </w:p>
        </w:tc>
        <w:tc>
          <w:tcPr>
            <w:tcW w:w="13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 in millions)</w:t>
            </w:r>
          </w:p>
        </w:tc>
        <w:tc>
          <w:tcPr>
            <w:tcW w:w="180" w:type="dxa"/>
            <w:vAlign w:val="bottom"/>
            <w:shd w:val="clear" w:color="auto" w:fill="003763"/>
          </w:tcPr>
          <w:p>
            <w:pPr>
              <w:spacing w:after="0"/>
              <w:rPr>
                <w:sz w:val="18"/>
                <w:szCs w:val="18"/>
                <w:color w:val="auto"/>
              </w:rPr>
            </w:pPr>
          </w:p>
        </w:tc>
        <w:tc>
          <w:tcPr>
            <w:tcW w:w="1300" w:type="dxa"/>
            <w:vAlign w:val="bottom"/>
            <w:shd w:val="clear" w:color="auto" w:fill="003763"/>
          </w:tcPr>
          <w:p>
            <w:pPr>
              <w:spacing w:after="0"/>
              <w:rPr>
                <w:sz w:val="18"/>
                <w:szCs w:val="18"/>
                <w:color w:val="auto"/>
              </w:rPr>
            </w:pPr>
          </w:p>
        </w:tc>
        <w:tc>
          <w:tcPr>
            <w:tcW w:w="1060" w:type="dxa"/>
            <w:vAlign w:val="bottom"/>
            <w:gridSpan w:val="3"/>
            <w:shd w:val="clear" w:color="auto" w:fill="003763"/>
          </w:tcPr>
          <w:p>
            <w:pPr>
              <w:ind w:left="40"/>
              <w:spacing w:after="0" w:line="207"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2"/>
                <w:szCs w:val="12"/>
                <w:b w:val="1"/>
                <w:bCs w:val="1"/>
                <w:color w:val="FFFFFF"/>
              </w:rPr>
              <w:t xml:space="preserve"> WEIGHTING </w:t>
            </w:r>
            <w:r>
              <w:rPr>
                <w:rFonts w:ascii="Arial" w:cs="Arial" w:eastAsia="Arial" w:hAnsi="Arial"/>
                <w:sz w:val="24"/>
                <w:szCs w:val="24"/>
                <w:b w:val="1"/>
                <w:bCs w:val="1"/>
                <w:color w:val="FFFFFF"/>
                <w:vertAlign w:val="subscript"/>
              </w:rPr>
              <w:t>​ ​</w:t>
            </w:r>
          </w:p>
        </w:tc>
        <w:tc>
          <w:tcPr>
            <w:tcW w:w="1260" w:type="dxa"/>
            <w:vAlign w:val="bottom"/>
            <w:gridSpan w:val="2"/>
            <w:shd w:val="clear" w:color="auto" w:fill="003763"/>
          </w:tcPr>
          <w:p>
            <w:pPr>
              <w:ind w:left="120"/>
              <w:spacing w:after="0" w:line="207" w:lineRule="exact"/>
              <w:rPr>
                <w:sz w:val="20"/>
                <w:szCs w:val="20"/>
                <w:color w:val="auto"/>
              </w:rPr>
            </w:pPr>
            <w:r>
              <w:rPr>
                <w:rFonts w:ascii="Arial" w:cs="Arial" w:eastAsia="Arial" w:hAnsi="Arial"/>
                <w:sz w:val="12"/>
                <w:szCs w:val="12"/>
                <w:b w:val="1"/>
                <w:bCs w:val="1"/>
                <w:color w:val="FFFFFF"/>
              </w:rPr>
              <w:t xml:space="preserve">ACHIEVEMENT   </w:t>
            </w:r>
            <w:r>
              <w:rPr>
                <w:rFonts w:ascii="Arial" w:cs="Arial" w:eastAsia="Arial" w:hAnsi="Arial"/>
                <w:sz w:val="24"/>
                <w:szCs w:val="24"/>
                <w:b w:val="1"/>
                <w:bCs w:val="1"/>
                <w:color w:val="FFFFFF"/>
                <w:vertAlign w:val="subscript"/>
              </w:rPr>
              <w:t>​</w:t>
            </w:r>
          </w:p>
        </w:tc>
      </w:tr>
      <w:tr>
        <w:trPr>
          <w:trHeight w:val="226"/>
        </w:trPr>
        <w:tc>
          <w:tcPr>
            <w:tcW w:w="2500" w:type="dxa"/>
            <w:vAlign w:val="bottom"/>
          </w:tcPr>
          <w:p>
            <w:pPr>
              <w:ind w:left="40"/>
              <w:spacing w:after="0" w:line="226"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b w:val="1"/>
                <w:bCs w:val="1"/>
                <w:color w:val="auto"/>
              </w:rPr>
              <w:t>TSR Performance</w:t>
            </w:r>
          </w:p>
        </w:tc>
        <w:tc>
          <w:tcPr>
            <w:tcW w:w="200" w:type="dxa"/>
            <w:vAlign w:val="bottom"/>
          </w:tcPr>
          <w:p>
            <w:pPr>
              <w:ind w:left="60"/>
              <w:spacing w:after="0"/>
              <w:rPr>
                <w:sz w:val="20"/>
                <w:szCs w:val="20"/>
                <w:color w:val="auto"/>
              </w:rPr>
            </w:pPr>
            <w:r>
              <w:rPr>
                <w:rFonts w:ascii="Arial" w:cs="Arial" w:eastAsia="Arial" w:hAnsi="Arial"/>
                <w:sz w:val="15"/>
                <w:szCs w:val="15"/>
                <w:color w:val="auto"/>
              </w:rPr>
              <w:t>​ ​</w:t>
            </w:r>
          </w:p>
        </w:tc>
        <w:tc>
          <w:tcPr>
            <w:tcW w:w="1280" w:type="dxa"/>
            <w:vAlign w:val="bottom"/>
          </w:tcPr>
          <w:p>
            <w:pPr>
              <w:jc w:val="center"/>
              <w:spacing w:after="0"/>
              <w:rPr>
                <w:sz w:val="20"/>
                <w:szCs w:val="20"/>
                <w:color w:val="auto"/>
              </w:rPr>
            </w:pPr>
            <w:r>
              <w:rPr>
                <w:rFonts w:ascii="Arial" w:cs="Arial" w:eastAsia="Arial" w:hAnsi="Arial"/>
                <w:sz w:val="15"/>
                <w:szCs w:val="15"/>
                <w:color w:val="auto"/>
                <w:w w:val="98"/>
              </w:rPr>
              <w:t>Threshold</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1300" w:type="dxa"/>
            <w:vAlign w:val="bottom"/>
          </w:tcPr>
          <w:p>
            <w:pPr>
              <w:jc w:val="center"/>
              <w:spacing w:after="0"/>
              <w:rPr>
                <w:sz w:val="20"/>
                <w:szCs w:val="20"/>
                <w:color w:val="auto"/>
              </w:rPr>
            </w:pPr>
            <w:r>
              <w:rPr>
                <w:rFonts w:ascii="Arial" w:cs="Arial" w:eastAsia="Arial" w:hAnsi="Arial"/>
                <w:sz w:val="15"/>
                <w:szCs w:val="15"/>
                <w:color w:val="auto"/>
                <w:w w:val="96"/>
              </w:rPr>
              <w:t>Target</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1300" w:type="dxa"/>
            <w:vAlign w:val="bottom"/>
          </w:tcPr>
          <w:p>
            <w:pPr>
              <w:jc w:val="center"/>
              <w:ind w:right="4"/>
              <w:spacing w:after="0"/>
              <w:rPr>
                <w:sz w:val="20"/>
                <w:szCs w:val="20"/>
                <w:color w:val="auto"/>
              </w:rPr>
            </w:pPr>
            <w:r>
              <w:rPr>
                <w:rFonts w:ascii="Arial" w:cs="Arial" w:eastAsia="Arial" w:hAnsi="Arial"/>
                <w:sz w:val="15"/>
                <w:szCs w:val="15"/>
                <w:color w:val="auto"/>
              </w:rPr>
              <w:t>Maximum</w:t>
            </w:r>
          </w:p>
        </w:tc>
        <w:tc>
          <w:tcPr>
            <w:tcW w:w="260" w:type="dxa"/>
            <w:vAlign w:val="bottom"/>
          </w:tcPr>
          <w:p>
            <w:pPr>
              <w:ind w:left="40"/>
              <w:spacing w:after="0"/>
              <w:rPr>
                <w:sz w:val="20"/>
                <w:szCs w:val="20"/>
                <w:color w:val="auto"/>
              </w:rPr>
            </w:pPr>
            <w:r>
              <w:rPr>
                <w:rFonts w:ascii="Arial" w:cs="Arial" w:eastAsia="Arial" w:hAnsi="Arial"/>
                <w:sz w:val="15"/>
                <w:szCs w:val="15"/>
                <w:color w:val="auto"/>
              </w:rPr>
              <w:t>​ ​</w:t>
            </w:r>
          </w:p>
        </w:tc>
        <w:tc>
          <w:tcPr>
            <w:tcW w:w="540" w:type="dxa"/>
            <w:vAlign w:val="bottom"/>
          </w:tcPr>
          <w:p>
            <w:pPr>
              <w:jc w:val="center"/>
              <w:spacing w:after="0"/>
              <w:rPr>
                <w:sz w:val="20"/>
                <w:szCs w:val="20"/>
                <w:color w:val="auto"/>
              </w:rPr>
            </w:pPr>
            <w:r>
              <w:rPr>
                <w:rFonts w:ascii="Arial" w:cs="Arial" w:eastAsia="Arial" w:hAnsi="Arial"/>
                <w:sz w:val="15"/>
                <w:szCs w:val="15"/>
                <w:color w:val="auto"/>
                <w:w w:val="99"/>
              </w:rPr>
              <w:t>35%</w:t>
            </w:r>
          </w:p>
        </w:tc>
        <w:tc>
          <w:tcPr>
            <w:tcW w:w="260" w:type="dxa"/>
            <w:vAlign w:val="bottom"/>
          </w:tcPr>
          <w:p>
            <w:pPr>
              <w:ind w:left="140"/>
              <w:spacing w:after="0"/>
              <w:rPr>
                <w:sz w:val="20"/>
                <w:szCs w:val="20"/>
                <w:color w:val="auto"/>
              </w:rPr>
            </w:pPr>
            <w:r>
              <w:rPr>
                <w:rFonts w:ascii="Arial" w:cs="Arial" w:eastAsia="Arial" w:hAnsi="Arial"/>
                <w:sz w:val="15"/>
                <w:szCs w:val="15"/>
                <w:color w:val="auto"/>
              </w:rPr>
              <w:t>​ ​</w:t>
            </w:r>
          </w:p>
        </w:tc>
        <w:tc>
          <w:tcPr>
            <w:tcW w:w="560" w:type="dxa"/>
            <w:vAlign w:val="bottom"/>
          </w:tcPr>
          <w:p>
            <w:pPr>
              <w:ind w:left="120"/>
              <w:spacing w:after="0"/>
              <w:rPr>
                <w:sz w:val="20"/>
                <w:szCs w:val="20"/>
                <w:color w:val="auto"/>
              </w:rPr>
            </w:pPr>
            <w:r>
              <w:rPr>
                <w:rFonts w:ascii="Arial" w:cs="Arial" w:eastAsia="Arial" w:hAnsi="Arial"/>
                <w:sz w:val="15"/>
                <w:szCs w:val="15"/>
                <w:color w:val="auto"/>
              </w:rPr>
              <w:t>10</w:t>
            </w:r>
            <w:r>
              <w:rPr>
                <w:rFonts w:ascii="Arial" w:cs="Arial" w:eastAsia="Arial" w:hAnsi="Arial"/>
                <w:sz w:val="19"/>
                <w:szCs w:val="19"/>
                <w:color w:val="auto"/>
                <w:vertAlign w:val="superscript"/>
              </w:rPr>
              <w:t>th</w:t>
            </w:r>
          </w:p>
        </w:tc>
        <w:tc>
          <w:tcPr>
            <w:tcW w:w="700" w:type="dxa"/>
            <w:vAlign w:val="bottom"/>
          </w:tcPr>
          <w:p>
            <w:pPr>
              <w:ind w:left="40"/>
              <w:spacing w:after="0" w:line="226"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100% </w:t>
            </w:r>
            <w:r>
              <w:rPr>
                <w:rFonts w:ascii="Arial" w:cs="Arial" w:eastAsia="Arial" w:hAnsi="Arial"/>
                <w:sz w:val="26"/>
                <w:szCs w:val="26"/>
                <w:color w:val="auto"/>
                <w:vertAlign w:val="superscript"/>
              </w:rPr>
              <w:t>​</w:t>
            </w:r>
          </w:p>
        </w:tc>
      </w:tr>
      <w:tr>
        <w:trPr>
          <w:trHeight w:val="166"/>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spacing w:after="0" w:line="166" w:lineRule="exact"/>
              <w:rPr>
                <w:sz w:val="20"/>
                <w:szCs w:val="20"/>
                <w:color w:val="auto"/>
              </w:rPr>
            </w:pPr>
            <w:r>
              <w:rPr>
                <w:rFonts w:ascii="Arial" w:cs="Arial" w:eastAsia="Arial" w:hAnsi="Arial"/>
                <w:sz w:val="15"/>
                <w:szCs w:val="15"/>
                <w:color w:val="auto"/>
                <w:w w:val="99"/>
              </w:rPr>
              <w:t>(33%)</w:t>
            </w:r>
          </w:p>
        </w:tc>
        <w:tc>
          <w:tcPr>
            <w:tcW w:w="18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Arial" w:cs="Arial" w:eastAsia="Arial" w:hAnsi="Arial"/>
                <w:sz w:val="15"/>
                <w:szCs w:val="15"/>
                <w:color w:val="auto"/>
                <w:w w:val="99"/>
              </w:rPr>
              <w:t>(100%)</w:t>
            </w:r>
          </w:p>
        </w:tc>
        <w:tc>
          <w:tcPr>
            <w:tcW w:w="180" w:type="dxa"/>
            <w:vAlign w:val="bottom"/>
          </w:tcPr>
          <w:p>
            <w:pPr>
              <w:spacing w:after="0"/>
              <w:rPr>
                <w:sz w:val="14"/>
                <w:szCs w:val="14"/>
                <w:color w:val="auto"/>
              </w:rPr>
            </w:pPr>
          </w:p>
        </w:tc>
        <w:tc>
          <w:tcPr>
            <w:tcW w:w="1300" w:type="dxa"/>
            <w:vAlign w:val="bottom"/>
          </w:tcPr>
          <w:p>
            <w:pPr>
              <w:jc w:val="center"/>
              <w:spacing w:after="0" w:line="166" w:lineRule="exact"/>
              <w:rPr>
                <w:sz w:val="20"/>
                <w:szCs w:val="20"/>
                <w:color w:val="auto"/>
              </w:rPr>
            </w:pPr>
            <w:r>
              <w:rPr>
                <w:rFonts w:ascii="Arial" w:cs="Arial" w:eastAsia="Arial" w:hAnsi="Arial"/>
                <w:sz w:val="15"/>
                <w:szCs w:val="15"/>
                <w:color w:val="auto"/>
                <w:w w:val="99"/>
              </w:rPr>
              <w:t>(200%)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line="166" w:lineRule="exact"/>
              <w:rPr>
                <w:sz w:val="20"/>
                <w:szCs w:val="20"/>
                <w:color w:val="auto"/>
              </w:rPr>
            </w:pPr>
            <w:r>
              <w:rPr>
                <w:rFonts w:ascii="Arial" w:cs="Arial" w:eastAsia="Arial" w:hAnsi="Arial"/>
                <w:sz w:val="15"/>
                <w:szCs w:val="15"/>
                <w:color w:val="auto"/>
              </w:rPr>
              <w:t>Position</w:t>
            </w:r>
          </w:p>
        </w:tc>
        <w:tc>
          <w:tcPr>
            <w:tcW w:w="700" w:type="dxa"/>
            <w:vAlign w:val="bottom"/>
          </w:tcPr>
          <w:p>
            <w:pPr>
              <w:spacing w:after="0"/>
              <w:rPr>
                <w:sz w:val="14"/>
                <w:szCs w:val="14"/>
                <w:color w:val="auto"/>
              </w:rPr>
            </w:pPr>
          </w:p>
        </w:tc>
      </w:tr>
      <w:tr>
        <w:trPr>
          <w:trHeight w:val="267"/>
        </w:trPr>
        <w:tc>
          <w:tcPr>
            <w:tcW w:w="2500" w:type="dxa"/>
            <w:vAlign w:val="bottom"/>
            <w:tcBorders>
              <w:bottom w:val="single" w:sz="8" w:color="CCCCCC"/>
            </w:tcBorders>
          </w:tcPr>
          <w:p>
            <w:pPr>
              <w:spacing w:after="0"/>
              <w:rPr>
                <w:sz w:val="23"/>
                <w:szCs w:val="23"/>
                <w:color w:val="auto"/>
              </w:rPr>
            </w:pPr>
          </w:p>
        </w:tc>
        <w:tc>
          <w:tcPr>
            <w:tcW w:w="200" w:type="dxa"/>
            <w:vAlign w:val="bottom"/>
            <w:tcBorders>
              <w:bottom w:val="single" w:sz="8" w:color="CCCCCC"/>
            </w:tcBorders>
          </w:tcPr>
          <w:p>
            <w:pPr>
              <w:spacing w:after="0"/>
              <w:rPr>
                <w:sz w:val="23"/>
                <w:szCs w:val="23"/>
                <w:color w:val="auto"/>
              </w:rPr>
            </w:pPr>
          </w:p>
        </w:tc>
        <w:tc>
          <w:tcPr>
            <w:tcW w:w="128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w w:val="96"/>
              </w:rPr>
              <w:t>14</w:t>
            </w:r>
            <w:r>
              <w:rPr>
                <w:rFonts w:ascii="Arial" w:cs="Arial" w:eastAsia="Arial" w:hAnsi="Arial"/>
                <w:sz w:val="19"/>
                <w:szCs w:val="19"/>
                <w:color w:val="auto"/>
                <w:w w:val="96"/>
                <w:vertAlign w:val="superscript"/>
              </w:rPr>
              <w:t>th</w:t>
            </w:r>
            <w:r>
              <w:rPr>
                <w:rFonts w:ascii="Arial" w:cs="Arial" w:eastAsia="Arial" w:hAnsi="Arial"/>
                <w:sz w:val="15"/>
                <w:szCs w:val="15"/>
                <w:color w:val="auto"/>
                <w:w w:val="96"/>
              </w:rPr>
              <w:t xml:space="preserve"> Position</w:t>
            </w:r>
          </w:p>
        </w:tc>
        <w:tc>
          <w:tcPr>
            <w:tcW w:w="180" w:type="dxa"/>
            <w:vAlign w:val="bottom"/>
            <w:tcBorders>
              <w:bottom w:val="single" w:sz="8" w:color="CCCCCC"/>
            </w:tcBorders>
          </w:tcPr>
          <w:p>
            <w:pPr>
              <w:spacing w:after="0"/>
              <w:rPr>
                <w:sz w:val="23"/>
                <w:szCs w:val="23"/>
                <w:color w:val="auto"/>
              </w:rPr>
            </w:pPr>
          </w:p>
        </w:tc>
        <w:tc>
          <w:tcPr>
            <w:tcW w:w="130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w w:val="96"/>
              </w:rPr>
              <w:t>10</w:t>
            </w:r>
            <w:r>
              <w:rPr>
                <w:rFonts w:ascii="Arial" w:cs="Arial" w:eastAsia="Arial" w:hAnsi="Arial"/>
                <w:sz w:val="19"/>
                <w:szCs w:val="19"/>
                <w:color w:val="auto"/>
                <w:w w:val="96"/>
                <w:vertAlign w:val="superscript"/>
              </w:rPr>
              <w:t>th</w:t>
            </w:r>
            <w:r>
              <w:rPr>
                <w:rFonts w:ascii="Arial" w:cs="Arial" w:eastAsia="Arial" w:hAnsi="Arial"/>
                <w:sz w:val="15"/>
                <w:szCs w:val="15"/>
                <w:color w:val="auto"/>
                <w:w w:val="96"/>
              </w:rPr>
              <w:t xml:space="preserve"> Position</w:t>
            </w:r>
          </w:p>
        </w:tc>
        <w:tc>
          <w:tcPr>
            <w:tcW w:w="180" w:type="dxa"/>
            <w:vAlign w:val="bottom"/>
            <w:tcBorders>
              <w:bottom w:val="single" w:sz="8" w:color="CCCCCC"/>
            </w:tcBorders>
          </w:tcPr>
          <w:p>
            <w:pPr>
              <w:spacing w:after="0"/>
              <w:rPr>
                <w:sz w:val="23"/>
                <w:szCs w:val="23"/>
                <w:color w:val="auto"/>
              </w:rPr>
            </w:pPr>
          </w:p>
        </w:tc>
        <w:tc>
          <w:tcPr>
            <w:tcW w:w="130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w w:val="97"/>
              </w:rPr>
              <w:t>3rd</w:t>
            </w:r>
            <w:r>
              <w:rPr>
                <w:rFonts w:ascii="Arial" w:cs="Arial" w:eastAsia="Arial" w:hAnsi="Arial"/>
                <w:sz w:val="19"/>
                <w:szCs w:val="19"/>
                <w:color w:val="auto"/>
                <w:w w:val="97"/>
                <w:vertAlign w:val="superscript"/>
              </w:rPr>
              <w:t>rd</w:t>
            </w:r>
            <w:r>
              <w:rPr>
                <w:rFonts w:ascii="Arial" w:cs="Arial" w:eastAsia="Arial" w:hAnsi="Arial"/>
                <w:sz w:val="15"/>
                <w:szCs w:val="15"/>
                <w:color w:val="auto"/>
                <w:w w:val="97"/>
              </w:rPr>
              <w:t xml:space="preserve"> Position</w:t>
            </w:r>
          </w:p>
        </w:tc>
        <w:tc>
          <w:tcPr>
            <w:tcW w:w="260" w:type="dxa"/>
            <w:vAlign w:val="bottom"/>
            <w:tcBorders>
              <w:bottom w:val="single" w:sz="8" w:color="CCCCCC"/>
            </w:tcBorders>
          </w:tcPr>
          <w:p>
            <w:pPr>
              <w:spacing w:after="0"/>
              <w:rPr>
                <w:sz w:val="23"/>
                <w:szCs w:val="23"/>
                <w:color w:val="auto"/>
              </w:rPr>
            </w:pPr>
          </w:p>
        </w:tc>
        <w:tc>
          <w:tcPr>
            <w:tcW w:w="540" w:type="dxa"/>
            <w:vAlign w:val="bottom"/>
            <w:tcBorders>
              <w:bottom w:val="single" w:sz="8" w:color="CCCCCC"/>
            </w:tcBorders>
          </w:tcPr>
          <w:p>
            <w:pPr>
              <w:spacing w:after="0"/>
              <w:rPr>
                <w:sz w:val="23"/>
                <w:szCs w:val="23"/>
                <w:color w:val="auto"/>
              </w:rPr>
            </w:pPr>
          </w:p>
        </w:tc>
        <w:tc>
          <w:tcPr>
            <w:tcW w:w="260" w:type="dxa"/>
            <w:vAlign w:val="bottom"/>
            <w:tcBorders>
              <w:bottom w:val="single" w:sz="8" w:color="CCCCCC"/>
            </w:tcBorders>
          </w:tcPr>
          <w:p>
            <w:pPr>
              <w:spacing w:after="0"/>
              <w:rPr>
                <w:sz w:val="23"/>
                <w:szCs w:val="23"/>
                <w:color w:val="auto"/>
              </w:rPr>
            </w:pPr>
          </w:p>
        </w:tc>
        <w:tc>
          <w:tcPr>
            <w:tcW w:w="560" w:type="dxa"/>
            <w:vAlign w:val="bottom"/>
            <w:tcBorders>
              <w:bottom w:val="single" w:sz="8" w:color="CCCCCC"/>
            </w:tcBorders>
          </w:tcPr>
          <w:p>
            <w:pPr>
              <w:spacing w:after="0"/>
              <w:rPr>
                <w:sz w:val="23"/>
                <w:szCs w:val="23"/>
                <w:color w:val="auto"/>
              </w:rPr>
            </w:pPr>
          </w:p>
        </w:tc>
        <w:tc>
          <w:tcPr>
            <w:tcW w:w="700" w:type="dxa"/>
            <w:vAlign w:val="bottom"/>
            <w:tcBorders>
              <w:bottom w:val="single" w:sz="8" w:color="CCCCCC"/>
            </w:tcBorders>
          </w:tcPr>
          <w:p>
            <w:pPr>
              <w:spacing w:after="0"/>
              <w:rPr>
                <w:sz w:val="23"/>
                <w:szCs w:val="23"/>
                <w:color w:val="auto"/>
              </w:rPr>
            </w:pPr>
          </w:p>
        </w:tc>
      </w:tr>
      <w:tr>
        <w:trPr>
          <w:trHeight w:val="220"/>
        </w:trPr>
        <w:tc>
          <w:tcPr>
            <w:tcW w:w="2500" w:type="dxa"/>
            <w:vAlign w:val="bottom"/>
            <w:shd w:val="clear" w:color="auto" w:fill="F2F2F2"/>
          </w:tcPr>
          <w:p>
            <w:pPr>
              <w:ind w:left="40"/>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b w:val="1"/>
                <w:bCs w:val="1"/>
                <w:color w:val="auto"/>
              </w:rPr>
              <w:t>Cumulative non-GAAP Adjusted</w:t>
            </w:r>
          </w:p>
        </w:tc>
        <w:tc>
          <w:tcPr>
            <w:tcW w:w="200" w:type="dxa"/>
            <w:vAlign w:val="bottom"/>
            <w:shd w:val="clear" w:color="auto" w:fill="F2F2F2"/>
          </w:tcPr>
          <w:p>
            <w:pPr>
              <w:ind w:left="6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8"/>
              </w:rPr>
              <w:t>Threshold</w:t>
            </w:r>
          </w:p>
        </w:tc>
        <w:tc>
          <w:tcPr>
            <w:tcW w:w="18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6"/>
              </w:rPr>
              <w:t>Target</w:t>
            </w:r>
          </w:p>
        </w:tc>
        <w:tc>
          <w:tcPr>
            <w:tcW w:w="18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300" w:type="dxa"/>
            <w:vAlign w:val="bottom"/>
            <w:shd w:val="clear" w:color="auto" w:fill="F2F2F2"/>
          </w:tcPr>
          <w:p>
            <w:pPr>
              <w:jc w:val="center"/>
              <w:ind w:right="4"/>
              <w:spacing w:after="0"/>
              <w:rPr>
                <w:sz w:val="20"/>
                <w:szCs w:val="20"/>
                <w:color w:val="auto"/>
              </w:rPr>
            </w:pPr>
            <w:r>
              <w:rPr>
                <w:rFonts w:ascii="Arial" w:cs="Arial" w:eastAsia="Arial" w:hAnsi="Arial"/>
                <w:sz w:val="15"/>
                <w:szCs w:val="15"/>
                <w:color w:val="auto"/>
              </w:rPr>
              <w:t>Maximum</w:t>
            </w:r>
          </w:p>
        </w:tc>
        <w:tc>
          <w:tcPr>
            <w:tcW w:w="26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54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35%</w:t>
            </w:r>
          </w:p>
        </w:tc>
        <w:tc>
          <w:tcPr>
            <w:tcW w:w="260" w:type="dxa"/>
            <w:vAlign w:val="bottom"/>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56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$4.50</w:t>
            </w:r>
          </w:p>
        </w:tc>
        <w:tc>
          <w:tcPr>
            <w:tcW w:w="700" w:type="dxa"/>
            <w:vAlign w:val="bottom"/>
            <w:shd w:val="clear" w:color="auto" w:fill="F2F2F2"/>
          </w:tcPr>
          <w:p>
            <w:pPr>
              <w:ind w:left="40"/>
              <w:spacing w:after="0" w:line="220"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200% </w:t>
            </w:r>
            <w:r>
              <w:rPr>
                <w:rFonts w:ascii="Arial" w:cs="Arial" w:eastAsia="Arial" w:hAnsi="Arial"/>
                <w:sz w:val="25"/>
                <w:szCs w:val="25"/>
                <w:color w:val="auto"/>
                <w:vertAlign w:val="superscript"/>
              </w:rPr>
              <w:t>​</w:t>
            </w:r>
          </w:p>
        </w:tc>
      </w:tr>
      <w:tr>
        <w:trPr>
          <w:trHeight w:val="177"/>
        </w:trPr>
        <w:tc>
          <w:tcPr>
            <w:tcW w:w="250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EPS</w:t>
            </w:r>
          </w:p>
        </w:tc>
        <w:tc>
          <w:tcPr>
            <w:tcW w:w="200" w:type="dxa"/>
            <w:vAlign w:val="bottom"/>
            <w:shd w:val="clear" w:color="auto" w:fill="F2F2F2"/>
          </w:tcPr>
          <w:p>
            <w:pPr>
              <w:spacing w:after="0"/>
              <w:rPr>
                <w:sz w:val="15"/>
                <w:szCs w:val="15"/>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(50%)</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(100%)</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(200%)</w:t>
            </w:r>
          </w:p>
        </w:tc>
        <w:tc>
          <w:tcPr>
            <w:tcW w:w="26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00" w:type="dxa"/>
            <w:vAlign w:val="bottom"/>
            <w:shd w:val="clear" w:color="auto" w:fill="F2F2F2"/>
          </w:tcPr>
          <w:p>
            <w:pPr>
              <w:spacing w:after="0"/>
              <w:rPr>
                <w:sz w:val="15"/>
                <w:szCs w:val="15"/>
                <w:color w:val="auto"/>
              </w:rPr>
            </w:pPr>
          </w:p>
        </w:tc>
      </w:tr>
      <w:tr>
        <w:trPr>
          <w:trHeight w:val="265"/>
        </w:trPr>
        <w:tc>
          <w:tcPr>
            <w:tcW w:w="2500" w:type="dxa"/>
            <w:vAlign w:val="bottom"/>
            <w:tcBorders>
              <w:bottom w:val="single" w:sz="8" w:color="F2F2F2"/>
            </w:tcBorders>
            <w:shd w:val="clear" w:color="auto" w:fill="F2F2F2"/>
          </w:tcPr>
          <w:p>
            <w:pPr>
              <w:spacing w:after="0"/>
              <w:rPr>
                <w:sz w:val="22"/>
                <w:szCs w:val="22"/>
                <w:color w:val="auto"/>
              </w:rPr>
            </w:pPr>
          </w:p>
        </w:tc>
        <w:tc>
          <w:tcPr>
            <w:tcW w:w="200" w:type="dxa"/>
            <w:vAlign w:val="bottom"/>
            <w:tcBorders>
              <w:bottom w:val="single" w:sz="8" w:color="F2F2F2"/>
            </w:tcBorders>
            <w:shd w:val="clear" w:color="auto" w:fill="F2F2F2"/>
          </w:tcPr>
          <w:p>
            <w:pPr>
              <w:spacing w:after="0"/>
              <w:rPr>
                <w:sz w:val="22"/>
                <w:szCs w:val="22"/>
                <w:color w:val="auto"/>
              </w:rPr>
            </w:pP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$4.37</w:t>
            </w:r>
          </w:p>
        </w:tc>
        <w:tc>
          <w:tcPr>
            <w:tcW w:w="180" w:type="dxa"/>
            <w:vAlign w:val="bottom"/>
            <w:tcBorders>
              <w:bottom w:val="single" w:sz="8" w:color="F2F2F2"/>
            </w:tcBorders>
            <w:shd w:val="clear" w:color="auto" w:fill="F2F2F2"/>
          </w:tcPr>
          <w:p>
            <w:pPr>
              <w:spacing w:after="0"/>
              <w:rPr>
                <w:sz w:val="22"/>
                <w:szCs w:val="22"/>
                <w:color w:val="auto"/>
              </w:rPr>
            </w:pP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$4.45</w:t>
            </w:r>
          </w:p>
        </w:tc>
        <w:tc>
          <w:tcPr>
            <w:tcW w:w="180" w:type="dxa"/>
            <w:vAlign w:val="bottom"/>
            <w:tcBorders>
              <w:bottom w:val="single" w:sz="8" w:color="F2F2F2"/>
            </w:tcBorders>
            <w:shd w:val="clear" w:color="auto" w:fill="F2F2F2"/>
          </w:tcPr>
          <w:p>
            <w:pPr>
              <w:spacing w:after="0"/>
              <w:rPr>
                <w:sz w:val="22"/>
                <w:szCs w:val="22"/>
                <w:color w:val="auto"/>
              </w:rPr>
            </w:pP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$4.49</w:t>
            </w:r>
          </w:p>
        </w:tc>
        <w:tc>
          <w:tcPr>
            <w:tcW w:w="260" w:type="dxa"/>
            <w:vAlign w:val="bottom"/>
            <w:tcBorders>
              <w:bottom w:val="single" w:sz="8" w:color="F2F2F2"/>
            </w:tcBorders>
            <w:shd w:val="clear" w:color="auto" w:fill="F2F2F2"/>
          </w:tcPr>
          <w:p>
            <w:pPr>
              <w:spacing w:after="0"/>
              <w:rPr>
                <w:sz w:val="22"/>
                <w:szCs w:val="22"/>
                <w:color w:val="auto"/>
              </w:rPr>
            </w:pPr>
          </w:p>
        </w:tc>
        <w:tc>
          <w:tcPr>
            <w:tcW w:w="540" w:type="dxa"/>
            <w:vAlign w:val="bottom"/>
            <w:tcBorders>
              <w:bottom w:val="single" w:sz="8" w:color="F2F2F2"/>
            </w:tcBorders>
            <w:shd w:val="clear" w:color="auto" w:fill="F2F2F2"/>
          </w:tcPr>
          <w:p>
            <w:pPr>
              <w:spacing w:after="0"/>
              <w:rPr>
                <w:sz w:val="22"/>
                <w:szCs w:val="22"/>
                <w:color w:val="auto"/>
              </w:rPr>
            </w:pPr>
          </w:p>
        </w:tc>
        <w:tc>
          <w:tcPr>
            <w:tcW w:w="260" w:type="dxa"/>
            <w:vAlign w:val="bottom"/>
            <w:tcBorders>
              <w:bottom w:val="single" w:sz="8" w:color="F2F2F2"/>
            </w:tcBorders>
            <w:shd w:val="clear" w:color="auto" w:fill="F2F2F2"/>
          </w:tcPr>
          <w:p>
            <w:pPr>
              <w:spacing w:after="0"/>
              <w:rPr>
                <w:sz w:val="22"/>
                <w:szCs w:val="22"/>
                <w:color w:val="auto"/>
              </w:rPr>
            </w:pPr>
          </w:p>
        </w:tc>
        <w:tc>
          <w:tcPr>
            <w:tcW w:w="560" w:type="dxa"/>
            <w:vAlign w:val="bottom"/>
            <w:tcBorders>
              <w:bottom w:val="single" w:sz="8" w:color="F2F2F2"/>
            </w:tcBorders>
            <w:shd w:val="clear" w:color="auto" w:fill="F2F2F2"/>
          </w:tcPr>
          <w:p>
            <w:pPr>
              <w:spacing w:after="0"/>
              <w:rPr>
                <w:sz w:val="22"/>
                <w:szCs w:val="22"/>
                <w:color w:val="auto"/>
              </w:rPr>
            </w:pPr>
          </w:p>
        </w:tc>
        <w:tc>
          <w:tcPr>
            <w:tcW w:w="700" w:type="dxa"/>
            <w:vAlign w:val="bottom"/>
            <w:tcBorders>
              <w:bottom w:val="single" w:sz="8" w:color="F2F2F2"/>
            </w:tcBorders>
            <w:shd w:val="clear" w:color="auto" w:fill="F2F2F2"/>
          </w:tcPr>
          <w:p>
            <w:pPr>
              <w:spacing w:after="0"/>
              <w:rPr>
                <w:sz w:val="22"/>
                <w:szCs w:val="22"/>
                <w:color w:val="auto"/>
              </w:rPr>
            </w:pPr>
          </w:p>
        </w:tc>
      </w:tr>
      <w:tr>
        <w:trPr>
          <w:trHeight w:val="217"/>
        </w:trPr>
        <w:tc>
          <w:tcPr>
            <w:tcW w:w="2500" w:type="dxa"/>
            <w:vAlign w:val="bottom"/>
            <w:tcBorders>
              <w:top w:val="single" w:sz="8" w:color="CCCCCC"/>
            </w:tcBorders>
          </w:tcPr>
          <w:p>
            <w:pPr>
              <w:ind w:left="40"/>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b w:val="1"/>
                <w:bCs w:val="1"/>
                <w:color w:val="auto"/>
              </w:rPr>
              <w:t>Cumulative Carbon Reduction</w:t>
            </w:r>
          </w:p>
        </w:tc>
        <w:tc>
          <w:tcPr>
            <w:tcW w:w="200" w:type="dxa"/>
            <w:vAlign w:val="bottom"/>
            <w:tcBorders>
              <w:top w:val="single" w:sz="8" w:color="CCCCCC"/>
            </w:tcBorders>
          </w:tcPr>
          <w:p>
            <w:pPr>
              <w:ind w:left="60"/>
              <w:spacing w:after="0"/>
              <w:rPr>
                <w:sz w:val="20"/>
                <w:szCs w:val="20"/>
                <w:color w:val="auto"/>
              </w:rPr>
            </w:pPr>
            <w:r>
              <w:rPr>
                <w:rFonts w:ascii="Arial" w:cs="Arial" w:eastAsia="Arial" w:hAnsi="Arial"/>
                <w:sz w:val="15"/>
                <w:szCs w:val="15"/>
                <w:color w:val="auto"/>
              </w:rPr>
              <w:t>​ ​</w:t>
            </w:r>
          </w:p>
        </w:tc>
        <w:tc>
          <w:tcPr>
            <w:tcW w:w="128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w w:val="98"/>
              </w:rPr>
              <w:t>Threshold</w:t>
            </w:r>
          </w:p>
        </w:tc>
        <w:tc>
          <w:tcPr>
            <w:tcW w:w="18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130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w w:val="96"/>
              </w:rPr>
              <w:t>Target</w:t>
            </w:r>
          </w:p>
        </w:tc>
        <w:tc>
          <w:tcPr>
            <w:tcW w:w="18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1300" w:type="dxa"/>
            <w:vAlign w:val="bottom"/>
            <w:tcBorders>
              <w:top w:val="single" w:sz="8" w:color="CCCCCC"/>
            </w:tcBorders>
          </w:tcPr>
          <w:p>
            <w:pPr>
              <w:jc w:val="center"/>
              <w:ind w:right="4"/>
              <w:spacing w:after="0"/>
              <w:rPr>
                <w:sz w:val="20"/>
                <w:szCs w:val="20"/>
                <w:color w:val="auto"/>
              </w:rPr>
            </w:pPr>
            <w:r>
              <w:rPr>
                <w:rFonts w:ascii="Arial" w:cs="Arial" w:eastAsia="Arial" w:hAnsi="Arial"/>
                <w:sz w:val="15"/>
                <w:szCs w:val="15"/>
                <w:color w:val="auto"/>
              </w:rPr>
              <w:t>Maximum</w:t>
            </w:r>
          </w:p>
        </w:tc>
        <w:tc>
          <w:tcPr>
            <w:tcW w:w="26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54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4%</w:t>
            </w:r>
          </w:p>
        </w:tc>
        <w:tc>
          <w:tcPr>
            <w:tcW w:w="260" w:type="dxa"/>
            <w:vAlign w:val="bottom"/>
            <w:tcBorders>
              <w:top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56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w w:val="99"/>
              </w:rPr>
              <w:t>50%</w:t>
            </w:r>
          </w:p>
        </w:tc>
        <w:tc>
          <w:tcPr>
            <w:tcW w:w="700" w:type="dxa"/>
            <w:vAlign w:val="bottom"/>
            <w:tcBorders>
              <w:top w:val="single" w:sz="8" w:color="CCCCCC"/>
            </w:tcBorders>
          </w:tcPr>
          <w:p>
            <w:pPr>
              <w:ind w:left="40"/>
              <w:spacing w:after="0" w:line="217"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121% </w:t>
            </w:r>
            <w:r>
              <w:rPr>
                <w:rFonts w:ascii="Arial" w:cs="Arial" w:eastAsia="Arial" w:hAnsi="Arial"/>
                <w:sz w:val="25"/>
                <w:szCs w:val="25"/>
                <w:color w:val="auto"/>
                <w:vertAlign w:val="superscript"/>
              </w:rPr>
              <w:t>​</w:t>
            </w:r>
          </w:p>
        </w:tc>
      </w:tr>
      <w:tr>
        <w:trPr>
          <w:trHeight w:val="177"/>
        </w:trPr>
        <w:tc>
          <w:tcPr>
            <w:tcW w:w="2500" w:type="dxa"/>
            <w:vAlign w:val="bottom"/>
          </w:tcPr>
          <w:p>
            <w:pPr>
              <w:ind w:left="100"/>
              <w:spacing w:after="0"/>
              <w:rPr>
                <w:sz w:val="20"/>
                <w:szCs w:val="20"/>
                <w:color w:val="auto"/>
              </w:rPr>
            </w:pPr>
            <w:r>
              <w:rPr>
                <w:rFonts w:ascii="Arial" w:cs="Arial" w:eastAsia="Arial" w:hAnsi="Arial"/>
                <w:sz w:val="15"/>
                <w:szCs w:val="15"/>
                <w:b w:val="1"/>
                <w:bCs w:val="1"/>
                <w:color w:val="auto"/>
              </w:rPr>
              <w:t>Scope 1 &amp; 2</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(50%)</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(100%)</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(200%)</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10%</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46%</w:t>
            </w:r>
          </w:p>
        </w:tc>
        <w:tc>
          <w:tcPr>
            <w:tcW w:w="180" w:type="dxa"/>
            <w:vAlign w:val="bottom"/>
          </w:tcPr>
          <w:p>
            <w:pPr>
              <w:spacing w:after="0"/>
              <w:rPr>
                <w:sz w:val="15"/>
                <w:szCs w:val="15"/>
                <w:color w:val="auto"/>
              </w:rPr>
            </w:pPr>
          </w:p>
        </w:tc>
        <w:tc>
          <w:tcPr>
            <w:tcW w:w="1300" w:type="dxa"/>
            <w:vAlign w:val="bottom"/>
          </w:tcPr>
          <w:p>
            <w:pPr>
              <w:jc w:val="center"/>
              <w:ind w:right="4"/>
              <w:spacing w:after="0"/>
              <w:rPr>
                <w:sz w:val="20"/>
                <w:szCs w:val="20"/>
                <w:color w:val="auto"/>
              </w:rPr>
            </w:pPr>
            <w:r>
              <w:rPr>
                <w:rFonts w:ascii="Arial" w:cs="Arial" w:eastAsia="Arial" w:hAnsi="Arial"/>
                <w:sz w:val="15"/>
                <w:szCs w:val="15"/>
                <w:color w:val="auto"/>
                <w:w w:val="99"/>
              </w:rPr>
              <w:t>65%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Scope 1 and</w:t>
            </w:r>
          </w:p>
        </w:tc>
        <w:tc>
          <w:tcPr>
            <w:tcW w:w="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Scope 1 and</w:t>
            </w:r>
          </w:p>
        </w:tc>
        <w:tc>
          <w:tcPr>
            <w:tcW w:w="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Scope 1 and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5"/>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2 carbon</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2 carbon</w:t>
            </w:r>
          </w:p>
        </w:tc>
        <w:tc>
          <w:tcPr>
            <w:tcW w:w="180" w:type="dxa"/>
            <w:vAlign w:val="bottom"/>
          </w:tcPr>
          <w:p>
            <w:pPr>
              <w:spacing w:after="0"/>
              <w:rPr>
                <w:sz w:val="15"/>
                <w:szCs w:val="15"/>
                <w:color w:val="auto"/>
              </w:rPr>
            </w:pPr>
          </w:p>
        </w:tc>
        <w:tc>
          <w:tcPr>
            <w:tcW w:w="1300" w:type="dxa"/>
            <w:vAlign w:val="bottom"/>
          </w:tcPr>
          <w:p>
            <w:pPr>
              <w:jc w:val="center"/>
              <w:ind w:right="4"/>
              <w:spacing w:after="0"/>
              <w:rPr>
                <w:sz w:val="20"/>
                <w:szCs w:val="20"/>
                <w:color w:val="auto"/>
              </w:rPr>
            </w:pPr>
            <w:r>
              <w:rPr>
                <w:rFonts w:ascii="Arial" w:cs="Arial" w:eastAsia="Arial" w:hAnsi="Arial"/>
                <w:sz w:val="15"/>
                <w:szCs w:val="15"/>
                <w:color w:val="auto"/>
                <w:w w:val="99"/>
              </w:rPr>
              <w:t>2 carbon</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8"/>
              </w:rPr>
              <w:t>emissions</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emissions</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emissions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0"/>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reduction vs. 2021</w:t>
            </w:r>
          </w:p>
        </w:tc>
        <w:tc>
          <w:tcPr>
            <w:tcW w:w="1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reduction vs. 2021</w:t>
            </w:r>
          </w:p>
        </w:tc>
        <w:tc>
          <w:tcPr>
            <w:tcW w:w="1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reduction vs. 2021</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
        </w:trPr>
        <w:tc>
          <w:tcPr>
            <w:tcW w:w="250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128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1300" w:type="dxa"/>
            <w:vAlign w:val="bottom"/>
            <w:tcBorders>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r>
      <w:tr>
        <w:trPr>
          <w:trHeight w:val="217"/>
        </w:trPr>
        <w:tc>
          <w:tcPr>
            <w:tcW w:w="2500" w:type="dxa"/>
            <w:vAlign w:val="bottom"/>
            <w:shd w:val="clear" w:color="auto" w:fill="F2F2F2"/>
          </w:tcPr>
          <w:p>
            <w:pPr>
              <w:ind w:left="40"/>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b w:val="1"/>
                <w:bCs w:val="1"/>
                <w:color w:val="auto"/>
              </w:rPr>
              <w:t>Cumulative Carbon Reduction</w:t>
            </w:r>
          </w:p>
        </w:tc>
        <w:tc>
          <w:tcPr>
            <w:tcW w:w="200" w:type="dxa"/>
            <w:vAlign w:val="bottom"/>
            <w:shd w:val="clear" w:color="auto" w:fill="F2F2F2"/>
          </w:tcPr>
          <w:p>
            <w:pPr>
              <w:ind w:left="6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8"/>
              </w:rPr>
              <w:t>Threshold</w:t>
            </w:r>
          </w:p>
        </w:tc>
        <w:tc>
          <w:tcPr>
            <w:tcW w:w="18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6"/>
              </w:rPr>
              <w:t>Target</w:t>
            </w:r>
          </w:p>
        </w:tc>
        <w:tc>
          <w:tcPr>
            <w:tcW w:w="18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300" w:type="dxa"/>
            <w:vAlign w:val="bottom"/>
            <w:shd w:val="clear" w:color="auto" w:fill="F2F2F2"/>
          </w:tcPr>
          <w:p>
            <w:pPr>
              <w:jc w:val="center"/>
              <w:ind w:right="4"/>
              <w:spacing w:after="0"/>
              <w:rPr>
                <w:sz w:val="20"/>
                <w:szCs w:val="20"/>
                <w:color w:val="auto"/>
              </w:rPr>
            </w:pPr>
            <w:r>
              <w:rPr>
                <w:rFonts w:ascii="Arial" w:cs="Arial" w:eastAsia="Arial" w:hAnsi="Arial"/>
                <w:sz w:val="15"/>
                <w:szCs w:val="15"/>
                <w:color w:val="auto"/>
              </w:rPr>
              <w:t>Maximum</w:t>
            </w:r>
          </w:p>
        </w:tc>
        <w:tc>
          <w:tcPr>
            <w:tcW w:w="26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54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1%</w:t>
            </w:r>
          </w:p>
        </w:tc>
        <w:tc>
          <w:tcPr>
            <w:tcW w:w="260" w:type="dxa"/>
            <w:vAlign w:val="bottom"/>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56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15%</w:t>
            </w:r>
          </w:p>
        </w:tc>
        <w:tc>
          <w:tcPr>
            <w:tcW w:w="700" w:type="dxa"/>
            <w:vAlign w:val="bottom"/>
            <w:shd w:val="clear" w:color="auto" w:fill="F2F2F2"/>
          </w:tcPr>
          <w:p>
            <w:pPr>
              <w:ind w:left="40"/>
              <w:spacing w:after="0" w:line="217"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200% </w:t>
            </w:r>
            <w:r>
              <w:rPr>
                <w:rFonts w:ascii="Arial" w:cs="Arial" w:eastAsia="Arial" w:hAnsi="Arial"/>
                <w:sz w:val="25"/>
                <w:szCs w:val="25"/>
                <w:color w:val="auto"/>
                <w:vertAlign w:val="superscript"/>
              </w:rPr>
              <w:t>​</w:t>
            </w:r>
          </w:p>
        </w:tc>
      </w:tr>
      <w:tr>
        <w:trPr>
          <w:trHeight w:val="178"/>
        </w:trPr>
        <w:tc>
          <w:tcPr>
            <w:tcW w:w="250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Scope 3</w:t>
            </w:r>
          </w:p>
        </w:tc>
        <w:tc>
          <w:tcPr>
            <w:tcW w:w="200" w:type="dxa"/>
            <w:vAlign w:val="bottom"/>
            <w:shd w:val="clear" w:color="auto" w:fill="F2F2F2"/>
          </w:tcPr>
          <w:p>
            <w:pPr>
              <w:spacing w:after="0"/>
              <w:rPr>
                <w:sz w:val="15"/>
                <w:szCs w:val="15"/>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(50%)</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(100%)</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(200%)</w:t>
            </w:r>
          </w:p>
        </w:tc>
        <w:tc>
          <w:tcPr>
            <w:tcW w:w="26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00" w:type="dxa"/>
            <w:vAlign w:val="bottom"/>
            <w:shd w:val="clear" w:color="auto" w:fill="F2F2F2"/>
          </w:tcPr>
          <w:p>
            <w:pPr>
              <w:spacing w:after="0"/>
              <w:rPr>
                <w:sz w:val="15"/>
                <w:szCs w:val="15"/>
                <w:color w:val="auto"/>
              </w:rPr>
            </w:pPr>
          </w:p>
        </w:tc>
      </w:tr>
      <w:tr>
        <w:trPr>
          <w:trHeight w:val="175"/>
        </w:trPr>
        <w:tc>
          <w:tcPr>
            <w:tcW w:w="250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3.5%</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4%</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ind w:right="4"/>
              <w:spacing w:after="0"/>
              <w:rPr>
                <w:sz w:val="20"/>
                <w:szCs w:val="20"/>
                <w:color w:val="auto"/>
              </w:rPr>
            </w:pPr>
            <w:r>
              <w:rPr>
                <w:rFonts w:ascii="Arial" w:cs="Arial" w:eastAsia="Arial" w:hAnsi="Arial"/>
                <w:sz w:val="15"/>
                <w:szCs w:val="15"/>
                <w:color w:val="auto"/>
              </w:rPr>
              <w:t>6%</w:t>
            </w:r>
          </w:p>
        </w:tc>
        <w:tc>
          <w:tcPr>
            <w:tcW w:w="26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00" w:type="dxa"/>
            <w:vAlign w:val="bottom"/>
            <w:shd w:val="clear" w:color="auto" w:fill="F2F2F2"/>
          </w:tcPr>
          <w:p>
            <w:pPr>
              <w:spacing w:after="0"/>
              <w:rPr>
                <w:sz w:val="15"/>
                <w:szCs w:val="15"/>
                <w:color w:val="auto"/>
              </w:rPr>
            </w:pPr>
          </w:p>
        </w:tc>
      </w:tr>
      <w:tr>
        <w:trPr>
          <w:trHeight w:val="189"/>
        </w:trPr>
        <w:tc>
          <w:tcPr>
            <w:tcW w:w="250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8"/>
              </w:rPr>
              <w:t>Scope 3</w:t>
            </w:r>
          </w:p>
        </w:tc>
        <w:tc>
          <w:tcPr>
            <w:tcW w:w="180" w:type="dxa"/>
            <w:vAlign w:val="bottom"/>
            <w:shd w:val="clear" w:color="auto" w:fill="F2F2F2"/>
          </w:tcPr>
          <w:p>
            <w:pPr>
              <w:spacing w:after="0"/>
              <w:rPr>
                <w:sz w:val="16"/>
                <w:szCs w:val="16"/>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Scope 3</w:t>
            </w:r>
          </w:p>
        </w:tc>
        <w:tc>
          <w:tcPr>
            <w:tcW w:w="180" w:type="dxa"/>
            <w:vAlign w:val="bottom"/>
            <w:shd w:val="clear" w:color="auto" w:fill="F2F2F2"/>
          </w:tcPr>
          <w:p>
            <w:pPr>
              <w:spacing w:after="0"/>
              <w:rPr>
                <w:sz w:val="16"/>
                <w:szCs w:val="16"/>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Scope 3</w:t>
            </w:r>
          </w:p>
        </w:tc>
        <w:tc>
          <w:tcPr>
            <w:tcW w:w="260" w:type="dxa"/>
            <w:vAlign w:val="bottom"/>
            <w:shd w:val="clear" w:color="auto" w:fill="F2F2F2"/>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560" w:type="dxa"/>
            <w:vAlign w:val="bottom"/>
            <w:shd w:val="clear" w:color="auto" w:fill="F2F2F2"/>
          </w:tcPr>
          <w:p>
            <w:pPr>
              <w:spacing w:after="0"/>
              <w:rPr>
                <w:sz w:val="16"/>
                <w:szCs w:val="16"/>
                <w:color w:val="auto"/>
              </w:rPr>
            </w:pPr>
          </w:p>
        </w:tc>
        <w:tc>
          <w:tcPr>
            <w:tcW w:w="700" w:type="dxa"/>
            <w:vAlign w:val="bottom"/>
            <w:shd w:val="clear" w:color="auto" w:fill="F2F2F2"/>
          </w:tcPr>
          <w:p>
            <w:pPr>
              <w:spacing w:after="0"/>
              <w:rPr>
                <w:sz w:val="16"/>
                <w:szCs w:val="16"/>
                <w:color w:val="auto"/>
              </w:rPr>
            </w:pPr>
          </w:p>
        </w:tc>
      </w:tr>
      <w:tr>
        <w:trPr>
          <w:trHeight w:val="176"/>
        </w:trPr>
        <w:tc>
          <w:tcPr>
            <w:tcW w:w="250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carbon emissions</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carbon emissions</w:t>
            </w:r>
          </w:p>
        </w:tc>
        <w:tc>
          <w:tcPr>
            <w:tcW w:w="180" w:type="dxa"/>
            <w:vAlign w:val="bottom"/>
            <w:shd w:val="clear" w:color="auto" w:fill="F2F2F2"/>
          </w:tcPr>
          <w:p>
            <w:pPr>
              <w:spacing w:after="0"/>
              <w:rPr>
                <w:sz w:val="15"/>
                <w:szCs w:val="15"/>
                <w:color w:val="auto"/>
              </w:rPr>
            </w:pPr>
          </w:p>
        </w:tc>
        <w:tc>
          <w:tcPr>
            <w:tcW w:w="1300" w:type="dxa"/>
            <w:vAlign w:val="bottom"/>
            <w:shd w:val="clear" w:color="auto" w:fill="F2F2F2"/>
          </w:tcPr>
          <w:p>
            <w:pPr>
              <w:jc w:val="center"/>
              <w:ind w:right="4"/>
              <w:spacing w:after="0"/>
              <w:rPr>
                <w:sz w:val="20"/>
                <w:szCs w:val="20"/>
                <w:color w:val="auto"/>
              </w:rPr>
            </w:pPr>
            <w:r>
              <w:rPr>
                <w:rFonts w:ascii="Arial" w:cs="Arial" w:eastAsia="Arial" w:hAnsi="Arial"/>
                <w:sz w:val="15"/>
                <w:szCs w:val="15"/>
                <w:color w:val="auto"/>
              </w:rPr>
              <w:t>carbon emissions</w:t>
            </w:r>
          </w:p>
        </w:tc>
        <w:tc>
          <w:tcPr>
            <w:tcW w:w="26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700" w:type="dxa"/>
            <w:vAlign w:val="bottom"/>
            <w:shd w:val="clear" w:color="auto" w:fill="F2F2F2"/>
          </w:tcPr>
          <w:p>
            <w:pPr>
              <w:spacing w:after="0"/>
              <w:rPr>
                <w:sz w:val="15"/>
                <w:szCs w:val="15"/>
                <w:color w:val="auto"/>
              </w:rPr>
            </w:pPr>
          </w:p>
        </w:tc>
      </w:tr>
      <w:tr>
        <w:trPr>
          <w:trHeight w:val="240"/>
        </w:trPr>
        <w:tc>
          <w:tcPr>
            <w:tcW w:w="2500" w:type="dxa"/>
            <w:vAlign w:val="bottom"/>
            <w:tcBorders>
              <w:bottom w:val="single" w:sz="8" w:color="F2F2F2"/>
            </w:tcBorders>
            <w:shd w:val="clear" w:color="auto" w:fill="F2F2F2"/>
          </w:tcPr>
          <w:p>
            <w:pPr>
              <w:spacing w:after="0"/>
              <w:rPr>
                <w:sz w:val="20"/>
                <w:szCs w:val="20"/>
                <w:color w:val="auto"/>
              </w:rPr>
            </w:pPr>
          </w:p>
        </w:tc>
        <w:tc>
          <w:tcPr>
            <w:tcW w:w="200" w:type="dxa"/>
            <w:vAlign w:val="bottom"/>
            <w:tcBorders>
              <w:bottom w:val="single" w:sz="8" w:color="F2F2F2"/>
            </w:tcBorders>
            <w:shd w:val="clear" w:color="auto" w:fill="F2F2F2"/>
          </w:tcPr>
          <w:p>
            <w:pPr>
              <w:spacing w:after="0"/>
              <w:rPr>
                <w:sz w:val="20"/>
                <w:szCs w:val="20"/>
                <w:color w:val="auto"/>
              </w:rPr>
            </w:pP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w w:val="99"/>
              </w:rPr>
              <w:t>reduction vs. 2021</w:t>
            </w:r>
          </w:p>
        </w:tc>
        <w:tc>
          <w:tcPr>
            <w:tcW w:w="180" w:type="dxa"/>
            <w:vAlign w:val="bottom"/>
            <w:tcBorders>
              <w:bottom w:val="single" w:sz="8" w:color="F2F2F2"/>
            </w:tcBorders>
            <w:shd w:val="clear" w:color="auto" w:fill="F2F2F2"/>
          </w:tcPr>
          <w:p>
            <w:pPr>
              <w:spacing w:after="0"/>
              <w:rPr>
                <w:sz w:val="20"/>
                <w:szCs w:val="20"/>
                <w:color w:val="auto"/>
              </w:rPr>
            </w:pP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reduction vs. 2021</w:t>
            </w:r>
          </w:p>
        </w:tc>
        <w:tc>
          <w:tcPr>
            <w:tcW w:w="180" w:type="dxa"/>
            <w:vAlign w:val="bottom"/>
            <w:tcBorders>
              <w:bottom w:val="single" w:sz="8" w:color="F2F2F2"/>
            </w:tcBorders>
            <w:shd w:val="clear" w:color="auto" w:fill="F2F2F2"/>
          </w:tcPr>
          <w:p>
            <w:pPr>
              <w:spacing w:after="0"/>
              <w:rPr>
                <w:sz w:val="20"/>
                <w:szCs w:val="20"/>
                <w:color w:val="auto"/>
              </w:rPr>
            </w:pP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reduction vs. 2021</w:t>
            </w:r>
          </w:p>
        </w:tc>
        <w:tc>
          <w:tcPr>
            <w:tcW w:w="260" w:type="dxa"/>
            <w:vAlign w:val="bottom"/>
            <w:tcBorders>
              <w:bottom w:val="single" w:sz="8" w:color="F2F2F2"/>
            </w:tcBorders>
            <w:shd w:val="clear" w:color="auto" w:fill="F2F2F2"/>
          </w:tcPr>
          <w:p>
            <w:pPr>
              <w:spacing w:after="0"/>
              <w:rPr>
                <w:sz w:val="20"/>
                <w:szCs w:val="20"/>
                <w:color w:val="auto"/>
              </w:rPr>
            </w:pPr>
          </w:p>
        </w:tc>
        <w:tc>
          <w:tcPr>
            <w:tcW w:w="540" w:type="dxa"/>
            <w:vAlign w:val="bottom"/>
            <w:tcBorders>
              <w:bottom w:val="single" w:sz="8" w:color="F2F2F2"/>
            </w:tcBorders>
            <w:shd w:val="clear" w:color="auto" w:fill="F2F2F2"/>
          </w:tcPr>
          <w:p>
            <w:pPr>
              <w:spacing w:after="0"/>
              <w:rPr>
                <w:sz w:val="20"/>
                <w:szCs w:val="20"/>
                <w:color w:val="auto"/>
              </w:rPr>
            </w:pPr>
          </w:p>
        </w:tc>
        <w:tc>
          <w:tcPr>
            <w:tcW w:w="260" w:type="dxa"/>
            <w:vAlign w:val="bottom"/>
            <w:tcBorders>
              <w:bottom w:val="single" w:sz="8" w:color="F2F2F2"/>
            </w:tcBorders>
            <w:shd w:val="clear" w:color="auto" w:fill="F2F2F2"/>
          </w:tcPr>
          <w:p>
            <w:pPr>
              <w:spacing w:after="0"/>
              <w:rPr>
                <w:sz w:val="20"/>
                <w:szCs w:val="20"/>
                <w:color w:val="auto"/>
              </w:rPr>
            </w:pPr>
          </w:p>
        </w:tc>
        <w:tc>
          <w:tcPr>
            <w:tcW w:w="560" w:type="dxa"/>
            <w:vAlign w:val="bottom"/>
            <w:tcBorders>
              <w:bottom w:val="single" w:sz="8" w:color="F2F2F2"/>
            </w:tcBorders>
            <w:shd w:val="clear" w:color="auto" w:fill="F2F2F2"/>
          </w:tcPr>
          <w:p>
            <w:pPr>
              <w:spacing w:after="0"/>
              <w:rPr>
                <w:sz w:val="20"/>
                <w:szCs w:val="20"/>
                <w:color w:val="auto"/>
              </w:rPr>
            </w:pPr>
          </w:p>
        </w:tc>
        <w:tc>
          <w:tcPr>
            <w:tcW w:w="700" w:type="dxa"/>
            <w:vAlign w:val="bottom"/>
            <w:tcBorders>
              <w:bottom w:val="single" w:sz="8" w:color="F2F2F2"/>
            </w:tcBorders>
            <w:shd w:val="clear" w:color="auto" w:fill="F2F2F2"/>
          </w:tcPr>
          <w:p>
            <w:pPr>
              <w:spacing w:after="0"/>
              <w:rPr>
                <w:sz w:val="20"/>
                <w:szCs w:val="20"/>
                <w:color w:val="auto"/>
              </w:rPr>
            </w:pPr>
          </w:p>
        </w:tc>
      </w:tr>
      <w:tr>
        <w:trPr>
          <w:trHeight w:val="20"/>
        </w:trPr>
        <w:tc>
          <w:tcPr>
            <w:tcW w:w="250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28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130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1300" w:type="dxa"/>
            <w:vAlign w:val="bottom"/>
            <w:shd w:val="clear" w:color="auto" w:fill="CCCCCC"/>
          </w:tcPr>
          <w:p>
            <w:pPr>
              <w:spacing w:after="0" w:line="20" w:lineRule="exact"/>
              <w:rPr>
                <w:sz w:val="1"/>
                <w:szCs w:val="1"/>
                <w:color w:val="auto"/>
              </w:rPr>
            </w:pPr>
          </w:p>
        </w:tc>
        <w:tc>
          <w:tcPr>
            <w:tcW w:w="260" w:type="dxa"/>
            <w:vAlign w:val="bottom"/>
            <w:shd w:val="clear" w:color="auto" w:fill="CCCCCC"/>
          </w:tcPr>
          <w:p>
            <w:pPr>
              <w:spacing w:after="0" w:line="20" w:lineRule="exact"/>
              <w:rPr>
                <w:sz w:val="1"/>
                <w:szCs w:val="1"/>
                <w:color w:val="auto"/>
              </w:rPr>
            </w:pPr>
          </w:p>
        </w:tc>
        <w:tc>
          <w:tcPr>
            <w:tcW w:w="540" w:type="dxa"/>
            <w:vAlign w:val="bottom"/>
            <w:shd w:val="clear" w:color="auto" w:fill="CCCCCC"/>
          </w:tcPr>
          <w:p>
            <w:pPr>
              <w:spacing w:after="0" w:line="20" w:lineRule="exact"/>
              <w:rPr>
                <w:sz w:val="1"/>
                <w:szCs w:val="1"/>
                <w:color w:val="auto"/>
              </w:rPr>
            </w:pPr>
          </w:p>
        </w:tc>
        <w:tc>
          <w:tcPr>
            <w:tcW w:w="260" w:type="dxa"/>
            <w:vAlign w:val="bottom"/>
            <w:shd w:val="clear" w:color="auto" w:fill="CCCCCC"/>
          </w:tcPr>
          <w:p>
            <w:pPr>
              <w:spacing w:after="0" w:line="20" w:lineRule="exact"/>
              <w:rPr>
                <w:sz w:val="1"/>
                <w:szCs w:val="1"/>
                <w:color w:val="auto"/>
              </w:rPr>
            </w:pPr>
          </w:p>
        </w:tc>
        <w:tc>
          <w:tcPr>
            <w:tcW w:w="560" w:type="dxa"/>
            <w:vAlign w:val="bottom"/>
            <w:shd w:val="clear" w:color="auto" w:fill="CCCCCC"/>
          </w:tcPr>
          <w:p>
            <w:pPr>
              <w:spacing w:after="0" w:line="20" w:lineRule="exact"/>
              <w:rPr>
                <w:sz w:val="1"/>
                <w:szCs w:val="1"/>
                <w:color w:val="auto"/>
              </w:rPr>
            </w:pPr>
          </w:p>
        </w:tc>
        <w:tc>
          <w:tcPr>
            <w:tcW w:w="700" w:type="dxa"/>
            <w:vAlign w:val="bottom"/>
            <w:shd w:val="clear" w:color="auto" w:fill="CCCCCC"/>
          </w:tcPr>
          <w:p>
            <w:pPr>
              <w:spacing w:after="0" w:line="20" w:lineRule="exact"/>
              <w:rPr>
                <w:sz w:val="1"/>
                <w:szCs w:val="1"/>
                <w:color w:val="auto"/>
              </w:rPr>
            </w:pPr>
          </w:p>
        </w:tc>
      </w:tr>
    </w:tbl>
    <w:p>
      <w:pPr>
        <w:spacing w:after="0" w:line="256" w:lineRule="exact"/>
        <w:rPr>
          <w:sz w:val="20"/>
          <w:szCs w:val="20"/>
          <w:color w:val="auto"/>
        </w:rPr>
      </w:pPr>
    </w:p>
    <w:p>
      <w:pPr>
        <w:ind w:left="740" w:right="120"/>
        <w:spacing w:after="0" w:line="321" w:lineRule="auto"/>
        <w:rPr>
          <w:sz w:val="20"/>
          <w:szCs w:val="20"/>
          <w:color w:val="auto"/>
        </w:rPr>
      </w:pPr>
      <w:r>
        <w:rPr>
          <w:rFonts w:ascii="Arial" w:cs="Arial" w:eastAsia="Arial" w:hAnsi="Arial"/>
          <w:sz w:val="15"/>
          <w:szCs w:val="15"/>
          <w:color w:val="auto"/>
        </w:rPr>
        <w:t>For a detailed description of the calculation of cumulative non-GAAP Adjusted EPS, see “Executive Compensation Tables—Equity​ Incentive Plan Awards—Additional Information” and a reconciliation to the nearest GAAP metric can be found in Appendix A.</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2024 Supplemental Awards</w:t>
      </w:r>
    </w:p>
    <w:p>
      <w:pPr>
        <w:spacing w:after="0" w:line="122" w:lineRule="exact"/>
        <w:rPr>
          <w:sz w:val="20"/>
          <w:szCs w:val="20"/>
          <w:color w:val="auto"/>
        </w:rPr>
      </w:pPr>
    </w:p>
    <w:p>
      <w:pPr>
        <w:ind w:left="740" w:right="60"/>
        <w:spacing w:after="0" w:line="264" w:lineRule="auto"/>
        <w:rPr>
          <w:sz w:val="20"/>
          <w:szCs w:val="20"/>
          <w:color w:val="auto"/>
        </w:rPr>
      </w:pPr>
      <w:r>
        <w:rPr>
          <w:rFonts w:ascii="Arial" w:cs="Arial" w:eastAsia="Arial" w:hAnsi="Arial"/>
          <w:sz w:val="16"/>
          <w:szCs w:val="16"/>
          <w:color w:val="auto"/>
        </w:rPr>
        <w:t>In addition to our standard annual long-term and short-term incentive plan awards, we may from time to time in extraordinary circumstances award bonus incentives, including cash bonuses, to executive officers. Based on shareholder feedback, the Human Capital and Compensation Committee has committed to not make one-time equity awards to its executive officers absent extraordinary circumstances, except in connection with new hires or promotions. In the event the Human Capital and Compensation Committee determines that a one-time equity award is necessary and appropriate, such special award will have, except in the case of new hires or promotions, at least a three-year vesting period and will be primarily performance-based. In 2024, the Board approved a cash bonus of $100,000 to Ms. Karuturi for leading the successful negotiation and execution of a sales agreement for the Company’s Louisiana and Mississippi gas LDC businesses.</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Actions Taken Regarding 2025 Executive Compensation Program</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Short-Term Incentive Plan</w:t>
      </w:r>
    </w:p>
    <w:p>
      <w:pPr>
        <w:spacing w:after="0" w:line="122" w:lineRule="exact"/>
        <w:rPr>
          <w:sz w:val="20"/>
          <w:szCs w:val="20"/>
          <w:color w:val="auto"/>
        </w:rPr>
      </w:pPr>
    </w:p>
    <w:p>
      <w:pPr>
        <w:ind w:left="740" w:right="80"/>
        <w:spacing w:after="0" w:line="279" w:lineRule="auto"/>
        <w:rPr>
          <w:sz w:val="20"/>
          <w:szCs w:val="20"/>
          <w:color w:val="auto"/>
        </w:rPr>
      </w:pPr>
      <w:r>
        <w:rPr>
          <w:rFonts w:ascii="Arial" w:cs="Arial" w:eastAsia="Arial" w:hAnsi="Arial"/>
          <w:sz w:val="15"/>
          <w:szCs w:val="15"/>
          <w:color w:val="auto"/>
        </w:rPr>
        <w:t>The Human Capital and Compensation Committee approved certain modifications to the short-term incentive plan for our named executive officers for 2025. To strengthen alignment for all Company employees, including executive officers, towards the Company’s performance and success, the Human Capital and Compensation Committee approved the consolidation of the non-executive employee and executive officer short-term incentive plan objectives and metrics starting with the 2025 performance year. Additionally, in recognition of the importance of safe, reliable operations and customer service to our long-term success as an organization and in response to feedback from shareholders and other stakeholders regarding the link between executive pay and the Company’s operational performance and customer service, our 2025 short-term incentive plan performance goals incorporate weighted non-financial metrics in addition to the non-GAAP Adjusted EPS metric. Non-GAAP Adjusted EPS represents 70% of our 2025 short-term incentive metrics and non-financial metrics relating to safety, operational excellence, and customer satisfaction represent the remaining 30%. The entirety of each individual award remains subject to the Human Capital and Compensation Committee’s discretion, consistent with the Company’s philosophy to pay for performance. In determining whether to exercise its discretion, the Human Capital and Compensation Committee may assess an individual executive’s contribution to the achievement of the performance objectives and any special circumstances and may also consider the input of our Chief Executive Officer on the amount to be awarded to each of the other named executive officers. The Committee believes that the</w:t>
      </w:r>
    </w:p>
    <w:p>
      <w:pPr>
        <w:sectPr>
          <w:pgSz w:w="11900" w:h="16838" w:orient="portrait"/>
          <w:cols w:equalWidth="0" w:num="1">
            <w:col w:w="10020"/>
          </w:cols>
          <w:pgMar w:left="580" w:top="97" w:right="1299" w:bottom="1440" w:gutter="0" w:footer="0" w:header="0"/>
        </w:sectPr>
      </w:pPr>
    </w:p>
    <w:p>
      <w:pPr>
        <w:spacing w:after="0" w:line="226"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200"/>
        <w:spacing w:after="0" w:line="286" w:lineRule="auto"/>
        <w:rPr>
          <w:sz w:val="20"/>
          <w:szCs w:val="20"/>
          <w:color w:val="auto"/>
        </w:rPr>
      </w:pPr>
      <w:r>
        <w:rPr>
          <w:rFonts w:ascii="Arial" w:cs="Arial" w:eastAsia="Arial" w:hAnsi="Arial"/>
          <w:sz w:val="16"/>
          <w:szCs w:val="16"/>
          <w:color w:val="auto"/>
        </w:rPr>
        <w:t>updated 2025 short-term incentive program will continue to drive appropriate behaviors for our management team and lead to the long-term success of the organization. The structure of the 2025 short-term incentive plan metrics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90805</wp:posOffset>
            </wp:positionV>
            <wp:extent cx="3368675" cy="1440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86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right="560"/>
        <w:spacing w:after="0" w:line="304" w:lineRule="auto"/>
        <w:rPr>
          <w:sz w:val="20"/>
          <w:szCs w:val="20"/>
          <w:color w:val="auto"/>
        </w:rPr>
      </w:pPr>
      <w:r>
        <w:rPr>
          <w:rFonts w:ascii="Arial" w:cs="Arial" w:eastAsia="Arial" w:hAnsi="Arial"/>
          <w:sz w:val="16"/>
          <w:szCs w:val="16"/>
          <w:color w:val="auto"/>
        </w:rPr>
        <w:t>The short-term incentive plan metrics for the 2025 performance year, along with the description of each metric and its critical linkage to our strategy and value creation, are provided in the table below.</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PERFORMANCE</w:t>
            </w:r>
          </w:p>
        </w:tc>
        <w:tc>
          <w:tcPr>
            <w:tcW w:w="360" w:type="dxa"/>
            <w:vAlign w:val="bottom"/>
            <w:shd w:val="clear" w:color="auto" w:fill="003763"/>
          </w:tcPr>
          <w:p>
            <w:pPr>
              <w:spacing w:after="0"/>
              <w:rPr>
                <w:sz w:val="13"/>
                <w:szCs w:val="13"/>
                <w:color w:val="auto"/>
              </w:rPr>
            </w:pPr>
          </w:p>
        </w:tc>
        <w:tc>
          <w:tcPr>
            <w:tcW w:w="800" w:type="dxa"/>
            <w:vAlign w:val="bottom"/>
            <w:shd w:val="clear" w:color="auto" w:fill="003763"/>
          </w:tcPr>
          <w:p>
            <w:pPr>
              <w:spacing w:after="0"/>
              <w:rPr>
                <w:sz w:val="13"/>
                <w:szCs w:val="13"/>
                <w:color w:val="auto"/>
              </w:rPr>
            </w:pPr>
          </w:p>
        </w:tc>
        <w:tc>
          <w:tcPr>
            <w:tcW w:w="240" w:type="dxa"/>
            <w:vAlign w:val="bottom"/>
            <w:shd w:val="clear" w:color="auto" w:fill="003763"/>
          </w:tcPr>
          <w:p>
            <w:pPr>
              <w:spacing w:after="0"/>
              <w:rPr>
                <w:sz w:val="13"/>
                <w:szCs w:val="13"/>
                <w:color w:val="auto"/>
              </w:rPr>
            </w:pPr>
          </w:p>
        </w:tc>
        <w:tc>
          <w:tcPr>
            <w:tcW w:w="3000" w:type="dxa"/>
            <w:vAlign w:val="bottom"/>
            <w:shd w:val="clear" w:color="auto" w:fill="003763"/>
          </w:tcPr>
          <w:p>
            <w:pPr>
              <w:spacing w:after="0"/>
              <w:rPr>
                <w:sz w:val="13"/>
                <w:szCs w:val="13"/>
                <w:color w:val="auto"/>
              </w:rPr>
            </w:pPr>
          </w:p>
        </w:tc>
        <w:tc>
          <w:tcPr>
            <w:tcW w:w="220" w:type="dxa"/>
            <w:vAlign w:val="bottom"/>
            <w:shd w:val="clear" w:color="auto" w:fill="003763"/>
          </w:tcPr>
          <w:p>
            <w:pPr>
              <w:spacing w:after="0"/>
              <w:rPr>
                <w:sz w:val="13"/>
                <w:szCs w:val="13"/>
                <w:color w:val="auto"/>
              </w:rPr>
            </w:pPr>
          </w:p>
        </w:tc>
        <w:tc>
          <w:tcPr>
            <w:tcW w:w="3020" w:type="dxa"/>
            <w:vAlign w:val="bottom"/>
            <w:shd w:val="clear" w:color="auto" w:fill="003763"/>
          </w:tcPr>
          <w:p>
            <w:pPr>
              <w:spacing w:after="0"/>
              <w:rPr>
                <w:sz w:val="13"/>
                <w:szCs w:val="13"/>
                <w:color w:val="auto"/>
              </w:rPr>
            </w:pPr>
          </w:p>
        </w:tc>
        <w:tc>
          <w:tcPr>
            <w:tcW w:w="120" w:type="dxa"/>
            <w:vAlign w:val="bottom"/>
            <w:shd w:val="clear" w:color="auto" w:fill="003763"/>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1480" w:type="dxa"/>
            <w:vAlign w:val="bottom"/>
            <w:shd w:val="clear" w:color="auto" w:fill="003763"/>
          </w:tcPr>
          <w:p>
            <w:pPr>
              <w:ind w:left="20"/>
              <w:spacing w:after="0" w:line="229"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OBJECTIVES</w:t>
            </w:r>
          </w:p>
        </w:tc>
        <w:tc>
          <w:tcPr>
            <w:tcW w:w="360" w:type="dxa"/>
            <w:vAlign w:val="bottom"/>
            <w:shd w:val="clear" w:color="auto" w:fill="003763"/>
          </w:tcPr>
          <w:p>
            <w:pPr>
              <w:ind w:left="160"/>
              <w:spacing w:after="0"/>
              <w:rPr>
                <w:sz w:val="20"/>
                <w:szCs w:val="20"/>
                <w:color w:val="auto"/>
              </w:rPr>
            </w:pPr>
            <w:r>
              <w:rPr>
                <w:rFonts w:ascii="Arial" w:cs="Arial" w:eastAsia="Arial" w:hAnsi="Arial"/>
                <w:sz w:val="13"/>
                <w:szCs w:val="13"/>
                <w:b w:val="1"/>
                <w:bCs w:val="1"/>
                <w:color w:val="FFFFFF"/>
              </w:rPr>
              <w:t>​ ​</w:t>
            </w:r>
          </w:p>
        </w:tc>
        <w:tc>
          <w:tcPr>
            <w:tcW w:w="8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WEIGHTING</w:t>
            </w:r>
          </w:p>
        </w:tc>
        <w:tc>
          <w:tcPr>
            <w:tcW w:w="2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 ​</w:t>
            </w:r>
          </w:p>
        </w:tc>
        <w:tc>
          <w:tcPr>
            <w:tcW w:w="3000" w:type="dxa"/>
            <w:vAlign w:val="bottom"/>
            <w:shd w:val="clear" w:color="auto" w:fill="003763"/>
          </w:tcPr>
          <w:p>
            <w:pPr>
              <w:ind w:left="1100"/>
              <w:spacing w:after="0"/>
              <w:rPr>
                <w:sz w:val="20"/>
                <w:szCs w:val="20"/>
                <w:color w:val="auto"/>
              </w:rPr>
            </w:pPr>
            <w:r>
              <w:rPr>
                <w:rFonts w:ascii="Arial" w:cs="Arial" w:eastAsia="Arial" w:hAnsi="Arial"/>
                <w:sz w:val="13"/>
                <w:szCs w:val="13"/>
                <w:b w:val="1"/>
                <w:bCs w:val="1"/>
                <w:color w:val="FFFFFF"/>
              </w:rPr>
              <w:t>DESCRIPTION</w:t>
            </w:r>
          </w:p>
        </w:tc>
        <w:tc>
          <w:tcPr>
            <w:tcW w:w="22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 ​</w:t>
            </w:r>
          </w:p>
        </w:tc>
        <w:tc>
          <w:tcPr>
            <w:tcW w:w="3020" w:type="dxa"/>
            <w:vAlign w:val="bottom"/>
            <w:shd w:val="clear" w:color="auto" w:fill="003763"/>
          </w:tcPr>
          <w:p>
            <w:pPr>
              <w:ind w:left="800"/>
              <w:spacing w:after="0"/>
              <w:rPr>
                <w:sz w:val="20"/>
                <w:szCs w:val="20"/>
                <w:color w:val="auto"/>
              </w:rPr>
            </w:pPr>
            <w:r>
              <w:rPr>
                <w:rFonts w:ascii="Arial" w:cs="Arial" w:eastAsia="Arial" w:hAnsi="Arial"/>
                <w:sz w:val="13"/>
                <w:szCs w:val="13"/>
                <w:b w:val="1"/>
                <w:bCs w:val="1"/>
                <w:color w:val="FFFFFF"/>
              </w:rPr>
              <w:t>STRATEGY ALIGNMENT</w:t>
            </w:r>
          </w:p>
        </w:tc>
        <w:tc>
          <w:tcPr>
            <w:tcW w:w="12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r>
      <w:tr>
        <w:trPr>
          <w:trHeight w:val="212"/>
        </w:trPr>
        <w:tc>
          <w:tcPr>
            <w:tcW w:w="20" w:type="dxa"/>
            <w:vAlign w:val="bottom"/>
          </w:tcPr>
          <w:p>
            <w:pPr>
              <w:spacing w:after="0"/>
              <w:rPr>
                <w:sz w:val="18"/>
                <w:szCs w:val="18"/>
                <w:color w:val="auto"/>
              </w:rPr>
            </w:pPr>
          </w:p>
        </w:tc>
        <w:tc>
          <w:tcPr>
            <w:tcW w:w="1480" w:type="dxa"/>
            <w:vAlign w:val="bottom"/>
          </w:tcPr>
          <w:p>
            <w:pPr>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b w:val="1"/>
                <w:bCs w:val="1"/>
                <w:color w:val="auto"/>
              </w:rPr>
              <w:t xml:space="preserve"> Safety Composite</w:t>
            </w:r>
          </w:p>
        </w:tc>
        <w:tc>
          <w:tcPr>
            <w:tcW w:w="360" w:type="dxa"/>
            <w:vAlign w:val="bottom"/>
          </w:tcPr>
          <w:p>
            <w:pPr>
              <w:ind w:left="120"/>
              <w:spacing w:after="0"/>
              <w:rPr>
                <w:sz w:val="20"/>
                <w:szCs w:val="20"/>
                <w:color w:val="auto"/>
              </w:rPr>
            </w:pPr>
            <w:r>
              <w:rPr>
                <w:rFonts w:ascii="Arial" w:cs="Arial" w:eastAsia="Arial" w:hAnsi="Arial"/>
                <w:sz w:val="15"/>
                <w:szCs w:val="15"/>
                <w:color w:val="auto"/>
              </w:rPr>
              <w:t>​ ​</w:t>
            </w: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rPr>
              <w:t>10%</w:t>
            </w:r>
          </w:p>
        </w:tc>
        <w:tc>
          <w:tcPr>
            <w:tcW w:w="3240" w:type="dxa"/>
            <w:vAlign w:val="bottom"/>
            <w:gridSpan w:val="2"/>
          </w:tcPr>
          <w:p>
            <w:pPr>
              <w:ind w:left="4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This objective is focused on meeting certain</w:t>
            </w:r>
          </w:p>
        </w:tc>
        <w:tc>
          <w:tcPr>
            <w:tcW w:w="3240" w:type="dxa"/>
            <w:vAlign w:val="bottom"/>
            <w:gridSpan w:val="2"/>
          </w:tcPr>
          <w:p>
            <w:pPr>
              <w:ind w:left="20"/>
              <w:spacing w:after="0" w:line="212"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The Safety Composite objective aligns with</w:t>
            </w:r>
          </w:p>
        </w:tc>
        <w:tc>
          <w:tcPr>
            <w:tcW w:w="120" w:type="dxa"/>
            <w:vAlign w:val="bottom"/>
          </w:tcPr>
          <w:p>
            <w:pPr>
              <w:spacing w:after="0"/>
              <w:rPr>
                <w:sz w:val="20"/>
                <w:szCs w:val="20"/>
                <w:color w:val="auto"/>
              </w:rPr>
            </w:pPr>
            <w:r>
              <w:rPr>
                <w:rFonts w:ascii="Arial" w:cs="Arial" w:eastAsia="Arial" w:hAnsi="Arial"/>
                <w:sz w:val="15"/>
                <w:szCs w:val="15"/>
                <w:color w:val="auto"/>
              </w:rPr>
              <w:t>​</w:t>
            </w:r>
          </w:p>
        </w:tc>
      </w:t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line="162" w:lineRule="exact"/>
              <w:rPr>
                <w:sz w:val="20"/>
                <w:szCs w:val="20"/>
                <w:color w:val="auto"/>
              </w:rPr>
            </w:pPr>
            <w:r>
              <w:rPr>
                <w:rFonts w:ascii="Arial" w:cs="Arial" w:eastAsia="Arial" w:hAnsi="Arial"/>
                <w:sz w:val="15"/>
                <w:szCs w:val="15"/>
                <w:color w:val="auto"/>
              </w:rPr>
              <w:t>safety goals, including in relation to</w:t>
            </w:r>
          </w:p>
        </w:tc>
        <w:tc>
          <w:tcPr>
            <w:tcW w:w="220" w:type="dxa"/>
            <w:vAlign w:val="bottom"/>
          </w:tcPr>
          <w:p>
            <w:pPr>
              <w:spacing w:after="0"/>
              <w:rPr>
                <w:sz w:val="14"/>
                <w:szCs w:val="14"/>
                <w:color w:val="auto"/>
              </w:rPr>
            </w:pPr>
          </w:p>
        </w:tc>
        <w:tc>
          <w:tcPr>
            <w:tcW w:w="3020" w:type="dxa"/>
            <w:vAlign w:val="bottom"/>
          </w:tcPr>
          <w:p>
            <w:pPr>
              <w:ind w:left="20"/>
              <w:spacing w:after="0" w:line="162" w:lineRule="exact"/>
              <w:rPr>
                <w:sz w:val="20"/>
                <w:szCs w:val="20"/>
                <w:color w:val="auto"/>
              </w:rPr>
            </w:pPr>
            <w:r>
              <w:rPr>
                <w:rFonts w:ascii="Arial" w:cs="Arial" w:eastAsia="Arial" w:hAnsi="Arial"/>
                <w:sz w:val="15"/>
                <w:szCs w:val="15"/>
                <w:color w:val="auto"/>
              </w:rPr>
              <w:t>our commitment to maintaining a safe work</w:t>
            </w:r>
          </w:p>
        </w:tc>
        <w:tc>
          <w:tcPr>
            <w:tcW w:w="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5"/>
                <w:szCs w:val="15"/>
                <w:color w:val="auto"/>
              </w:rPr>
              <w:t>identifying high-energy sources at worksites,</w:t>
            </w:r>
          </w:p>
        </w:tc>
        <w:tc>
          <w:tcPr>
            <w:tcW w:w="22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Arial" w:cs="Arial" w:eastAsia="Arial" w:hAnsi="Arial"/>
                <w:sz w:val="15"/>
                <w:szCs w:val="15"/>
                <w:color w:val="auto"/>
              </w:rPr>
              <w:t>environment and delivering electricity and</w:t>
            </w:r>
          </w:p>
        </w:tc>
        <w:tc>
          <w:tcPr>
            <w:tcW w:w="1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5"/>
                <w:szCs w:val="15"/>
                <w:color w:val="auto"/>
              </w:rPr>
              <w:t>as well as identifying and implementing</w:t>
            </w:r>
          </w:p>
        </w:tc>
        <w:tc>
          <w:tcPr>
            <w:tcW w:w="22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Arial" w:cs="Arial" w:eastAsia="Arial" w:hAnsi="Arial"/>
                <w:sz w:val="15"/>
                <w:szCs w:val="15"/>
                <w:color w:val="auto"/>
                <w:w w:val="99"/>
              </w:rPr>
              <w:t>natural gas safely to the communities that we</w:t>
            </w:r>
          </w:p>
        </w:tc>
        <w:tc>
          <w:tcPr>
            <w:tcW w:w="1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5"/>
                <w:szCs w:val="15"/>
                <w:color w:val="auto"/>
              </w:rPr>
              <w:t>certain safety action items.</w:t>
            </w:r>
          </w:p>
        </w:tc>
        <w:tc>
          <w:tcPr>
            <w:tcW w:w="2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5"/>
                <w:szCs w:val="15"/>
                <w:color w:val="auto"/>
              </w:rPr>
              <w:t>serve.</w:t>
            </w:r>
          </w:p>
        </w:tc>
        <w:tc>
          <w:tcPr>
            <w:tcW w:w="12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1480" w:type="dxa"/>
            <w:vAlign w:val="bottom"/>
            <w:tcBorders>
              <w:bottom w:val="single" w:sz="8" w:color="CCCCCC"/>
            </w:tcBorders>
          </w:tcPr>
          <w:p>
            <w:pPr>
              <w:spacing w:after="0"/>
              <w:rPr>
                <w:sz w:val="2"/>
                <w:szCs w:val="2"/>
                <w:color w:val="auto"/>
              </w:rPr>
            </w:pPr>
          </w:p>
        </w:tc>
        <w:tc>
          <w:tcPr>
            <w:tcW w:w="360" w:type="dxa"/>
            <w:vAlign w:val="bottom"/>
            <w:tcBorders>
              <w:bottom w:val="single" w:sz="8" w:color="CCCCCC"/>
            </w:tcBorders>
          </w:tcPr>
          <w:p>
            <w:pPr>
              <w:spacing w:after="0"/>
              <w:rPr>
                <w:sz w:val="2"/>
                <w:szCs w:val="2"/>
                <w:color w:val="auto"/>
              </w:rPr>
            </w:pPr>
          </w:p>
        </w:tc>
        <w:tc>
          <w:tcPr>
            <w:tcW w:w="800" w:type="dxa"/>
            <w:vAlign w:val="bottom"/>
            <w:tcBorders>
              <w:bottom w:val="single" w:sz="8" w:color="CCCCCC"/>
            </w:tcBorders>
          </w:tcPr>
          <w:p>
            <w:pPr>
              <w:spacing w:after="0"/>
              <w:rPr>
                <w:sz w:val="2"/>
                <w:szCs w:val="2"/>
                <w:color w:val="auto"/>
              </w:rPr>
            </w:pPr>
          </w:p>
        </w:tc>
        <w:tc>
          <w:tcPr>
            <w:tcW w:w="3240" w:type="dxa"/>
            <w:vAlign w:val="bottom"/>
            <w:tcBorders>
              <w:bottom w:val="single" w:sz="8" w:color="CCCCCC"/>
            </w:tcBorders>
            <w:gridSpan w:val="2"/>
          </w:tcPr>
          <w:p>
            <w:pPr>
              <w:spacing w:after="0"/>
              <w:rPr>
                <w:sz w:val="2"/>
                <w:szCs w:val="2"/>
                <w:color w:val="auto"/>
              </w:rPr>
            </w:pPr>
          </w:p>
        </w:tc>
        <w:tc>
          <w:tcPr>
            <w:tcW w:w="3240" w:type="dxa"/>
            <w:vAlign w:val="bottom"/>
            <w:tcBorders>
              <w:bottom w:val="single" w:sz="8" w:color="CCCCCC"/>
            </w:tcBorders>
            <w:gridSpan w:val="2"/>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1480" w:type="dxa"/>
            <w:vAlign w:val="bottom"/>
            <w:shd w:val="clear" w:color="auto" w:fill="F2F2F2"/>
          </w:tcPr>
          <w:p>
            <w:pPr>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Operational</w:t>
            </w:r>
          </w:p>
        </w:tc>
        <w:tc>
          <w:tcPr>
            <w:tcW w:w="36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80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rPr>
              <w:t>10%</w:t>
            </w:r>
          </w:p>
        </w:tc>
        <w:tc>
          <w:tcPr>
            <w:tcW w:w="3240" w:type="dxa"/>
            <w:vAlign w:val="bottom"/>
            <w:gridSpan w:val="2"/>
            <w:shd w:val="clear" w:color="auto" w:fill="F2F2F2"/>
          </w:tcPr>
          <w:p>
            <w:pPr>
              <w:ind w:left="40"/>
              <w:spacing w:after="0" w:line="203"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This objective is focused on meeting certain</w:t>
            </w:r>
          </w:p>
        </w:tc>
        <w:tc>
          <w:tcPr>
            <w:tcW w:w="3240" w:type="dxa"/>
            <w:vAlign w:val="bottom"/>
            <w:gridSpan w:val="2"/>
            <w:shd w:val="clear" w:color="auto" w:fill="F2F2F2"/>
          </w:tcPr>
          <w:p>
            <w:pPr>
              <w:ind w:left="20"/>
              <w:spacing w:after="0" w:line="203"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The Operational Excellence Composite</w:t>
            </w:r>
          </w:p>
        </w:tc>
        <w:tc>
          <w:tcPr>
            <w:tcW w:w="120" w:type="dxa"/>
            <w:vAlign w:val="bottom"/>
            <w:shd w:val="clear" w:color="auto" w:fill="F2F2F2"/>
          </w:tcPr>
          <w:p>
            <w:pPr>
              <w:spacing w:after="0"/>
              <w:rPr>
                <w:sz w:val="20"/>
                <w:szCs w:val="20"/>
                <w:color w:val="auto"/>
              </w:rPr>
            </w:pPr>
            <w:r>
              <w:rPr>
                <w:rFonts w:ascii="Arial" w:cs="Arial" w:eastAsia="Arial" w:hAnsi="Arial"/>
                <w:sz w:val="15"/>
                <w:szCs w:val="15"/>
                <w:color w:val="auto"/>
              </w:rPr>
              <w:t>​</w:t>
            </w:r>
          </w:p>
        </w:tc>
      </w:tr>
      <w:tr>
        <w:trPr>
          <w:trHeight w:val="162"/>
        </w:trPr>
        <w:tc>
          <w:tcPr>
            <w:tcW w:w="20" w:type="dxa"/>
            <w:vAlign w:val="bottom"/>
          </w:tcPr>
          <w:p>
            <w:pPr>
              <w:spacing w:after="0"/>
              <w:rPr>
                <w:sz w:val="14"/>
                <w:szCs w:val="14"/>
                <w:color w:val="auto"/>
              </w:rPr>
            </w:pPr>
          </w:p>
        </w:tc>
        <w:tc>
          <w:tcPr>
            <w:tcW w:w="1480" w:type="dxa"/>
            <w:vAlign w:val="bottom"/>
            <w:shd w:val="clear" w:color="auto" w:fill="F2F2F2"/>
          </w:tcPr>
          <w:p>
            <w:pPr>
              <w:ind w:left="80"/>
              <w:spacing w:after="0" w:line="162" w:lineRule="exact"/>
              <w:rPr>
                <w:sz w:val="20"/>
                <w:szCs w:val="20"/>
                <w:color w:val="auto"/>
              </w:rPr>
            </w:pPr>
            <w:r>
              <w:rPr>
                <w:rFonts w:ascii="Arial" w:cs="Arial" w:eastAsia="Arial" w:hAnsi="Arial"/>
                <w:sz w:val="15"/>
                <w:szCs w:val="15"/>
                <w:b w:val="1"/>
                <w:bCs w:val="1"/>
                <w:color w:val="auto"/>
              </w:rPr>
              <w:t>Excellence</w:t>
            </w:r>
          </w:p>
        </w:tc>
        <w:tc>
          <w:tcPr>
            <w:tcW w:w="36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000" w:type="dxa"/>
            <w:vAlign w:val="bottom"/>
            <w:shd w:val="clear" w:color="auto" w:fill="F2F2F2"/>
          </w:tcPr>
          <w:p>
            <w:pPr>
              <w:spacing w:after="0" w:line="162" w:lineRule="exact"/>
              <w:rPr>
                <w:sz w:val="20"/>
                <w:szCs w:val="20"/>
                <w:color w:val="auto"/>
              </w:rPr>
            </w:pPr>
            <w:r>
              <w:rPr>
                <w:rFonts w:ascii="Arial" w:cs="Arial" w:eastAsia="Arial" w:hAnsi="Arial"/>
                <w:sz w:val="15"/>
                <w:szCs w:val="15"/>
                <w:color w:val="auto"/>
              </w:rPr>
              <w:t>operational goals, including in relation to our</w:t>
            </w:r>
          </w:p>
        </w:tc>
        <w:tc>
          <w:tcPr>
            <w:tcW w:w="220" w:type="dxa"/>
            <w:vAlign w:val="bottom"/>
            <w:shd w:val="clear" w:color="auto" w:fill="F2F2F2"/>
          </w:tcPr>
          <w:p>
            <w:pPr>
              <w:spacing w:after="0"/>
              <w:rPr>
                <w:sz w:val="14"/>
                <w:szCs w:val="14"/>
                <w:color w:val="auto"/>
              </w:rPr>
            </w:pPr>
          </w:p>
        </w:tc>
        <w:tc>
          <w:tcPr>
            <w:tcW w:w="3020" w:type="dxa"/>
            <w:vAlign w:val="bottom"/>
            <w:shd w:val="clear" w:color="auto" w:fill="F2F2F2"/>
          </w:tcPr>
          <w:p>
            <w:pPr>
              <w:ind w:left="20"/>
              <w:spacing w:after="0" w:line="162" w:lineRule="exact"/>
              <w:rPr>
                <w:sz w:val="20"/>
                <w:szCs w:val="20"/>
                <w:color w:val="auto"/>
              </w:rPr>
            </w:pPr>
            <w:r>
              <w:rPr>
                <w:rFonts w:ascii="Arial" w:cs="Arial" w:eastAsia="Arial" w:hAnsi="Arial"/>
                <w:sz w:val="15"/>
                <w:szCs w:val="15"/>
                <w:color w:val="auto"/>
              </w:rPr>
              <w:t>objective aligns with our commitment to</w:t>
            </w:r>
          </w:p>
        </w:tc>
        <w:tc>
          <w:tcPr>
            <w:tcW w:w="120" w:type="dxa"/>
            <w:vAlign w:val="bottom"/>
            <w:shd w:val="clear" w:color="auto" w:fill="F2F2F2"/>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1480" w:type="dxa"/>
            <w:vAlign w:val="bottom"/>
            <w:shd w:val="clear" w:color="auto" w:fill="F2F2F2"/>
          </w:tcPr>
          <w:p>
            <w:pPr>
              <w:ind w:left="80"/>
              <w:spacing w:after="0"/>
              <w:rPr>
                <w:sz w:val="20"/>
                <w:szCs w:val="20"/>
                <w:color w:val="auto"/>
              </w:rPr>
            </w:pPr>
            <w:r>
              <w:rPr>
                <w:rFonts w:ascii="Arial" w:cs="Arial" w:eastAsia="Arial" w:hAnsi="Arial"/>
                <w:sz w:val="15"/>
                <w:szCs w:val="15"/>
                <w:b w:val="1"/>
                <w:bCs w:val="1"/>
                <w:color w:val="auto"/>
              </w:rPr>
              <w:t>Composite</w:t>
            </w:r>
          </w:p>
        </w:tc>
        <w:tc>
          <w:tcPr>
            <w:tcW w:w="36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response to emergency events and driving</w:t>
            </w:r>
          </w:p>
        </w:tc>
        <w:tc>
          <w:tcPr>
            <w:tcW w:w="220" w:type="dxa"/>
            <w:vAlign w:val="bottom"/>
            <w:shd w:val="clear" w:color="auto" w:fill="F2F2F2"/>
          </w:tcPr>
          <w:p>
            <w:pPr>
              <w:spacing w:after="0"/>
              <w:rPr>
                <w:sz w:val="15"/>
                <w:szCs w:val="15"/>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providing resilient and reliable energy for the</w:t>
            </w:r>
          </w:p>
        </w:tc>
        <w:tc>
          <w:tcPr>
            <w:tcW w:w="120" w:type="dxa"/>
            <w:vAlign w:val="bottom"/>
            <w:shd w:val="clear" w:color="auto" w:fill="F2F2F2"/>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electric system reliability.</w:t>
            </w:r>
          </w:p>
        </w:tc>
        <w:tc>
          <w:tcPr>
            <w:tcW w:w="220" w:type="dxa"/>
            <w:vAlign w:val="bottom"/>
            <w:shd w:val="clear" w:color="auto" w:fill="F2F2F2"/>
          </w:tcPr>
          <w:p>
            <w:pPr>
              <w:spacing w:after="0"/>
              <w:rPr>
                <w:sz w:val="15"/>
                <w:szCs w:val="15"/>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benefit of our customers and other</w:t>
            </w:r>
          </w:p>
        </w:tc>
        <w:tc>
          <w:tcPr>
            <w:tcW w:w="120" w:type="dxa"/>
            <w:vAlign w:val="bottom"/>
            <w:shd w:val="clear" w:color="auto" w:fill="F2F2F2"/>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1480" w:type="dxa"/>
            <w:vAlign w:val="bottom"/>
            <w:tcBorders>
              <w:bottom w:val="single" w:sz="8" w:color="F2F2F2"/>
            </w:tcBorders>
            <w:shd w:val="clear" w:color="auto" w:fill="F2F2F2"/>
          </w:tcPr>
          <w:p>
            <w:pPr>
              <w:spacing w:after="0"/>
              <w:rPr>
                <w:sz w:val="20"/>
                <w:szCs w:val="20"/>
                <w:color w:val="auto"/>
              </w:rPr>
            </w:pPr>
          </w:p>
        </w:tc>
        <w:tc>
          <w:tcPr>
            <w:tcW w:w="360" w:type="dxa"/>
            <w:vAlign w:val="bottom"/>
            <w:tcBorders>
              <w:bottom w:val="single" w:sz="8" w:color="F2F2F2"/>
            </w:tcBorders>
            <w:shd w:val="clear" w:color="auto" w:fill="F2F2F2"/>
          </w:tcPr>
          <w:p>
            <w:pPr>
              <w:spacing w:after="0"/>
              <w:rPr>
                <w:sz w:val="20"/>
                <w:szCs w:val="20"/>
                <w:color w:val="auto"/>
              </w:rPr>
            </w:pPr>
          </w:p>
        </w:tc>
        <w:tc>
          <w:tcPr>
            <w:tcW w:w="80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F2F2F2"/>
            </w:tcBorders>
            <w:shd w:val="clear" w:color="auto" w:fill="F2F2F2"/>
          </w:tcPr>
          <w:p>
            <w:pPr>
              <w:spacing w:after="0"/>
              <w:rPr>
                <w:sz w:val="20"/>
                <w:szCs w:val="20"/>
                <w:color w:val="auto"/>
              </w:rPr>
            </w:pPr>
          </w:p>
        </w:tc>
        <w:tc>
          <w:tcPr>
            <w:tcW w:w="3000" w:type="dxa"/>
            <w:vAlign w:val="bottom"/>
            <w:tcBorders>
              <w:bottom w:val="single" w:sz="8" w:color="F2F2F2"/>
            </w:tcBorders>
            <w:shd w:val="clear" w:color="auto" w:fill="F2F2F2"/>
          </w:tcPr>
          <w:p>
            <w:pPr>
              <w:spacing w:after="0"/>
              <w:rPr>
                <w:sz w:val="20"/>
                <w:szCs w:val="20"/>
                <w:color w:val="auto"/>
              </w:rPr>
            </w:pPr>
          </w:p>
        </w:tc>
        <w:tc>
          <w:tcPr>
            <w:tcW w:w="220" w:type="dxa"/>
            <w:vAlign w:val="bottom"/>
            <w:tcBorders>
              <w:bottom w:val="single" w:sz="8" w:color="F2F2F2"/>
            </w:tcBorders>
            <w:shd w:val="clear" w:color="auto" w:fill="F2F2F2"/>
          </w:tcPr>
          <w:p>
            <w:pPr>
              <w:spacing w:after="0"/>
              <w:rPr>
                <w:sz w:val="20"/>
                <w:szCs w:val="20"/>
                <w:color w:val="auto"/>
              </w:rPr>
            </w:pPr>
          </w:p>
        </w:tc>
        <w:tc>
          <w:tcPr>
            <w:tcW w:w="30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5"/>
                <w:szCs w:val="15"/>
                <w:color w:val="auto"/>
              </w:rPr>
              <w:t>stakeholders.</w:t>
            </w:r>
          </w:p>
        </w:tc>
        <w:tc>
          <w:tcPr>
            <w:tcW w:w="120" w:type="dxa"/>
            <w:vAlign w:val="bottom"/>
            <w:tcBorders>
              <w:bottom w:val="single" w:sz="8" w:color="F2F2F2"/>
            </w:tcBorders>
            <w:shd w:val="clear" w:color="auto" w:fill="F2F2F2"/>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1480" w:type="dxa"/>
            <w:vAlign w:val="bottom"/>
            <w:tcBorders>
              <w:top w:val="single" w:sz="8" w:color="CCCCCC"/>
            </w:tcBorders>
          </w:tcPr>
          <w:p>
            <w:pPr>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Customer</w:t>
            </w:r>
          </w:p>
        </w:tc>
        <w:tc>
          <w:tcPr>
            <w:tcW w:w="360" w:type="dxa"/>
            <w:vAlign w:val="bottom"/>
            <w:tcBorders>
              <w:top w:val="single" w:sz="8" w:color="CCCCCC"/>
            </w:tcBorders>
          </w:tcPr>
          <w:p>
            <w:pPr>
              <w:ind w:left="120"/>
              <w:spacing w:after="0"/>
              <w:rPr>
                <w:sz w:val="20"/>
                <w:szCs w:val="20"/>
                <w:color w:val="auto"/>
              </w:rPr>
            </w:pPr>
            <w:r>
              <w:rPr>
                <w:rFonts w:ascii="Arial" w:cs="Arial" w:eastAsia="Arial" w:hAnsi="Arial"/>
                <w:sz w:val="15"/>
                <w:szCs w:val="15"/>
                <w:color w:val="auto"/>
              </w:rPr>
              <w:t>​ ​</w:t>
            </w:r>
          </w:p>
        </w:tc>
        <w:tc>
          <w:tcPr>
            <w:tcW w:w="800" w:type="dxa"/>
            <w:vAlign w:val="bottom"/>
            <w:tcBorders>
              <w:top w:val="single" w:sz="8" w:color="CCCCCC"/>
            </w:tcBorders>
          </w:tcPr>
          <w:p>
            <w:pPr>
              <w:jc w:val="center"/>
              <w:spacing w:after="0"/>
              <w:rPr>
                <w:sz w:val="20"/>
                <w:szCs w:val="20"/>
                <w:color w:val="auto"/>
              </w:rPr>
            </w:pPr>
            <w:r>
              <w:rPr>
                <w:rFonts w:ascii="Arial" w:cs="Arial" w:eastAsia="Arial" w:hAnsi="Arial"/>
                <w:sz w:val="15"/>
                <w:szCs w:val="15"/>
                <w:b w:val="1"/>
                <w:bCs w:val="1"/>
                <w:color w:val="auto"/>
              </w:rPr>
              <w:t>10%</w:t>
            </w:r>
          </w:p>
        </w:tc>
        <w:tc>
          <w:tcPr>
            <w:tcW w:w="3240" w:type="dxa"/>
            <w:vAlign w:val="bottom"/>
            <w:tcBorders>
              <w:top w:val="single" w:sz="8" w:color="CCCCCC"/>
            </w:tcBorders>
            <w:gridSpan w:val="2"/>
          </w:tcPr>
          <w:p>
            <w:pPr>
              <w:ind w:left="40"/>
              <w:spacing w:after="0" w:line="203"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This objective is focused on customer</w:t>
            </w:r>
          </w:p>
        </w:tc>
        <w:tc>
          <w:tcPr>
            <w:tcW w:w="3240" w:type="dxa"/>
            <w:vAlign w:val="bottom"/>
            <w:tcBorders>
              <w:top w:val="single" w:sz="8" w:color="CCCCCC"/>
            </w:tcBorders>
            <w:gridSpan w:val="2"/>
          </w:tcPr>
          <w:p>
            <w:pPr>
              <w:ind w:left="20"/>
              <w:spacing w:after="0" w:line="203"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The Customer Satisfaction objective aligns</w:t>
            </w:r>
          </w:p>
        </w:tc>
        <w:tc>
          <w:tcPr>
            <w:tcW w:w="120" w:type="dxa"/>
            <w:vAlign w:val="bottom"/>
            <w:tcBorders>
              <w:top w:val="single" w:sz="8" w:color="CCCCCC"/>
            </w:tcBorders>
          </w:tcPr>
          <w:p>
            <w:pPr>
              <w:spacing w:after="0"/>
              <w:rPr>
                <w:sz w:val="20"/>
                <w:szCs w:val="20"/>
                <w:color w:val="auto"/>
              </w:rPr>
            </w:pPr>
            <w:r>
              <w:rPr>
                <w:rFonts w:ascii="Arial" w:cs="Arial" w:eastAsia="Arial" w:hAnsi="Arial"/>
                <w:sz w:val="15"/>
                <w:szCs w:val="15"/>
                <w:color w:val="auto"/>
              </w:rPr>
              <w:t>​</w:t>
            </w:r>
          </w:p>
        </w:tc>
      </w:tr>
      <w:tr>
        <w:trPr>
          <w:trHeight w:val="164"/>
        </w:trPr>
        <w:tc>
          <w:tcPr>
            <w:tcW w:w="20" w:type="dxa"/>
            <w:vAlign w:val="bottom"/>
          </w:tcPr>
          <w:p>
            <w:pPr>
              <w:spacing w:after="0"/>
              <w:rPr>
                <w:sz w:val="14"/>
                <w:szCs w:val="14"/>
                <w:color w:val="auto"/>
              </w:rPr>
            </w:pPr>
          </w:p>
        </w:tc>
        <w:tc>
          <w:tcPr>
            <w:tcW w:w="1480" w:type="dxa"/>
            <w:vAlign w:val="bottom"/>
          </w:tcPr>
          <w:p>
            <w:pPr>
              <w:ind w:left="80"/>
              <w:spacing w:after="0" w:line="164" w:lineRule="exact"/>
              <w:rPr>
                <w:sz w:val="20"/>
                <w:szCs w:val="20"/>
                <w:color w:val="auto"/>
              </w:rPr>
            </w:pPr>
            <w:r>
              <w:rPr>
                <w:rFonts w:ascii="Arial" w:cs="Arial" w:eastAsia="Arial" w:hAnsi="Arial"/>
                <w:sz w:val="15"/>
                <w:szCs w:val="15"/>
                <w:b w:val="1"/>
                <w:bCs w:val="1"/>
                <w:color w:val="auto"/>
              </w:rPr>
              <w:t>Satisfaction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line="164" w:lineRule="exact"/>
              <w:rPr>
                <w:sz w:val="20"/>
                <w:szCs w:val="20"/>
                <w:color w:val="auto"/>
              </w:rPr>
            </w:pPr>
            <w:r>
              <w:rPr>
                <w:rFonts w:ascii="Arial" w:cs="Arial" w:eastAsia="Arial" w:hAnsi="Arial"/>
                <w:sz w:val="15"/>
                <w:szCs w:val="15"/>
                <w:color w:val="auto"/>
              </w:rPr>
              <w:t>satisfaction across various categories,</w:t>
            </w:r>
          </w:p>
        </w:tc>
        <w:tc>
          <w:tcPr>
            <w:tcW w:w="220" w:type="dxa"/>
            <w:vAlign w:val="bottom"/>
          </w:tcPr>
          <w:p>
            <w:pPr>
              <w:spacing w:after="0"/>
              <w:rPr>
                <w:sz w:val="14"/>
                <w:szCs w:val="14"/>
                <w:color w:val="auto"/>
              </w:rPr>
            </w:pPr>
          </w:p>
        </w:tc>
        <w:tc>
          <w:tcPr>
            <w:tcW w:w="3020" w:type="dxa"/>
            <w:vAlign w:val="bottom"/>
          </w:tcPr>
          <w:p>
            <w:pPr>
              <w:ind w:left="20"/>
              <w:spacing w:after="0" w:line="164" w:lineRule="exact"/>
              <w:rPr>
                <w:sz w:val="20"/>
                <w:szCs w:val="20"/>
                <w:color w:val="auto"/>
              </w:rPr>
            </w:pPr>
            <w:r>
              <w:rPr>
                <w:rFonts w:ascii="Arial" w:cs="Arial" w:eastAsia="Arial" w:hAnsi="Arial"/>
                <w:sz w:val="15"/>
                <w:szCs w:val="15"/>
                <w:color w:val="auto"/>
              </w:rPr>
              <w:t>with our commitment to exceeding customer</w:t>
            </w:r>
          </w:p>
        </w:tc>
        <w:tc>
          <w:tcPr>
            <w:tcW w:w="1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5"/>
                <w:szCs w:val="15"/>
                <w:color w:val="auto"/>
              </w:rPr>
              <w:t>including in relation to our communications</w:t>
            </w:r>
          </w:p>
        </w:tc>
        <w:tc>
          <w:tcPr>
            <w:tcW w:w="22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Arial" w:cs="Arial" w:eastAsia="Arial" w:hAnsi="Arial"/>
                <w:sz w:val="15"/>
                <w:szCs w:val="15"/>
                <w:color w:val="auto"/>
              </w:rPr>
              <w:t>expectations and promptly resolving</w:t>
            </w:r>
          </w:p>
        </w:tc>
        <w:tc>
          <w:tcPr>
            <w:tcW w:w="1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5"/>
                <w:szCs w:val="15"/>
                <w:color w:val="auto"/>
              </w:rPr>
              <w:t>and safety/power quality and reliability.</w:t>
            </w:r>
          </w:p>
        </w:tc>
        <w:tc>
          <w:tcPr>
            <w:tcW w:w="2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5"/>
                <w:szCs w:val="15"/>
                <w:color w:val="auto"/>
              </w:rPr>
              <w:t>customer issues.</w:t>
            </w:r>
          </w:p>
        </w:tc>
        <w:tc>
          <w:tcPr>
            <w:tcW w:w="12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1480" w:type="dxa"/>
            <w:vAlign w:val="bottom"/>
            <w:tcBorders>
              <w:bottom w:val="single" w:sz="8" w:color="CCCCCC"/>
            </w:tcBorders>
          </w:tcPr>
          <w:p>
            <w:pPr>
              <w:spacing w:after="0"/>
              <w:rPr>
                <w:sz w:val="4"/>
                <w:szCs w:val="4"/>
                <w:color w:val="auto"/>
              </w:rPr>
            </w:pPr>
          </w:p>
        </w:tc>
        <w:tc>
          <w:tcPr>
            <w:tcW w:w="360" w:type="dxa"/>
            <w:vAlign w:val="bottom"/>
            <w:tcBorders>
              <w:bottom w:val="single" w:sz="8" w:color="CCCCCC"/>
            </w:tcBorders>
          </w:tcPr>
          <w:p>
            <w:pPr>
              <w:spacing w:after="0"/>
              <w:rPr>
                <w:sz w:val="4"/>
                <w:szCs w:val="4"/>
                <w:color w:val="auto"/>
              </w:rPr>
            </w:pPr>
          </w:p>
        </w:tc>
        <w:tc>
          <w:tcPr>
            <w:tcW w:w="800" w:type="dxa"/>
            <w:vAlign w:val="bottom"/>
            <w:tcBorders>
              <w:bottom w:val="single" w:sz="8" w:color="CCCCCC"/>
            </w:tcBorders>
          </w:tcPr>
          <w:p>
            <w:pPr>
              <w:spacing w:after="0"/>
              <w:rPr>
                <w:sz w:val="4"/>
                <w:szCs w:val="4"/>
                <w:color w:val="auto"/>
              </w:rPr>
            </w:pPr>
          </w:p>
        </w:tc>
        <w:tc>
          <w:tcPr>
            <w:tcW w:w="3240" w:type="dxa"/>
            <w:vAlign w:val="bottom"/>
            <w:tcBorders>
              <w:bottom w:val="single" w:sz="8" w:color="CCCCCC"/>
            </w:tcBorders>
            <w:gridSpan w:val="2"/>
          </w:tcPr>
          <w:p>
            <w:pPr>
              <w:spacing w:after="0"/>
              <w:rPr>
                <w:sz w:val="4"/>
                <w:szCs w:val="4"/>
                <w:color w:val="auto"/>
              </w:rPr>
            </w:pPr>
          </w:p>
        </w:tc>
        <w:tc>
          <w:tcPr>
            <w:tcW w:w="3240" w:type="dxa"/>
            <w:vAlign w:val="bottom"/>
            <w:tcBorders>
              <w:bottom w:val="single" w:sz="8" w:color="CCCCCC"/>
            </w:tcBorders>
            <w:gridSpan w:val="2"/>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1480" w:type="dxa"/>
            <w:vAlign w:val="bottom"/>
            <w:shd w:val="clear" w:color="auto" w:fill="F2F2F2"/>
          </w:tcPr>
          <w:p>
            <w:pPr>
              <w:spacing w:after="0" w:line="205"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Adjusted EPS</w:t>
            </w:r>
          </w:p>
        </w:tc>
        <w:tc>
          <w:tcPr>
            <w:tcW w:w="36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80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rPr>
              <w:t>70%</w:t>
            </w:r>
          </w:p>
        </w:tc>
        <w:tc>
          <w:tcPr>
            <w:tcW w:w="3240" w:type="dxa"/>
            <w:vAlign w:val="bottom"/>
            <w:gridSpan w:val="2"/>
            <w:shd w:val="clear" w:color="auto" w:fill="F2F2F2"/>
          </w:tcPr>
          <w:p>
            <w:pPr>
              <w:ind w:left="40"/>
              <w:spacing w:after="0" w:line="205"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Adjusted EPS is a non-GAAP metric which</w:t>
            </w:r>
          </w:p>
        </w:tc>
        <w:tc>
          <w:tcPr>
            <w:tcW w:w="3240" w:type="dxa"/>
            <w:vAlign w:val="bottom"/>
            <w:gridSpan w:val="2"/>
            <w:shd w:val="clear" w:color="auto" w:fill="F2F2F2"/>
          </w:tcPr>
          <w:p>
            <w:pPr>
              <w:ind w:left="20"/>
              <w:spacing w:after="0" w:line="205"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An EPS measure aligns with our</w:t>
            </w:r>
          </w:p>
        </w:tc>
        <w:tc>
          <w:tcPr>
            <w:tcW w:w="120" w:type="dxa"/>
            <w:vAlign w:val="bottom"/>
            <w:shd w:val="clear" w:color="auto" w:fill="F2F2F2"/>
          </w:tcPr>
          <w:p>
            <w:pPr>
              <w:spacing w:after="0"/>
              <w:rPr>
                <w:sz w:val="20"/>
                <w:szCs w:val="20"/>
                <w:color w:val="auto"/>
              </w:rPr>
            </w:pPr>
            <w:r>
              <w:rPr>
                <w:rFonts w:ascii="Arial" w:cs="Arial" w:eastAsia="Arial" w:hAnsi="Arial"/>
                <w:sz w:val="15"/>
                <w:szCs w:val="15"/>
                <w:color w:val="auto"/>
              </w:rPr>
              <w:t>​</w:t>
            </w:r>
          </w:p>
        </w:tc>
      </w:tr>
      <w:tr>
        <w:trPr>
          <w:trHeight w:val="162"/>
        </w:trPr>
        <w:tc>
          <w:tcPr>
            <w:tcW w:w="20" w:type="dxa"/>
            <w:vAlign w:val="bottom"/>
          </w:tcPr>
          <w:p>
            <w:pPr>
              <w:spacing w:after="0"/>
              <w:rPr>
                <w:sz w:val="14"/>
                <w:szCs w:val="14"/>
                <w:color w:val="auto"/>
              </w:rPr>
            </w:pPr>
          </w:p>
        </w:tc>
        <w:tc>
          <w:tcPr>
            <w:tcW w:w="1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000" w:type="dxa"/>
            <w:vAlign w:val="bottom"/>
            <w:shd w:val="clear" w:color="auto" w:fill="F2F2F2"/>
          </w:tcPr>
          <w:p>
            <w:pPr>
              <w:spacing w:after="0" w:line="162" w:lineRule="exact"/>
              <w:rPr>
                <w:sz w:val="20"/>
                <w:szCs w:val="20"/>
                <w:color w:val="auto"/>
              </w:rPr>
            </w:pPr>
            <w:r>
              <w:rPr>
                <w:rFonts w:ascii="Arial" w:cs="Arial" w:eastAsia="Arial" w:hAnsi="Arial"/>
                <w:sz w:val="15"/>
                <w:szCs w:val="15"/>
                <w:color w:val="auto"/>
              </w:rPr>
              <w:t>includes net income from electric and natural</w:t>
            </w:r>
          </w:p>
        </w:tc>
        <w:tc>
          <w:tcPr>
            <w:tcW w:w="220" w:type="dxa"/>
            <w:vAlign w:val="bottom"/>
            <w:shd w:val="clear" w:color="auto" w:fill="F2F2F2"/>
          </w:tcPr>
          <w:p>
            <w:pPr>
              <w:spacing w:after="0"/>
              <w:rPr>
                <w:sz w:val="14"/>
                <w:szCs w:val="14"/>
                <w:color w:val="auto"/>
              </w:rPr>
            </w:pPr>
          </w:p>
        </w:tc>
        <w:tc>
          <w:tcPr>
            <w:tcW w:w="3020" w:type="dxa"/>
            <w:vAlign w:val="bottom"/>
            <w:shd w:val="clear" w:color="auto" w:fill="F2F2F2"/>
          </w:tcPr>
          <w:p>
            <w:pPr>
              <w:ind w:left="20"/>
              <w:spacing w:after="0" w:line="162" w:lineRule="exact"/>
              <w:rPr>
                <w:sz w:val="20"/>
                <w:szCs w:val="20"/>
                <w:color w:val="auto"/>
              </w:rPr>
            </w:pPr>
            <w:r>
              <w:rPr>
                <w:rFonts w:ascii="Arial" w:cs="Arial" w:eastAsia="Arial" w:hAnsi="Arial"/>
                <w:sz w:val="15"/>
                <w:szCs w:val="15"/>
                <w:color w:val="auto"/>
              </w:rPr>
              <w:t>commitment to return value to investors</w:t>
            </w:r>
          </w:p>
        </w:tc>
        <w:tc>
          <w:tcPr>
            <w:tcW w:w="120" w:type="dxa"/>
            <w:vAlign w:val="bottom"/>
            <w:shd w:val="clear" w:color="auto" w:fill="F2F2F2"/>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gas segments, as well as after-tax corporate</w:t>
            </w:r>
          </w:p>
        </w:tc>
        <w:tc>
          <w:tcPr>
            <w:tcW w:w="220" w:type="dxa"/>
            <w:vAlign w:val="bottom"/>
            <w:shd w:val="clear" w:color="auto" w:fill="F2F2F2"/>
          </w:tcPr>
          <w:p>
            <w:pPr>
              <w:spacing w:after="0"/>
              <w:rPr>
                <w:sz w:val="15"/>
                <w:szCs w:val="15"/>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through earnings and dividends paid. This</w:t>
            </w:r>
          </w:p>
        </w:tc>
        <w:tc>
          <w:tcPr>
            <w:tcW w:w="120" w:type="dxa"/>
            <w:vAlign w:val="bottom"/>
            <w:shd w:val="clear" w:color="auto" w:fill="F2F2F2"/>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and other operating income and corporate</w:t>
            </w:r>
          </w:p>
        </w:tc>
        <w:tc>
          <w:tcPr>
            <w:tcW w:w="220" w:type="dxa"/>
            <w:vAlign w:val="bottom"/>
            <w:shd w:val="clear" w:color="auto" w:fill="F2F2F2"/>
          </w:tcPr>
          <w:p>
            <w:pPr>
              <w:spacing w:after="0"/>
              <w:rPr>
                <w:sz w:val="15"/>
                <w:szCs w:val="15"/>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measure is focused on Adjusted EPS, which</w:t>
            </w:r>
          </w:p>
        </w:tc>
        <w:tc>
          <w:tcPr>
            <w:tcW w:w="120" w:type="dxa"/>
            <w:vAlign w:val="bottom"/>
            <w:shd w:val="clear" w:color="auto" w:fill="F2F2F2"/>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000" w:type="dxa"/>
            <w:vAlign w:val="bottom"/>
            <w:shd w:val="clear" w:color="auto" w:fill="F2F2F2"/>
          </w:tcPr>
          <w:p>
            <w:pPr>
              <w:spacing w:after="0" w:line="162" w:lineRule="exact"/>
              <w:rPr>
                <w:sz w:val="20"/>
                <w:szCs w:val="20"/>
                <w:color w:val="auto"/>
              </w:rPr>
            </w:pPr>
            <w:r>
              <w:rPr>
                <w:rFonts w:ascii="Arial" w:cs="Arial" w:eastAsia="Arial" w:hAnsi="Arial"/>
                <w:sz w:val="15"/>
                <w:szCs w:val="15"/>
                <w:color w:val="auto"/>
              </w:rPr>
              <w:t>overhead. It is also adjusted for certain</w:t>
            </w:r>
          </w:p>
        </w:tc>
        <w:tc>
          <w:tcPr>
            <w:tcW w:w="220" w:type="dxa"/>
            <w:vAlign w:val="bottom"/>
            <w:shd w:val="clear" w:color="auto" w:fill="F2F2F2"/>
          </w:tcPr>
          <w:p>
            <w:pPr>
              <w:spacing w:after="0"/>
              <w:rPr>
                <w:sz w:val="14"/>
                <w:szCs w:val="14"/>
                <w:color w:val="auto"/>
              </w:rPr>
            </w:pPr>
          </w:p>
        </w:tc>
        <w:tc>
          <w:tcPr>
            <w:tcW w:w="3020" w:type="dxa"/>
            <w:vAlign w:val="bottom"/>
            <w:shd w:val="clear" w:color="auto" w:fill="F2F2F2"/>
          </w:tcPr>
          <w:p>
            <w:pPr>
              <w:ind w:left="20"/>
              <w:spacing w:after="0" w:line="162" w:lineRule="exact"/>
              <w:rPr>
                <w:sz w:val="20"/>
                <w:szCs w:val="20"/>
                <w:color w:val="auto"/>
              </w:rPr>
            </w:pPr>
            <w:r>
              <w:rPr>
                <w:rFonts w:ascii="Arial" w:cs="Arial" w:eastAsia="Arial" w:hAnsi="Arial"/>
                <w:sz w:val="15"/>
                <w:szCs w:val="15"/>
                <w:color w:val="auto"/>
              </w:rPr>
              <w:t>excludes activities not considered a principal</w:t>
            </w:r>
          </w:p>
        </w:tc>
        <w:tc>
          <w:tcPr>
            <w:tcW w:w="120" w:type="dxa"/>
            <w:vAlign w:val="bottom"/>
            <w:shd w:val="clear" w:color="auto" w:fill="F2F2F2"/>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4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factors to reflect what we consider to be our</w:t>
            </w:r>
          </w:p>
        </w:tc>
        <w:tc>
          <w:tcPr>
            <w:tcW w:w="220" w:type="dxa"/>
            <w:vAlign w:val="bottom"/>
            <w:shd w:val="clear" w:color="auto" w:fill="F2F2F2"/>
          </w:tcPr>
          <w:p>
            <w:pPr>
              <w:spacing w:after="0"/>
              <w:rPr>
                <w:sz w:val="15"/>
                <w:szCs w:val="15"/>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driver of overall long-term financial</w:t>
            </w:r>
          </w:p>
        </w:tc>
        <w:tc>
          <w:tcPr>
            <w:tcW w:w="120" w:type="dxa"/>
            <w:vAlign w:val="bottom"/>
            <w:shd w:val="clear" w:color="auto" w:fill="F2F2F2"/>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14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3000" w:type="dxa"/>
            <w:vAlign w:val="bottom"/>
            <w:shd w:val="clear" w:color="auto" w:fill="F2F2F2"/>
          </w:tcPr>
          <w:p>
            <w:pPr>
              <w:spacing w:after="0"/>
              <w:rPr>
                <w:sz w:val="20"/>
                <w:szCs w:val="20"/>
                <w:color w:val="auto"/>
              </w:rPr>
            </w:pPr>
            <w:r>
              <w:rPr>
                <w:rFonts w:ascii="Arial" w:cs="Arial" w:eastAsia="Arial" w:hAnsi="Arial"/>
                <w:sz w:val="15"/>
                <w:szCs w:val="15"/>
                <w:color w:val="auto"/>
              </w:rPr>
              <w:t>fundamental business performance.*</w:t>
            </w:r>
          </w:p>
        </w:tc>
        <w:tc>
          <w:tcPr>
            <w:tcW w:w="220" w:type="dxa"/>
            <w:vAlign w:val="bottom"/>
            <w:shd w:val="clear" w:color="auto" w:fill="F2F2F2"/>
          </w:tcPr>
          <w:p>
            <w:pPr>
              <w:spacing w:after="0"/>
              <w:rPr>
                <w:sz w:val="17"/>
                <w:szCs w:val="17"/>
                <w:color w:val="auto"/>
              </w:rPr>
            </w:pPr>
          </w:p>
        </w:tc>
        <w:tc>
          <w:tcPr>
            <w:tcW w:w="3020" w:type="dxa"/>
            <w:vAlign w:val="bottom"/>
            <w:shd w:val="clear" w:color="auto" w:fill="F2F2F2"/>
          </w:tcPr>
          <w:p>
            <w:pPr>
              <w:ind w:left="20"/>
              <w:spacing w:after="0"/>
              <w:rPr>
                <w:sz w:val="20"/>
                <w:szCs w:val="20"/>
                <w:color w:val="auto"/>
              </w:rPr>
            </w:pPr>
            <w:r>
              <w:rPr>
                <w:rFonts w:ascii="Arial" w:cs="Arial" w:eastAsia="Arial" w:hAnsi="Arial"/>
                <w:sz w:val="15"/>
                <w:szCs w:val="15"/>
                <w:color w:val="auto"/>
              </w:rPr>
              <w:t>performance.*</w:t>
            </w:r>
          </w:p>
        </w:tc>
        <w:tc>
          <w:tcPr>
            <w:tcW w:w="120" w:type="dxa"/>
            <w:vAlign w:val="bottom"/>
            <w:shd w:val="clear" w:color="auto" w:fill="F2F2F2"/>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1480" w:type="dxa"/>
            <w:vAlign w:val="bottom"/>
            <w:shd w:val="clear" w:color="auto" w:fill="F2F2F2"/>
          </w:tcPr>
          <w:p>
            <w:pPr>
              <w:spacing w:after="0"/>
              <w:rPr>
                <w:sz w:val="4"/>
                <w:szCs w:val="4"/>
                <w:color w:val="auto"/>
              </w:rPr>
            </w:pPr>
          </w:p>
        </w:tc>
        <w:tc>
          <w:tcPr>
            <w:tcW w:w="360" w:type="dxa"/>
            <w:vAlign w:val="bottom"/>
            <w:shd w:val="clear" w:color="auto" w:fill="F2F2F2"/>
          </w:tcPr>
          <w:p>
            <w:pPr>
              <w:spacing w:after="0"/>
              <w:rPr>
                <w:sz w:val="4"/>
                <w:szCs w:val="4"/>
                <w:color w:val="auto"/>
              </w:rPr>
            </w:pPr>
          </w:p>
        </w:tc>
        <w:tc>
          <w:tcPr>
            <w:tcW w:w="80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300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302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0</wp:posOffset>
            </wp:positionV>
            <wp:extent cx="58807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ind w:left="740"/>
        <w:spacing w:after="0"/>
        <w:tabs>
          <w:tab w:leader="none" w:pos="2680" w:val="left"/>
          <w:tab w:leader="none" w:pos="3420" w:val="left"/>
        </w:tabs>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b w:val="1"/>
          <w:bCs w:val="1"/>
          <w:color w:val="auto"/>
        </w:rPr>
        <w:t xml:space="preserve"> Discretion of Human </w:t>
      </w:r>
      <w:r>
        <w:rPr>
          <w:rFonts w:ascii="Arial" w:cs="Arial" w:eastAsia="Arial" w:hAnsi="Arial"/>
          <w:sz w:val="27"/>
          <w:szCs w:val="27"/>
          <w:color w:val="auto"/>
          <w:vertAlign w:val="superscript"/>
        </w:rPr>
        <w:t>​ ​</w:t>
      </w:r>
      <w:r>
        <w:rPr>
          <w:sz w:val="20"/>
          <w:szCs w:val="20"/>
          <w:color w:val="auto"/>
        </w:rPr>
        <w:tab/>
      </w:r>
      <w:r>
        <w:rPr>
          <w:rFonts w:ascii="Arial" w:cs="Arial" w:eastAsia="Arial" w:hAnsi="Arial"/>
          <w:sz w:val="15"/>
          <w:szCs w:val="15"/>
          <w:b w:val="1"/>
          <w:bCs w:val="1"/>
          <w:color w:val="auto"/>
        </w:rPr>
        <w:t>Modifier</w:t>
      </w:r>
      <w:r>
        <w:rPr>
          <w:sz w:val="20"/>
          <w:szCs w:val="20"/>
          <w:color w:val="auto"/>
        </w:rPr>
        <w:tab/>
      </w:r>
      <w:r>
        <w:rPr>
          <w:rFonts w:ascii="Arial" w:cs="Arial" w:eastAsia="Arial" w:hAnsi="Arial"/>
          <w:sz w:val="15"/>
          <w:szCs w:val="15"/>
          <w:color w:val="auto"/>
          <w:vertAlign w:val="superscript"/>
        </w:rPr>
        <w:t xml:space="preserve">​ ​ </w:t>
      </w:r>
      <w:r>
        <w:rPr>
          <w:rFonts w:ascii="Arial" w:cs="Arial" w:eastAsia="Arial" w:hAnsi="Arial"/>
          <w:sz w:val="15"/>
          <w:szCs w:val="15"/>
          <w:color w:val="auto"/>
        </w:rPr>
        <w:t>Potential payout is subject to the Human</w:t>
      </w:r>
    </w:p>
    <w:p>
      <w:pPr>
        <w:ind w:left="840"/>
        <w:spacing w:after="0" w:line="225" w:lineRule="auto"/>
        <w:tabs>
          <w:tab w:leader="none" w:pos="3620" w:val="left"/>
        </w:tabs>
        <w:rPr>
          <w:sz w:val="20"/>
          <w:szCs w:val="20"/>
          <w:color w:val="auto"/>
        </w:rPr>
      </w:pPr>
      <w:r>
        <w:rPr>
          <w:rFonts w:ascii="Arial" w:cs="Arial" w:eastAsia="Arial" w:hAnsi="Arial"/>
          <w:sz w:val="15"/>
          <w:szCs w:val="15"/>
          <w:b w:val="1"/>
          <w:bCs w:val="1"/>
          <w:color w:val="auto"/>
        </w:rPr>
        <w:t>Capital and</w:t>
      </w:r>
      <w:r>
        <w:rPr>
          <w:sz w:val="20"/>
          <w:szCs w:val="20"/>
          <w:color w:val="auto"/>
        </w:rPr>
        <w:tab/>
      </w:r>
      <w:r>
        <w:rPr>
          <w:rFonts w:ascii="Arial" w:cs="Arial" w:eastAsia="Arial" w:hAnsi="Arial"/>
          <w:sz w:val="15"/>
          <w:szCs w:val="15"/>
          <w:color w:val="auto"/>
        </w:rPr>
        <w:t>Capital and Compensation Committee’s</w:t>
      </w:r>
    </w:p>
    <w:p>
      <w:pPr>
        <w:spacing w:after="0" w:line="1" w:lineRule="exact"/>
        <w:rPr>
          <w:sz w:val="20"/>
          <w:szCs w:val="20"/>
          <w:color w:val="auto"/>
        </w:rPr>
      </w:pPr>
    </w:p>
    <w:p>
      <w:pPr>
        <w:ind w:left="840"/>
        <w:spacing w:after="0"/>
        <w:tabs>
          <w:tab w:leader="none" w:pos="3620" w:val="left"/>
        </w:tabs>
        <w:rPr>
          <w:sz w:val="20"/>
          <w:szCs w:val="20"/>
          <w:color w:val="auto"/>
        </w:rPr>
      </w:pPr>
      <w:r>
        <w:rPr>
          <w:rFonts w:ascii="Arial" w:cs="Arial" w:eastAsia="Arial" w:hAnsi="Arial"/>
          <w:sz w:val="15"/>
          <w:szCs w:val="15"/>
          <w:b w:val="1"/>
          <w:bCs w:val="1"/>
          <w:color w:val="auto"/>
        </w:rPr>
        <w:t>Compensation</w:t>
      </w:r>
      <w:r>
        <w:rPr>
          <w:sz w:val="20"/>
          <w:szCs w:val="20"/>
          <w:color w:val="auto"/>
        </w:rPr>
        <w:tab/>
      </w:r>
      <w:r>
        <w:rPr>
          <w:rFonts w:ascii="Arial" w:cs="Arial" w:eastAsia="Arial" w:hAnsi="Arial"/>
          <w:sz w:val="15"/>
          <w:szCs w:val="15"/>
          <w:color w:val="auto"/>
        </w:rPr>
        <w:t>discretion.</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38100</wp:posOffset>
            </wp:positionV>
            <wp:extent cx="58807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auto"/>
        <w:tabs>
          <w:tab w:leader="none" w:pos="3200" w:val="left"/>
        </w:tabs>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xml:space="preserve"> The Human Capital and Compensation</w:t>
      </w:r>
      <w:r>
        <w:rPr>
          <w:sz w:val="20"/>
          <w:szCs w:val="20"/>
          <w:color w:val="auto"/>
        </w:rPr>
        <w:tab/>
      </w:r>
      <w:r>
        <w:rPr>
          <w:rFonts w:ascii="Arial" w:cs="Arial" w:eastAsia="Arial" w:hAnsi="Arial"/>
          <w:sz w:val="27"/>
          <w:szCs w:val="27"/>
          <w:color w:val="auto"/>
          <w:vertAlign w:val="superscript"/>
        </w:rPr>
        <w:t>​</w:t>
      </w:r>
    </w:p>
    <w:p>
      <w:pPr>
        <w:ind w:left="220" w:right="240"/>
        <w:spacing w:after="0" w:line="251" w:lineRule="auto"/>
        <w:rPr>
          <w:sz w:val="20"/>
          <w:szCs w:val="20"/>
          <w:color w:val="auto"/>
        </w:rPr>
      </w:pPr>
      <w:r>
        <w:rPr>
          <w:rFonts w:ascii="Arial" w:cs="Arial" w:eastAsia="Arial" w:hAnsi="Arial"/>
          <w:sz w:val="14"/>
          <w:szCs w:val="14"/>
          <w:color w:val="auto"/>
        </w:rPr>
        <w:t>Committee’s ability to exercise its discretion aligns with our philosophy to pay for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performance.</w:t>
      </w:r>
    </w:p>
    <w:p>
      <w:pPr>
        <w:spacing w:after="0" w:line="152" w:lineRule="exact"/>
        <w:rPr>
          <w:sz w:val="20"/>
          <w:szCs w:val="20"/>
          <w:color w:val="auto"/>
        </w:rPr>
      </w:pPr>
    </w:p>
    <w:p>
      <w:pPr>
        <w:sectPr>
          <w:pgSz w:w="11900" w:h="16838" w:orient="portrait"/>
          <w:cols w:equalWidth="0" w:num="2">
            <w:col w:w="6340" w:space="320"/>
            <w:col w:w="3360"/>
          </w:cols>
          <w:pgMar w:left="580" w:top="97" w:right="1299" w:bottom="1440" w:gutter="0" w:footer="0" w:header="0"/>
          <w:type w:val="continuous"/>
        </w:sectPr>
      </w:pPr>
    </w:p>
    <w:p>
      <w:pPr>
        <w:ind w:left="840" w:right="180" w:hanging="109"/>
        <w:spacing w:after="0" w:line="283" w:lineRule="auto"/>
        <w:tabs>
          <w:tab w:leader="none" w:pos="840"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Adjustments are detailed as part of the “Executive Compensation Tables—Non-Equity Incentive Plan Awards” disclosure and a reconciliation to the nearest GAAP metric can be found in Appendix A.</w:t>
      </w:r>
    </w:p>
    <w:p>
      <w:pPr>
        <w:spacing w:after="0" w:line="108" w:lineRule="exact"/>
        <w:rPr>
          <w:sz w:val="20"/>
          <w:szCs w:val="20"/>
          <w:color w:val="auto"/>
        </w:rPr>
      </w:pPr>
    </w:p>
    <w:p>
      <w:pPr>
        <w:ind w:left="740" w:right="20"/>
        <w:spacing w:after="0" w:line="286" w:lineRule="auto"/>
        <w:rPr>
          <w:sz w:val="20"/>
          <w:szCs w:val="20"/>
          <w:color w:val="auto"/>
        </w:rPr>
      </w:pPr>
      <w:r>
        <w:rPr>
          <w:rFonts w:ascii="Arial" w:cs="Arial" w:eastAsia="Arial" w:hAnsi="Arial"/>
          <w:sz w:val="16"/>
          <w:szCs w:val="16"/>
          <w:color w:val="auto"/>
        </w:rPr>
        <w:t>The Human Capital and Compensation Committee believes that these modifications to the short-term incentive plan will help further our strategy and align with the interests of, and our commitments to, our shareholders, customers, and other stakeholders.</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Long-Term Incentive Plan Awards</w:t>
      </w:r>
    </w:p>
    <w:p>
      <w:pPr>
        <w:spacing w:after="0" w:line="122" w:lineRule="exact"/>
        <w:rPr>
          <w:sz w:val="20"/>
          <w:szCs w:val="20"/>
          <w:color w:val="auto"/>
        </w:rPr>
      </w:pPr>
    </w:p>
    <w:p>
      <w:pPr>
        <w:ind w:left="740" w:right="80"/>
        <w:spacing w:after="0" w:line="275" w:lineRule="auto"/>
        <w:rPr>
          <w:sz w:val="20"/>
          <w:szCs w:val="20"/>
          <w:color w:val="auto"/>
        </w:rPr>
      </w:pPr>
      <w:r>
        <w:rPr>
          <w:rFonts w:ascii="Arial" w:cs="Arial" w:eastAsia="Arial" w:hAnsi="Arial"/>
          <w:sz w:val="16"/>
          <w:szCs w:val="16"/>
          <w:color w:val="auto"/>
        </w:rPr>
        <w:t>For 2025, the Human Capital and Compensation Committee approved an allocation between performance share units and restricted stock unit awards of 70% and 30%, respectively, for our named executive officers, which aligns with common practices in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95885</wp:posOffset>
            </wp:positionV>
            <wp:extent cx="1311275" cy="1465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1127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Additionally, for 2025, the Human Capital and Compensation Committee approved certain modifications to the long-term performance goals under our PSU awards. Our 2025 PSU awards will be made in two separate grants, with the payout opportunity for each grant based on a different performance objective. Like our 2024 PSU awards, the first is based on total TSR over the three-year performance cycle as compared to that of the other 18 companies included in our peer group. Thirty-five percent of long-term incentive compensation is based on the TSR metric. Thirty-five percent is based on achieving a specified cumulative non-GAAP Adjusted EPS goal over the three-year performance cycle. Based on our shareholder engagement and our internal strategy, these two metrics were identified as important indicators of our Company’s performance.</w:t>
      </w:r>
    </w:p>
    <w:p>
      <w:pPr>
        <w:spacing w:after="0" w:line="122" w:lineRule="exact"/>
        <w:rPr>
          <w:sz w:val="20"/>
          <w:szCs w:val="20"/>
          <w:color w:val="auto"/>
        </w:rPr>
      </w:pPr>
    </w:p>
    <w:p>
      <w:pPr>
        <w:ind w:left="740" w:right="40"/>
        <w:spacing w:after="0" w:line="262" w:lineRule="auto"/>
        <w:rPr>
          <w:sz w:val="20"/>
          <w:szCs w:val="20"/>
          <w:color w:val="auto"/>
        </w:rPr>
      </w:pPr>
      <w:r>
        <w:rPr>
          <w:rFonts w:ascii="Arial" w:cs="Arial" w:eastAsia="Arial" w:hAnsi="Arial"/>
          <w:sz w:val="16"/>
          <w:szCs w:val="16"/>
          <w:color w:val="auto"/>
        </w:rPr>
        <w:t>Like our 2024 PSU awards, if actual achievement for the performance objective under an award does not meet at least the threshold level, the Human Capital and Compensation Committee will not approve a distribution for the award, except in the case of an award based on the TSR metric when the price-to-earnings (P/E) modifier is triggered as described below. If a performance objective meets or exceeds the threshold level, the threshold payout for these awards is 33% of target for the TSR performance objective and 50% of target for the Adjusted EPS performance objective, and the maximum payout opportunity is 200% of target for both performance metrics. In the case of awards based on the TSR performance objective, however, if the Company’s P/E ratio ranks in the top quartile of our peer group, a P/E modifier will apply that provides for a minimum 75% payout level for the award regardless of the level of TSR performance achieved. The P/E modifier is used to incentivize achievement of a peer leading P/E ratio, reflective of the Company’s position as a premium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104140</wp:posOffset>
            </wp:positionV>
            <wp:extent cx="3643630" cy="2854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4363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left="740" w:right="460"/>
        <w:spacing w:after="0" w:line="330" w:lineRule="auto"/>
        <w:rPr>
          <w:sz w:val="20"/>
          <w:szCs w:val="20"/>
          <w:color w:val="auto"/>
        </w:rPr>
      </w:pPr>
      <w:r>
        <w:rPr>
          <w:rFonts w:ascii="Arial" w:cs="Arial" w:eastAsia="Arial" w:hAnsi="Arial"/>
          <w:sz w:val="12"/>
          <w:szCs w:val="12"/>
          <w:color w:val="auto"/>
        </w:rPr>
        <w:t>   *  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p>
    <w:p>
      <w:pPr>
        <w:sectPr>
          <w:pgSz w:w="11900" w:h="16838" w:orient="portrait"/>
          <w:cols w:equalWidth="0" w:num="1">
            <w:col w:w="10020"/>
          </w:cols>
          <w:pgMar w:left="580" w:top="97" w:right="1299" w:bottom="1440" w:gutter="0" w:footer="0" w:header="0"/>
        </w:sectPr>
      </w:pPr>
    </w:p>
    <w:p>
      <w:pPr>
        <w:spacing w:after="0" w:line="20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60" w:right="100" w:hanging="233"/>
        <w:spacing w:after="0" w:line="251" w:lineRule="auto"/>
        <w:rPr>
          <w:sz w:val="20"/>
          <w:szCs w:val="20"/>
          <w:color w:val="auto"/>
        </w:rPr>
      </w:pPr>
      <w:r>
        <w:rPr>
          <w:rFonts w:ascii="Arial" w:cs="Arial" w:eastAsia="Arial" w:hAnsi="Arial"/>
          <w:sz w:val="13"/>
          <w:szCs w:val="13"/>
          <w:color w:val="auto"/>
        </w:rPr>
        <w:t>  ** Adjusted EPS goal at each level represents 8.5% annual growth in 2025 and 8% annual growth in 2026 and 2027, based on 2024 (Maximum), 8% annual growth in 2025 and 6% annual growth in 2026 and 2027, based on 2024 (Target) and 7% annual growth in 2025 and 5.5% annual growth in 2026 and 2027, based on 2024 (Threshold).</w:t>
      </w:r>
    </w:p>
    <w:p>
      <w:pPr>
        <w:spacing w:after="0" w:line="44" w:lineRule="exact"/>
        <w:rPr>
          <w:sz w:val="20"/>
          <w:szCs w:val="20"/>
          <w:color w:val="auto"/>
        </w:rPr>
      </w:pPr>
    </w:p>
    <w:p>
      <w:pPr>
        <w:ind w:left="960" w:right="40" w:hanging="233"/>
        <w:spacing w:after="0" w:line="286" w:lineRule="auto"/>
        <w:rPr>
          <w:sz w:val="20"/>
          <w:szCs w:val="20"/>
          <w:color w:val="auto"/>
        </w:rPr>
      </w:pPr>
      <w:r>
        <w:rPr>
          <w:rFonts w:ascii="Arial" w:cs="Arial" w:eastAsia="Arial" w:hAnsi="Arial"/>
          <w:sz w:val="13"/>
          <w:szCs w:val="13"/>
          <w:color w:val="auto"/>
        </w:rPr>
        <w:t> *** Linear interpolation between award levels. No payout is earned below Threshold performance except in the case of awards based on the TSR performance objective when the P/E modifier applies as described.</w:t>
      </w:r>
    </w:p>
    <w:p>
      <w:pPr>
        <w:spacing w:after="0" w:line="22" w:lineRule="exact"/>
        <w:rPr>
          <w:sz w:val="20"/>
          <w:szCs w:val="20"/>
          <w:color w:val="auto"/>
        </w:rPr>
      </w:pPr>
    </w:p>
    <w:p>
      <w:pPr>
        <w:ind w:left="960" w:right="160" w:hanging="229"/>
        <w:spacing w:after="0" w:line="264" w:lineRule="auto"/>
        <w:tabs>
          <w:tab w:leader="none" w:pos="9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Results will represent an average of 20 TSR calculation periods, beginning the first 20 of the last 30 trading days preceding the performance period and ending the first 20 of the last 30 trading days of the performance period.</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Our Executive Compensation Decision-Making Process</w:t>
      </w:r>
    </w:p>
    <w:p>
      <w:pPr>
        <w:spacing w:after="0" w:line="112" w:lineRule="exact"/>
        <w:rPr>
          <w:sz w:val="20"/>
          <w:szCs w:val="20"/>
          <w:color w:val="auto"/>
        </w:rPr>
      </w:pPr>
    </w:p>
    <w:p>
      <w:pPr>
        <w:ind w:left="740" w:right="180"/>
        <w:spacing w:after="0" w:line="253" w:lineRule="auto"/>
        <w:rPr>
          <w:sz w:val="20"/>
          <w:szCs w:val="20"/>
          <w:color w:val="auto"/>
        </w:rPr>
      </w:pPr>
      <w:r>
        <w:rPr>
          <w:rFonts w:ascii="Arial" w:cs="Arial" w:eastAsia="Arial" w:hAnsi="Arial"/>
          <w:sz w:val="16"/>
          <w:szCs w:val="16"/>
          <w:color w:val="auto"/>
        </w:rPr>
        <w:t>The Human Capital and Compensation Committee of the Board of Directors oversees compensation for our named executive officers and other senior executives, including base salary and short-term and long-term incentive awards, as applicable. The Human Capital and Compensation Committee also administers incentive compensation plans, evaluates our Chief Executive Officer’s performance, and reviews management succession planning and development. The Board of Directors has determined that the members of the Human Capital and Compensation Committee meet the applicable requirements for independence under the standards of the SEC and the NYSE discussed under “Item 1. Election of Directors—Director Independence.” The following graphic and narrative depict the Human Capital and Compensation Committee’s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106680</wp:posOffset>
            </wp:positionV>
            <wp:extent cx="5254625" cy="1499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5462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Role of Human Capital and Compensation Committee</w:t>
      </w:r>
    </w:p>
    <w:p>
      <w:pPr>
        <w:spacing w:after="0" w:line="122" w:lineRule="exact"/>
        <w:rPr>
          <w:sz w:val="20"/>
          <w:szCs w:val="20"/>
          <w:color w:val="auto"/>
        </w:rPr>
      </w:pPr>
    </w:p>
    <w:p>
      <w:pPr>
        <w:ind w:left="740" w:right="20"/>
        <w:spacing w:after="0" w:line="250" w:lineRule="auto"/>
        <w:rPr>
          <w:sz w:val="20"/>
          <w:szCs w:val="20"/>
          <w:color w:val="auto"/>
        </w:rPr>
      </w:pPr>
      <w:r>
        <w:rPr>
          <w:rFonts w:ascii="Arial" w:cs="Arial" w:eastAsia="Arial" w:hAnsi="Arial"/>
          <w:sz w:val="16"/>
          <w:szCs w:val="16"/>
          <w:color w:val="auto"/>
        </w:rPr>
        <w:t>The Human Capital and Compensation Committee reviews each element of compensation annually to confirm or improve alignment with stated compensation objectives. As a result of its review, the Human Capital and Compensation Committee may, together with the other independent directors of the Board with respect to the compensation of the Chief Executive Officer, approve adjustments to base salary and short-term and long-term incentive target compensation levels for the named executive officers to better align compensation with our market-based pay philosophy. In its review, the Human Capital and Compensation Committee also takes into consideration whether any incentive compensation target or performance objective could lead to a decision by an executive to take an inappropriate level of risk for the Company. In establishing individual incentive targets and awards, the Human Capital and Compensation Committee considers the data provided by its independent compensation consultant, the level and nature of the executive’s responsibility, the executive’s experience, and the Human Capital and Compensation Committee’s own qualitative assessment of the executive’s performance and contribution to the execution of the Company’s strategy. In making these determinations, the Human Capital and Compensation Committee also takes into account our Chief Executive Officer’s performance evaluations of and recommendations regarding his direct reports.</w:t>
      </w:r>
    </w:p>
    <w:p>
      <w:pPr>
        <w:spacing w:after="0" w:line="103" w:lineRule="exact"/>
        <w:rPr>
          <w:sz w:val="20"/>
          <w:szCs w:val="20"/>
          <w:color w:val="auto"/>
        </w:rPr>
      </w:pPr>
    </w:p>
    <w:p>
      <w:pPr>
        <w:ind w:left="740" w:right="100"/>
        <w:spacing w:after="0" w:line="254" w:lineRule="auto"/>
        <w:rPr>
          <w:sz w:val="20"/>
          <w:szCs w:val="20"/>
          <w:color w:val="auto"/>
        </w:rPr>
      </w:pPr>
      <w:r>
        <w:rPr>
          <w:rFonts w:ascii="Arial" w:cs="Arial" w:eastAsia="Arial" w:hAnsi="Arial"/>
          <w:sz w:val="16"/>
          <w:szCs w:val="16"/>
          <w:color w:val="auto"/>
        </w:rPr>
        <w:t>Annually, the Human Capital and Compensation Committee directs its independent compensation consultant to review the base salary and short-term and long-term incentive levels of our named executive officers. To ensure that our compensation programs are market-based, the independent compensation consultant analyzes and matches the position and responsibilities of each named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Role of Management</w:t>
      </w:r>
    </w:p>
    <w:p>
      <w:pPr>
        <w:spacing w:after="0" w:line="122" w:lineRule="exact"/>
        <w:rPr>
          <w:sz w:val="20"/>
          <w:szCs w:val="20"/>
          <w:color w:val="auto"/>
        </w:rPr>
      </w:pPr>
    </w:p>
    <w:p>
      <w:pPr>
        <w:ind w:left="740" w:right="120"/>
        <w:spacing w:after="0" w:line="256" w:lineRule="auto"/>
        <w:rPr>
          <w:sz w:val="20"/>
          <w:szCs w:val="20"/>
          <w:color w:val="auto"/>
        </w:rPr>
      </w:pPr>
      <w:r>
        <w:rPr>
          <w:rFonts w:ascii="Arial" w:cs="Arial" w:eastAsia="Arial" w:hAnsi="Arial"/>
          <w:sz w:val="16"/>
          <w:szCs w:val="16"/>
          <w:color w:val="auto"/>
        </w:rPr>
        <w:t>The Chief Executive Officer, the Chief Financial Officer, and the Chief Human Resources Officer have a role in determining executive compensation policies and programs. Our Chief Executive Officer, Chief Financial Officer, and Chief Human Resources Officer work with business unit and functional leaders along with our internal compensation staff to provide information to the Human Capital and Compensation Committee in conjunction with the independent compensation consultant to help ensure that all elements of compensation support our business strategy and goals.</w:t>
      </w:r>
    </w:p>
    <w:p>
      <w:pPr>
        <w:spacing w:after="0" w:line="112" w:lineRule="exact"/>
        <w:rPr>
          <w:sz w:val="20"/>
          <w:szCs w:val="20"/>
          <w:color w:val="auto"/>
        </w:rPr>
      </w:pPr>
    </w:p>
    <w:p>
      <w:pPr>
        <w:ind w:left="740" w:right="200"/>
        <w:spacing w:after="0" w:line="259" w:lineRule="auto"/>
        <w:rPr>
          <w:sz w:val="20"/>
          <w:szCs w:val="20"/>
          <w:color w:val="auto"/>
        </w:rPr>
      </w:pPr>
      <w:r>
        <w:rPr>
          <w:rFonts w:ascii="Arial" w:cs="Arial" w:eastAsia="Arial" w:hAnsi="Arial"/>
          <w:sz w:val="16"/>
          <w:szCs w:val="16"/>
          <w:color w:val="auto"/>
        </w:rPr>
        <w:t>Our Chief Executive Officer, Chief Financial Officer, and Chief Human Resources Officer also periodically review and recommend specific Company performance metrics to be used in short-term and long-term incentive plans. The listed officers work with the various business units and functional departments to develop these metrics, which are then presented to the Human Capital and Compensation Committee for its consideration and approval.</w:t>
      </w:r>
    </w:p>
    <w:p>
      <w:pPr>
        <w:sectPr>
          <w:pgSz w:w="11900" w:h="16838" w:orient="portrait"/>
          <w:cols w:equalWidth="0" w:num="1">
            <w:col w:w="10020"/>
          </w:cols>
          <w:pgMar w:left="580" w:top="97" w:right="1299" w:bottom="1440" w:gutter="0" w:footer="0" w:header="0"/>
        </w:sectPr>
      </w:pPr>
    </w:p>
    <w:p>
      <w:pPr>
        <w:spacing w:after="0" w:line="22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00"/>
        <w:spacing w:after="0" w:line="265" w:lineRule="auto"/>
        <w:rPr>
          <w:sz w:val="20"/>
          <w:szCs w:val="20"/>
          <w:color w:val="auto"/>
        </w:rPr>
      </w:pPr>
      <w:r>
        <w:rPr>
          <w:rFonts w:ascii="Arial" w:cs="Arial" w:eastAsia="Arial" w:hAnsi="Arial"/>
          <w:sz w:val="16"/>
          <w:szCs w:val="16"/>
          <w:color w:val="auto"/>
        </w:rPr>
        <w:t>Additionally, 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Human Capital and Compensation Committee’s independent consultant and then presented to the Committee for its consideration and approval.</w:t>
      </w:r>
    </w:p>
    <w:p>
      <w:pPr>
        <w:spacing w:after="0" w:line="105"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Within the parameters of the compensation policies established by the Human Capital and Compensation Committee, our Chief Executive Officer also makes preliminary recommendations for base salary adjustments and short-term and long-term incentive levels for the other named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executive officers do not determine or approve any element or component of their own compensation, nor are they present during the Human Capital and Compensation Committee’s discussions regarding their own compensation. This includes base salary, short-term or long-term incentive targets, and all other aspects of compensation.</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Role of Independent Compensation Consultant</w:t>
      </w:r>
    </w:p>
    <w:p>
      <w:pPr>
        <w:spacing w:after="0" w:line="122" w:lineRule="exact"/>
        <w:rPr>
          <w:sz w:val="20"/>
          <w:szCs w:val="20"/>
          <w:color w:val="auto"/>
        </w:rPr>
      </w:pPr>
    </w:p>
    <w:p>
      <w:pPr>
        <w:ind w:left="740" w:right="20"/>
        <w:spacing w:after="0" w:line="264" w:lineRule="auto"/>
        <w:rPr>
          <w:sz w:val="20"/>
          <w:szCs w:val="20"/>
          <w:color w:val="auto"/>
        </w:rPr>
      </w:pPr>
      <w:r>
        <w:rPr>
          <w:rFonts w:ascii="Arial" w:cs="Arial" w:eastAsia="Arial" w:hAnsi="Arial"/>
          <w:sz w:val="16"/>
          <w:szCs w:val="16"/>
          <w:color w:val="auto"/>
        </w:rPr>
        <w:t>To assist in carrying out its responsibilities, the Human Capital and Compensation Committee retains an independent compensation consultant to provide independent advice on executive compensation and to perform specific tasks as requested by the Human Capital and Compensation Committee. The Human Capital and Compensation Committee retained Meridian Compensation Partners, LLC (Meridian) as its independent compensation consultant due in large part to its competitive market intelligence for executive pay and governance in the utility and energy services industries. The independent compensation consultant reports directly to the Human Capital and Compensation Committee, which preapproves the scope of work and the fees charged. The Human Capital and Compensation Committee or the Governance Committee may direct the independent compensation consultant to perform additional analyses or research related to compensation issues.</w:t>
      </w:r>
    </w:p>
    <w:p>
      <w:pPr>
        <w:spacing w:after="0" w:line="109" w:lineRule="exact"/>
        <w:rPr>
          <w:sz w:val="20"/>
          <w:szCs w:val="20"/>
          <w:color w:val="auto"/>
        </w:rPr>
      </w:pPr>
    </w:p>
    <w:p>
      <w:pPr>
        <w:ind w:left="740" w:right="20"/>
        <w:spacing w:after="0" w:line="271" w:lineRule="auto"/>
        <w:rPr>
          <w:sz w:val="20"/>
          <w:szCs w:val="20"/>
          <w:color w:val="auto"/>
        </w:rPr>
      </w:pPr>
      <w:r>
        <w:rPr>
          <w:rFonts w:ascii="Arial" w:cs="Arial" w:eastAsia="Arial" w:hAnsi="Arial"/>
          <w:sz w:val="16"/>
          <w:szCs w:val="16"/>
          <w:color w:val="auto"/>
        </w:rPr>
        <w:t>The Human Capital and Compensation Committee reviews and assesses the independence and performance of its compensation consultant in accordance with applicable SEC and NYSE rules on an annual basis to confirm that the consultant is independent and meets all applicable regulatory requirements. In making this determination, the Human Capital and Compensation Committee reviewed information provided by its independent compensation consultant including the following factors:</w:t>
      </w:r>
    </w:p>
    <w:p>
      <w:pPr>
        <w:spacing w:after="0" w:line="73" w:lineRule="exact"/>
        <w:rPr>
          <w:sz w:val="20"/>
          <w:szCs w:val="20"/>
          <w:color w:val="auto"/>
        </w:rPr>
      </w:pPr>
    </w:p>
    <w:p>
      <w:pPr>
        <w:ind w:left="920" w:hanging="189"/>
        <w:spacing w:after="0"/>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 of other services to CenterPoint Energy by the compensation consultant;</w:t>
      </w:r>
    </w:p>
    <w:p>
      <w:pPr>
        <w:spacing w:after="0" w:line="126" w:lineRule="exact"/>
        <w:rPr>
          <w:rFonts w:ascii="Arial" w:cs="Arial" w:eastAsia="Arial" w:hAnsi="Arial"/>
          <w:sz w:val="16"/>
          <w:szCs w:val="16"/>
          <w:color w:val="auto"/>
        </w:rPr>
      </w:pPr>
    </w:p>
    <w:p>
      <w:pPr>
        <w:ind w:left="920" w:right="280" w:hanging="189"/>
        <w:spacing w:after="0" w:line="286" w:lineRule="auto"/>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amount of fees received from CenterPoint Energy by the compensation consultant as a percentage of total revenue of the compensation consultant;</w:t>
      </w:r>
    </w:p>
    <w:p>
      <w:pPr>
        <w:spacing w:after="0" w:line="61" w:lineRule="exact"/>
        <w:rPr>
          <w:rFonts w:ascii="Arial" w:cs="Arial" w:eastAsia="Arial" w:hAnsi="Arial"/>
          <w:sz w:val="16"/>
          <w:szCs w:val="16"/>
          <w:color w:val="auto"/>
        </w:rPr>
      </w:pPr>
    </w:p>
    <w:p>
      <w:pPr>
        <w:ind w:left="920" w:hanging="189"/>
        <w:spacing w:after="0"/>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policies and procedures of the compensation consultant that are designed to prevent conflicts of interest;</w:t>
      </w:r>
    </w:p>
    <w:p>
      <w:pPr>
        <w:spacing w:after="0" w:line="126" w:lineRule="exact"/>
        <w:rPr>
          <w:rFonts w:ascii="Arial" w:cs="Arial" w:eastAsia="Arial" w:hAnsi="Arial"/>
          <w:sz w:val="16"/>
          <w:szCs w:val="16"/>
          <w:color w:val="auto"/>
        </w:rPr>
      </w:pPr>
    </w:p>
    <w:p>
      <w:pPr>
        <w:ind w:left="920" w:right="200" w:hanging="189"/>
        <w:spacing w:after="0" w:line="275" w:lineRule="auto"/>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business or personal relationship of the Human Capital and Compensation Committee’s advisor (i.e., the employees of the compensation consultant that work on the CenterPoint Energy team) with a member of the Human Capital and Compensation Committee;</w:t>
      </w:r>
    </w:p>
    <w:p>
      <w:pPr>
        <w:spacing w:after="0" w:line="69" w:lineRule="exact"/>
        <w:rPr>
          <w:rFonts w:ascii="Arial" w:cs="Arial" w:eastAsia="Arial" w:hAnsi="Arial"/>
          <w:sz w:val="16"/>
          <w:szCs w:val="16"/>
          <w:color w:val="auto"/>
        </w:rPr>
      </w:pPr>
    </w:p>
    <w:p>
      <w:pPr>
        <w:ind w:left="920" w:right="740" w:hanging="189"/>
        <w:spacing w:after="0" w:line="304" w:lineRule="auto"/>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stock of CenterPoint Energy owned by the Human Capital and Compensation Committee’s advisor or the advisor’s immediate family members; and</w:t>
      </w:r>
    </w:p>
    <w:p>
      <w:pPr>
        <w:spacing w:after="0" w:line="46" w:lineRule="exact"/>
        <w:rPr>
          <w:rFonts w:ascii="Arial" w:cs="Arial" w:eastAsia="Arial" w:hAnsi="Arial"/>
          <w:sz w:val="16"/>
          <w:szCs w:val="16"/>
          <w:color w:val="auto"/>
        </w:rPr>
      </w:pPr>
    </w:p>
    <w:p>
      <w:pPr>
        <w:ind w:left="920" w:right="260" w:hanging="189"/>
        <w:spacing w:after="0" w:line="286" w:lineRule="auto"/>
        <w:tabs>
          <w:tab w:leader="none" w:pos="9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business or personal relationship of the Human Capital and Compensation Committee’s advisor or any other employee of the compensation consultant with an executive officer at CenterPoint Energy.</w:t>
      </w:r>
    </w:p>
    <w:p>
      <w:pPr>
        <w:spacing w:after="0" w:line="102" w:lineRule="exact"/>
        <w:rPr>
          <w:sz w:val="20"/>
          <w:szCs w:val="20"/>
          <w:color w:val="auto"/>
        </w:rPr>
      </w:pPr>
    </w:p>
    <w:p>
      <w:pPr>
        <w:ind w:left="740" w:right="140"/>
        <w:spacing w:after="0" w:line="275" w:lineRule="auto"/>
        <w:rPr>
          <w:sz w:val="20"/>
          <w:szCs w:val="20"/>
          <w:color w:val="auto"/>
        </w:rPr>
      </w:pPr>
      <w:r>
        <w:rPr>
          <w:rFonts w:ascii="Arial" w:cs="Arial" w:eastAsia="Arial" w:hAnsi="Arial"/>
          <w:sz w:val="16"/>
          <w:szCs w:val="16"/>
          <w:color w:val="auto"/>
        </w:rPr>
        <w:t>In particular, except for certain services provided to the Governance Committee of the type detailed above, with respect to director compensation, the Human Capital and Compensation Committee noted that Meridian provided no other services to CenterPoint Energy.</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Our 2024 Peer Group</w:t>
      </w:r>
    </w:p>
    <w:p>
      <w:pPr>
        <w:spacing w:after="0" w:line="122" w:lineRule="exact"/>
        <w:rPr>
          <w:sz w:val="20"/>
          <w:szCs w:val="20"/>
          <w:color w:val="auto"/>
        </w:rPr>
      </w:pPr>
    </w:p>
    <w:p>
      <w:pPr>
        <w:ind w:left="740" w:right="80"/>
        <w:spacing w:after="0" w:line="264" w:lineRule="auto"/>
        <w:rPr>
          <w:sz w:val="20"/>
          <w:szCs w:val="20"/>
          <w:color w:val="auto"/>
        </w:rPr>
      </w:pPr>
      <w:r>
        <w:rPr>
          <w:rFonts w:ascii="Arial" w:cs="Arial" w:eastAsia="Arial" w:hAnsi="Arial"/>
          <w:sz w:val="16"/>
          <w:szCs w:val="16"/>
          <w:color w:val="auto"/>
        </w:rPr>
        <w:t>In making decisions about executive pay programs and levels, the Human Capital and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p>
    <w:p>
      <w:pPr>
        <w:spacing w:after="0" w:line="109" w:lineRule="exact"/>
        <w:rPr>
          <w:sz w:val="20"/>
          <w:szCs w:val="20"/>
          <w:color w:val="auto"/>
        </w:rPr>
      </w:pPr>
    </w:p>
    <w:p>
      <w:pPr>
        <w:ind w:left="740" w:right="340"/>
        <w:spacing w:after="0" w:line="340" w:lineRule="auto"/>
        <w:rPr>
          <w:sz w:val="20"/>
          <w:szCs w:val="20"/>
          <w:color w:val="auto"/>
        </w:rPr>
      </w:pPr>
      <w:r>
        <w:rPr>
          <w:rFonts w:ascii="Arial" w:cs="Arial" w:eastAsia="Arial" w:hAnsi="Arial"/>
          <w:sz w:val="15"/>
          <w:szCs w:val="15"/>
          <w:color w:val="auto"/>
        </w:rPr>
        <w:t>Our peer group stayed relatively the same from 2023 to 2024. Upon Meridian’s recommendation, the Human Capital and Compensation Committee approved the replacement of Pinnacle West Capital Corporation with PPL Corporation based on key</w:t>
      </w:r>
    </w:p>
    <w:p>
      <w:pPr>
        <w:sectPr>
          <w:pgSz w:w="11900" w:h="16838" w:orient="portrait"/>
          <w:cols w:equalWidth="0" w:num="1">
            <w:col w:w="10020"/>
          </w:cols>
          <w:pgMar w:left="580" w:top="97" w:right="1299" w:bottom="1440" w:gutter="0" w:footer="0" w:header="0"/>
        </w:sectPr>
      </w:pPr>
    </w:p>
    <w:p>
      <w:pPr>
        <w:spacing w:after="0" w:line="169"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line="268" w:lineRule="auto"/>
        <w:rPr>
          <w:sz w:val="20"/>
          <w:szCs w:val="20"/>
          <w:color w:val="auto"/>
        </w:rPr>
      </w:pPr>
      <w:r>
        <w:rPr>
          <w:rFonts w:ascii="Arial" w:cs="Arial" w:eastAsia="Arial" w:hAnsi="Arial"/>
          <w:sz w:val="16"/>
          <w:szCs w:val="16"/>
          <w:color w:val="auto"/>
        </w:rPr>
        <w:t>financial metrics and size. This group of companies was identical to the group of companies used for measuring our relative total shareholder return under our 2024 long-term incentive compensation awards.</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2024, the peer group for proxy statement data consisted of the following 18 publicly traded utility companies:</w:t>
      </w:r>
    </w:p>
    <w:p>
      <w:pPr>
        <w:spacing w:after="0" w:line="100"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3740" w:type="dxa"/>
            <w:vAlign w:val="bottom"/>
          </w:tcPr>
          <w:p>
            <w:pPr>
              <w:spacing w:after="0"/>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Alliant Energy Corporation</w:t>
            </w:r>
          </w:p>
        </w:tc>
        <w:tc>
          <w:tcPr>
            <w:tcW w:w="4300" w:type="dxa"/>
            <w:vAlign w:val="bottom"/>
          </w:tcPr>
          <w:p>
            <w:pPr>
              <w:ind w:left="780"/>
              <w:spacing w:after="0"/>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Entergy Corporation</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Ameren Corporation</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Evergy, Inc.</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American Electric Power Company, Inc.</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Eversource Energy</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Atmos Energy Corporation</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NiSource Inc.</w:t>
            </w:r>
          </w:p>
        </w:tc>
      </w:tr>
      <w:tr>
        <w:trPr>
          <w:trHeight w:val="284"/>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Avangrid, Inc.</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PPL Corp.</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CMS Energy Corporation</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Public Service Enterprise Group Incorporated</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Consolidated Edison, Inc.</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Sempra Energy</w:t>
            </w:r>
          </w:p>
        </w:tc>
      </w:tr>
      <w:tr>
        <w:trPr>
          <w:trHeight w:val="283"/>
        </w:trPr>
        <w:tc>
          <w:tcPr>
            <w:tcW w:w="3740" w:type="dxa"/>
            <w:vAlign w:val="bottom"/>
          </w:tcPr>
          <w:p>
            <w:pPr>
              <w:spacing w:after="0" w:line="284" w:lineRule="exact"/>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DTE Energy Company</w:t>
            </w:r>
          </w:p>
        </w:tc>
        <w:tc>
          <w:tcPr>
            <w:tcW w:w="4300" w:type="dxa"/>
            <w:vAlign w:val="bottom"/>
          </w:tcPr>
          <w:p>
            <w:pPr>
              <w:ind w:left="780"/>
              <w:spacing w:after="0" w:line="284" w:lineRule="exact"/>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WEC Energy Group, Inc.</w:t>
            </w:r>
          </w:p>
        </w:tc>
      </w:tr>
      <w:tr>
        <w:trPr>
          <w:trHeight w:val="418"/>
        </w:trPr>
        <w:tc>
          <w:tcPr>
            <w:tcW w:w="3740" w:type="dxa"/>
            <w:vAlign w:val="bottom"/>
          </w:tcPr>
          <w:p>
            <w:pPr>
              <w:spacing w:after="0"/>
              <w:rPr>
                <w:sz w:val="20"/>
                <w:szCs w:val="20"/>
                <w:color w:val="auto"/>
              </w:rPr>
            </w:pPr>
            <w:r>
              <w:rPr>
                <w:rFonts w:ascii="Arial" w:cs="Arial" w:eastAsia="Arial" w:hAnsi="Arial"/>
                <w:sz w:val="30"/>
                <w:szCs w:val="30"/>
                <w:b w:val="1"/>
                <w:bCs w:val="1"/>
                <w:color w:val="6EC4E8"/>
                <w:vertAlign w:val="superscript"/>
              </w:rPr>
              <w:t>​</w:t>
            </w:r>
            <w:r>
              <w:rPr>
                <w:rFonts w:ascii="Arial" w:cs="Arial" w:eastAsia="Arial" w:hAnsi="Arial"/>
                <w:sz w:val="15"/>
                <w:szCs w:val="15"/>
                <w:b w:val="1"/>
                <w:bCs w:val="1"/>
                <w:color w:val="6EC4E8"/>
              </w:rPr>
              <w:t xml:space="preserve"> Edison International</w:t>
            </w:r>
          </w:p>
        </w:tc>
        <w:tc>
          <w:tcPr>
            <w:tcW w:w="4300" w:type="dxa"/>
            <w:vAlign w:val="bottom"/>
          </w:tcPr>
          <w:p>
            <w:pPr>
              <w:ind w:left="780"/>
              <w:spacing w:after="0"/>
              <w:rPr>
                <w:sz w:val="20"/>
                <w:szCs w:val="20"/>
                <w:color w:val="auto"/>
              </w:rPr>
            </w:pPr>
            <w:r>
              <w:rPr>
                <w:rFonts w:ascii="Arial" w:cs="Arial" w:eastAsia="Arial" w:hAnsi="Arial"/>
                <w:sz w:val="30"/>
                <w:szCs w:val="30"/>
                <w:b w:val="1"/>
                <w:bCs w:val="1"/>
                <w:color w:val="6EC4E8"/>
                <w:vertAlign w:val="superscript"/>
              </w:rPr>
              <w:t>​ ​</w:t>
            </w:r>
            <w:r>
              <w:rPr>
                <w:rFonts w:ascii="Arial" w:cs="Arial" w:eastAsia="Arial" w:hAnsi="Arial"/>
                <w:sz w:val="15"/>
                <w:szCs w:val="15"/>
                <w:b w:val="1"/>
                <w:bCs w:val="1"/>
                <w:color w:val="6EC4E8"/>
              </w:rPr>
              <w:t xml:space="preserve"> Xcel Energy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6EC4E8"/>
        </w:rPr>
        <w:t>​</w:t>
      </w:r>
    </w:p>
    <w:p>
      <w:pPr>
        <w:spacing w:after="0" w:line="413" w:lineRule="exact"/>
        <w:rPr>
          <w:sz w:val="20"/>
          <w:szCs w:val="20"/>
          <w:color w:val="auto"/>
        </w:rPr>
      </w:pPr>
    </w:p>
    <w:p>
      <w:pPr>
        <w:sectPr>
          <w:pgSz w:w="11900" w:h="16838" w:orient="portrait"/>
          <w:cols w:equalWidth="0" w:num="2">
            <w:col w:w="9760" w:space="120"/>
            <w:col w:w="160"/>
          </w:cols>
          <w:pgMar w:left="580" w:top="97" w:right="1279" w:bottom="1440" w:gutter="0" w:footer="0" w:header="0"/>
          <w:type w:val="continuous"/>
        </w:sectPr>
      </w:pPr>
    </w:p>
    <w:p>
      <w:pPr>
        <w:ind w:left="740" w:right="120"/>
        <w:spacing w:after="0" w:line="268" w:lineRule="auto"/>
        <w:rPr>
          <w:sz w:val="20"/>
          <w:szCs w:val="20"/>
          <w:color w:val="auto"/>
        </w:rPr>
      </w:pPr>
      <w:r>
        <w:rPr>
          <w:rFonts w:ascii="Arial" w:cs="Arial" w:eastAsia="Arial" w:hAnsi="Arial"/>
          <w:sz w:val="16"/>
          <w:szCs w:val="16"/>
          <w:color w:val="auto"/>
        </w:rPr>
        <w:t>This peer group had median revenues and assets comparable to CenterPoint Energy in September 2023 when the Human Capital and Compensation Committee approved the 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99695</wp:posOffset>
            </wp:positionV>
            <wp:extent cx="51435" cy="282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282575"/>
                    </a:xfrm>
                    <a:prstGeom prst="rect">
                      <a:avLst/>
                    </a:prstGeom>
                    <a:noFill/>
                  </pic:spPr>
                </pic:pic>
              </a:graphicData>
            </a:graphic>
          </wp:anchor>
        </w:drawing>
      </w:r>
    </w:p>
    <w:p>
      <w:pPr>
        <w:spacing w:after="0" w:line="92"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6580" w:type="dxa"/>
            <w:vAlign w:val="bottom"/>
            <w:gridSpan w:val="2"/>
            <w:shd w:val="clear" w:color="auto" w:fill="003763"/>
          </w:tcPr>
          <w:p>
            <w:pPr>
              <w:jc w:val="right"/>
              <w:ind w:right="6475"/>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3763"/>
          </w:tcPr>
          <w:p>
            <w:pPr>
              <w:spacing w:after="0"/>
              <w:rPr>
                <w:sz w:val="24"/>
                <w:szCs w:val="24"/>
                <w:color w:val="auto"/>
              </w:rPr>
            </w:pPr>
          </w:p>
        </w:tc>
        <w:tc>
          <w:tcPr>
            <w:tcW w:w="2460" w:type="dxa"/>
            <w:vAlign w:val="bottom"/>
            <w:gridSpan w:val="6"/>
            <w:shd w:val="clear" w:color="auto" w:fill="003763"/>
          </w:tcPr>
          <w:p>
            <w:pPr>
              <w:jc w:val="right"/>
              <w:spacing w:after="0"/>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TOTAL REVENUE </w:t>
            </w: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TOTAL ASSETS </w:t>
            </w:r>
            <w:r>
              <w:rPr>
                <w:rFonts w:ascii="Arial" w:cs="Arial" w:eastAsia="Arial" w:hAnsi="Arial"/>
                <w:sz w:val="25"/>
                <w:szCs w:val="25"/>
                <w:b w:val="1"/>
                <w:bCs w:val="1"/>
                <w:color w:val="FFFFFF"/>
                <w:vertAlign w:val="subscript"/>
              </w:rPr>
              <w:t>​</w:t>
            </w:r>
          </w:p>
        </w:tc>
        <w:tc>
          <w:tcPr>
            <w:tcW w:w="60" w:type="dxa"/>
            <w:vAlign w:val="bottom"/>
            <w:tcBorders>
              <w:left w:val="single" w:sz="8" w:color="00376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500" w:type="dxa"/>
            <w:vAlign w:val="bottom"/>
            <w:shd w:val="clear" w:color="auto" w:fill="003763"/>
          </w:tcPr>
          <w:p>
            <w:pPr>
              <w:jc w:val="right"/>
              <w:ind w:right="6475"/>
              <w:spacing w:after="0"/>
              <w:rPr>
                <w:sz w:val="20"/>
                <w:szCs w:val="20"/>
                <w:color w:val="auto"/>
              </w:rPr>
            </w:pPr>
            <w:r>
              <w:rPr>
                <w:rFonts w:ascii="Arial" w:cs="Arial" w:eastAsia="Arial" w:hAnsi="Arial"/>
                <w:sz w:val="1"/>
                <w:szCs w:val="1"/>
                <w:b w:val="1"/>
                <w:bCs w:val="1"/>
                <w:color w:val="FFFFFF"/>
                <w:w w:val="4294942296"/>
              </w:rPr>
              <w:t>​</w:t>
            </w:r>
          </w:p>
        </w:tc>
        <w:tc>
          <w:tcPr>
            <w:tcW w:w="38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2260" w:type="dxa"/>
            <w:vAlign w:val="bottom"/>
            <w:gridSpan w:val="5"/>
            <w:shd w:val="clear" w:color="auto" w:fill="003763"/>
          </w:tcPr>
          <w:p>
            <w:pPr>
              <w:jc w:val="right"/>
              <w:spacing w:after="0"/>
              <w:rPr>
                <w:sz w:val="20"/>
                <w:szCs w:val="20"/>
                <w:color w:val="auto"/>
              </w:rPr>
            </w:pPr>
            <w:r>
              <w:rPr>
                <w:rFonts w:ascii="Arial" w:cs="Arial" w:eastAsia="Arial" w:hAnsi="Arial"/>
                <w:sz w:val="13"/>
                <w:szCs w:val="13"/>
                <w:b w:val="1"/>
                <w:bCs w:val="1"/>
                <w:color w:val="FFFFFF"/>
                <w:w w:val="99"/>
              </w:rPr>
              <w:t>(in millions, except for percentages) ​</w:t>
            </w:r>
          </w:p>
        </w:tc>
        <w:tc>
          <w:tcPr>
            <w:tcW w:w="60" w:type="dxa"/>
            <w:vAlign w:val="bottom"/>
            <w:tcBorders>
              <w:left w:val="single" w:sz="8" w:color="003763"/>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80"/>
              <w:spacing w:after="0"/>
              <w:rPr>
                <w:sz w:val="20"/>
                <w:szCs w:val="20"/>
                <w:color w:val="auto"/>
              </w:rPr>
            </w:pPr>
            <w:r>
              <w:rPr>
                <w:rFonts w:ascii="Arial" w:cs="Arial" w:eastAsia="Arial" w:hAnsi="Arial"/>
                <w:sz w:val="14"/>
                <w:szCs w:val="14"/>
                <w:b w:val="1"/>
                <w:bCs w:val="1"/>
                <w:color w:val="auto"/>
              </w:rPr>
              <w:t>CenterPoint Energy, Inc.</w:t>
            </w:r>
          </w:p>
        </w:tc>
        <w:tc>
          <w:tcPr>
            <w:tcW w:w="1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$9,225</w:t>
            </w:r>
          </w:p>
        </w:tc>
        <w:tc>
          <w:tcPr>
            <w:tcW w:w="2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$39,001</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6580" w:type="dxa"/>
            <w:vAlign w:val="bottom"/>
            <w:gridSpan w:val="2"/>
          </w:tcPr>
          <w:p>
            <w:pPr>
              <w:jc w:val="right"/>
              <w:ind w:right="6455"/>
              <w:spacing w:after="0" w:line="81"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580" w:type="dxa"/>
            <w:vAlign w:val="bottom"/>
            <w:tcBorders>
              <w:top w:val="single" w:sz="8" w:color="CCCCCC"/>
            </w:tcBorders>
            <w:gridSpan w:val="2"/>
            <w:shd w:val="clear" w:color="auto" w:fill="F2F2F2"/>
          </w:tcPr>
          <w:p>
            <w:pPr>
              <w:ind w:left="80"/>
              <w:spacing w:after="0"/>
              <w:rPr>
                <w:sz w:val="20"/>
                <w:szCs w:val="20"/>
                <w:color w:val="auto"/>
              </w:rPr>
            </w:pPr>
            <w:r>
              <w:rPr>
                <w:rFonts w:ascii="Arial" w:cs="Arial" w:eastAsia="Arial" w:hAnsi="Arial"/>
                <w:sz w:val="14"/>
                <w:szCs w:val="14"/>
                <w:b w:val="1"/>
                <w:bCs w:val="1"/>
                <w:color w:val="auto"/>
              </w:rPr>
              <w:t>Relative Percentile Rank Position</w:t>
            </w:r>
          </w:p>
        </w:tc>
        <w:tc>
          <w:tcPr>
            <w:tcW w:w="180" w:type="dxa"/>
            <w:vAlign w:val="bottom"/>
            <w:tcBorders>
              <w:top w:val="single" w:sz="8" w:color="CCCCCC"/>
            </w:tcBorders>
            <w:shd w:val="clear" w:color="auto" w:fill="F2F2F2"/>
          </w:tcPr>
          <w:p>
            <w:pPr>
              <w:spacing w:after="0"/>
              <w:rPr>
                <w:sz w:val="15"/>
                <w:szCs w:val="15"/>
                <w:color w:val="auto"/>
              </w:rPr>
            </w:pPr>
          </w:p>
        </w:tc>
        <w:tc>
          <w:tcPr>
            <w:tcW w:w="20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CCCCCC"/>
            </w:tcBorders>
            <w:vMerge w:val="restart"/>
            <w:shd w:val="clear" w:color="auto" w:fill="F2F2F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44%</w:t>
            </w:r>
          </w:p>
        </w:tc>
        <w:tc>
          <w:tcPr>
            <w:tcW w:w="220" w:type="dxa"/>
            <w:vAlign w:val="bottom"/>
            <w:tcBorders>
              <w:top w:val="single" w:sz="8" w:color="CCCCCC"/>
            </w:tcBorders>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CCCC"/>
            </w:tcBorders>
            <w:vMerge w:val="restart"/>
            <w:shd w:val="clear" w:color="auto" w:fill="F2F2F2"/>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left w:val="single" w:sz="8" w:color="F2F2F2"/>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6580" w:type="dxa"/>
            <w:vAlign w:val="bottom"/>
            <w:tcBorders>
              <w:bottom w:val="single" w:sz="8" w:color="CCCCCC"/>
            </w:tcBorders>
            <w:gridSpan w:val="2"/>
            <w:shd w:val="clear" w:color="auto" w:fill="F2F2F2"/>
          </w:tcPr>
          <w:p>
            <w:pPr>
              <w:jc w:val="right"/>
              <w:ind w:right="6455"/>
              <w:spacing w:after="0" w:line="81" w:lineRule="exact"/>
              <w:rPr>
                <w:sz w:val="20"/>
                <w:szCs w:val="20"/>
                <w:color w:val="auto"/>
              </w:rPr>
            </w:pPr>
            <w:r>
              <w:rPr>
                <w:rFonts w:ascii="Arial" w:cs="Arial" w:eastAsia="Arial" w:hAnsi="Arial"/>
                <w:sz w:val="9"/>
                <w:szCs w:val="9"/>
                <w:color w:val="auto"/>
              </w:rPr>
              <w:t>​</w:t>
            </w:r>
          </w:p>
        </w:tc>
        <w:tc>
          <w:tcPr>
            <w:tcW w:w="180" w:type="dxa"/>
            <w:vAlign w:val="bottom"/>
            <w:tcBorders>
              <w:bottom w:val="single" w:sz="8" w:color="CCCCCC"/>
            </w:tcBorders>
            <w:shd w:val="clear" w:color="auto" w:fill="F2F2F2"/>
          </w:tcPr>
          <w:p>
            <w:pPr>
              <w:spacing w:after="0"/>
              <w:rPr>
                <w:sz w:val="7"/>
                <w:szCs w:val="7"/>
                <w:color w:val="auto"/>
              </w:rPr>
            </w:pPr>
          </w:p>
        </w:tc>
        <w:tc>
          <w:tcPr>
            <w:tcW w:w="200" w:type="dxa"/>
            <w:vAlign w:val="bottom"/>
            <w:tcBorders>
              <w:bottom w:val="single" w:sz="8" w:color="CCCCCC"/>
            </w:tcBorders>
            <w:vMerge w:val="continue"/>
            <w:shd w:val="clear" w:color="auto" w:fill="F2F2F2"/>
          </w:tcPr>
          <w:p>
            <w:pPr>
              <w:spacing w:after="0"/>
              <w:rPr>
                <w:sz w:val="7"/>
                <w:szCs w:val="7"/>
                <w:color w:val="auto"/>
              </w:rPr>
            </w:pPr>
          </w:p>
        </w:tc>
        <w:tc>
          <w:tcPr>
            <w:tcW w:w="300" w:type="dxa"/>
            <w:vAlign w:val="bottom"/>
            <w:tcBorders>
              <w:bottom w:val="single" w:sz="8" w:color="CCCCCC"/>
            </w:tcBorders>
            <w:vMerge w:val="continue"/>
            <w:shd w:val="clear" w:color="auto" w:fill="F2F2F2"/>
          </w:tcPr>
          <w:p>
            <w:pPr>
              <w:spacing w:after="0"/>
              <w:rPr>
                <w:sz w:val="7"/>
                <w:szCs w:val="7"/>
                <w:color w:val="auto"/>
              </w:rPr>
            </w:pPr>
          </w:p>
        </w:tc>
        <w:tc>
          <w:tcPr>
            <w:tcW w:w="760" w:type="dxa"/>
            <w:vAlign w:val="bottom"/>
            <w:tcBorders>
              <w:bottom w:val="single" w:sz="8" w:color="CCCCCC"/>
            </w:tcBorders>
            <w:shd w:val="clear" w:color="auto" w:fill="F2F2F2"/>
          </w:tcPr>
          <w:p>
            <w:pPr>
              <w:spacing w:after="0"/>
              <w:rPr>
                <w:sz w:val="7"/>
                <w:szCs w:val="7"/>
                <w:color w:val="auto"/>
              </w:rPr>
            </w:pPr>
          </w:p>
        </w:tc>
        <w:tc>
          <w:tcPr>
            <w:tcW w:w="220" w:type="dxa"/>
            <w:vAlign w:val="bottom"/>
            <w:tcBorders>
              <w:bottom w:val="single" w:sz="8" w:color="CCCCCC"/>
            </w:tcBorders>
            <w:vMerge w:val="continue"/>
            <w:shd w:val="clear" w:color="auto" w:fill="F2F2F2"/>
          </w:tcPr>
          <w:p>
            <w:pPr>
              <w:spacing w:after="0"/>
              <w:rPr>
                <w:sz w:val="7"/>
                <w:szCs w:val="7"/>
                <w:color w:val="auto"/>
              </w:rPr>
            </w:pPr>
          </w:p>
        </w:tc>
        <w:tc>
          <w:tcPr>
            <w:tcW w:w="240" w:type="dxa"/>
            <w:vAlign w:val="bottom"/>
            <w:tcBorders>
              <w:bottom w:val="single" w:sz="8" w:color="CCCCCC"/>
            </w:tcBorders>
            <w:vMerge w:val="continue"/>
            <w:shd w:val="clear" w:color="auto" w:fill="F2F2F2"/>
          </w:tcPr>
          <w:p>
            <w:pPr>
              <w:spacing w:after="0"/>
              <w:rPr>
                <w:sz w:val="7"/>
                <w:szCs w:val="7"/>
                <w:color w:val="auto"/>
              </w:rPr>
            </w:pPr>
          </w:p>
        </w:tc>
        <w:tc>
          <w:tcPr>
            <w:tcW w:w="740" w:type="dxa"/>
            <w:vAlign w:val="bottom"/>
            <w:tcBorders>
              <w:bottom w:val="single" w:sz="8" w:color="CCCCCC"/>
            </w:tcBorders>
            <w:shd w:val="clear" w:color="auto" w:fill="F2F2F2"/>
          </w:tcPr>
          <w:p>
            <w:pPr>
              <w:spacing w:after="0"/>
              <w:rPr>
                <w:sz w:val="7"/>
                <w:szCs w:val="7"/>
                <w:color w:val="auto"/>
              </w:rPr>
            </w:pPr>
          </w:p>
        </w:tc>
        <w:tc>
          <w:tcPr>
            <w:tcW w:w="80" w:type="dxa"/>
            <w:vAlign w:val="bottom"/>
            <w:tcBorders>
              <w:left w:val="single" w:sz="8" w:color="F2F2F2"/>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6580" w:type="dxa"/>
            <w:vAlign w:val="bottom"/>
            <w:gridSpan w:val="2"/>
          </w:tcPr>
          <w:p>
            <w:pPr>
              <w:ind w:left="80"/>
              <w:spacing w:after="0"/>
              <w:rPr>
                <w:sz w:val="20"/>
                <w:szCs w:val="20"/>
                <w:color w:val="auto"/>
              </w:rPr>
            </w:pPr>
            <w:r>
              <w:rPr>
                <w:rFonts w:ascii="Arial" w:cs="Arial" w:eastAsia="Arial" w:hAnsi="Arial"/>
                <w:sz w:val="14"/>
                <w:szCs w:val="14"/>
                <w:i w:val="1"/>
                <w:iCs w:val="1"/>
                <w:color w:val="auto"/>
              </w:rPr>
              <w:t>Data is presented as of September 30, 2023 and sourced from FactSet Revenue represents trailing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580" w:type="dxa"/>
            <w:vAlign w:val="bottom"/>
            <w:tcBorders>
              <w:bottom w:val="single" w:sz="8" w:color="CCCCCC"/>
            </w:tcBorders>
            <w:gridSpan w:val="2"/>
          </w:tcPr>
          <w:p>
            <w:pPr>
              <w:jc w:val="right"/>
              <w:ind w:right="3655"/>
              <w:spacing w:after="0" w:line="236" w:lineRule="exact"/>
              <w:rPr>
                <w:sz w:val="20"/>
                <w:szCs w:val="20"/>
                <w:color w:val="auto"/>
              </w:rPr>
            </w:pPr>
            <w:r>
              <w:rPr>
                <w:rFonts w:ascii="Arial" w:cs="Arial" w:eastAsia="Arial" w:hAnsi="Arial"/>
                <w:sz w:val="27"/>
                <w:szCs w:val="27"/>
                <w:i w:val="1"/>
                <w:iCs w:val="1"/>
                <w:color w:val="auto"/>
                <w:vertAlign w:val="subscript"/>
              </w:rPr>
              <w:t>​</w:t>
            </w:r>
            <w:r>
              <w:rPr>
                <w:rFonts w:ascii="Arial" w:cs="Arial" w:eastAsia="Arial" w:hAnsi="Arial"/>
                <w:sz w:val="14"/>
                <w:szCs w:val="14"/>
                <w:i w:val="1"/>
                <w:iCs w:val="1"/>
                <w:color w:val="auto"/>
              </w:rPr>
              <w:t xml:space="preserve">  twelve months ended September 30, 2023</w:t>
            </w:r>
          </w:p>
        </w:tc>
        <w:tc>
          <w:tcPr>
            <w:tcW w:w="180" w:type="dxa"/>
            <w:vAlign w:val="bottom"/>
            <w:tcBorders>
              <w:bottom w:val="single" w:sz="8" w:color="CCCCCC"/>
            </w:tcBorders>
          </w:tcPr>
          <w:p>
            <w:pPr>
              <w:spacing w:after="0"/>
              <w:rPr>
                <w:sz w:val="20"/>
                <w:szCs w:val="20"/>
                <w:color w:val="auto"/>
              </w:rPr>
            </w:pP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i w:val="1"/>
                <w:iCs w:val="1"/>
                <w:color w:val="auto"/>
              </w:rPr>
              <w:t>​ ​</w:t>
            </w:r>
          </w:p>
        </w:tc>
        <w:tc>
          <w:tcPr>
            <w:tcW w:w="300" w:type="dxa"/>
            <w:vAlign w:val="bottom"/>
            <w:tcBorders>
              <w:bottom w:val="single" w:sz="8" w:color="CCCCCC"/>
            </w:tcBorders>
          </w:tcPr>
          <w:p>
            <w:pPr>
              <w:spacing w:after="0"/>
              <w:rPr>
                <w:sz w:val="20"/>
                <w:szCs w:val="20"/>
                <w:color w:val="auto"/>
              </w:rPr>
            </w:pPr>
          </w:p>
        </w:tc>
        <w:tc>
          <w:tcPr>
            <w:tcW w:w="760" w:type="dxa"/>
            <w:vAlign w:val="bottom"/>
            <w:tcBorders>
              <w:bottom w:val="single" w:sz="8" w:color="CCCCCC"/>
            </w:tcBorders>
          </w:tcPr>
          <w:p>
            <w:pPr>
              <w:jc w:val="right"/>
              <w:ind w:right="408"/>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CCCCCC"/>
            </w:tcBorders>
          </w:tcPr>
          <w:p>
            <w:pPr>
              <w:jc w:val="center"/>
              <w:spacing w:after="0"/>
              <w:rPr>
                <w:sz w:val="20"/>
                <w:szCs w:val="20"/>
                <w:color w:val="auto"/>
              </w:rPr>
            </w:pPr>
            <w:r>
              <w:rPr>
                <w:rFonts w:ascii="Arial" w:cs="Arial" w:eastAsia="Arial" w:hAnsi="Arial"/>
                <w:sz w:val="14"/>
                <w:szCs w:val="14"/>
                <w:i w:val="1"/>
                <w:iCs w:val="1"/>
                <w:color w:val="auto"/>
              </w:rPr>
              <w:t>​ ​</w:t>
            </w:r>
          </w:p>
        </w:tc>
        <w:tc>
          <w:tcPr>
            <w:tcW w:w="240" w:type="dxa"/>
            <w:vAlign w:val="bottom"/>
            <w:tcBorders>
              <w:bottom w:val="single" w:sz="8" w:color="CCCCCC"/>
            </w:tcBorders>
          </w:tcPr>
          <w:p>
            <w:pPr>
              <w:spacing w:after="0"/>
              <w:rPr>
                <w:sz w:val="20"/>
                <w:szCs w:val="20"/>
                <w:color w:val="auto"/>
              </w:rPr>
            </w:pPr>
          </w:p>
        </w:tc>
        <w:tc>
          <w:tcPr>
            <w:tcW w:w="740" w:type="dxa"/>
            <w:vAlign w:val="bottom"/>
            <w:tcBorders>
              <w:bottom w:val="single" w:sz="8" w:color="CCCCCC"/>
            </w:tcBorders>
          </w:tcPr>
          <w:p>
            <w:pPr>
              <w:jc w:val="right"/>
              <w:ind w:right="388"/>
              <w:spacing w:after="0"/>
              <w:rPr>
                <w:sz w:val="20"/>
                <w:szCs w:val="20"/>
                <w:color w:val="auto"/>
              </w:rPr>
            </w:pPr>
            <w:r>
              <w:rPr>
                <w:rFonts w:ascii="Arial" w:cs="Arial" w:eastAsia="Arial" w:hAnsi="Arial"/>
                <w:sz w:val="14"/>
                <w:szCs w:val="14"/>
                <w:i w:val="1"/>
                <w:iCs w:val="1"/>
                <w:color w:val="auto"/>
              </w:rPr>
              <w:t>​</w:t>
            </w:r>
          </w:p>
        </w:tc>
        <w:tc>
          <w:tcPr>
            <w:tcW w:w="60" w:type="dxa"/>
            <w:vAlign w:val="bottom"/>
            <w:tcBorders>
              <w:bottom w:val="single" w:sz="8" w:color="CCCCCC"/>
            </w:tcBorders>
          </w:tcPr>
          <w:p>
            <w:pPr>
              <w:jc w:val="right"/>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-779780</wp:posOffset>
            </wp:positionV>
            <wp:extent cx="1405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68" w:lineRule="exact"/>
        <w:rPr>
          <w:sz w:val="20"/>
          <w:szCs w:val="20"/>
          <w:color w:val="auto"/>
        </w:rPr>
      </w:pPr>
    </w:p>
    <w:p>
      <w:pPr>
        <w:ind w:left="740" w:right="380"/>
        <w:spacing w:after="0" w:line="257" w:lineRule="auto"/>
        <w:rPr>
          <w:sz w:val="20"/>
          <w:szCs w:val="20"/>
          <w:color w:val="auto"/>
        </w:rPr>
      </w:pPr>
      <w:r>
        <w:rPr>
          <w:rFonts w:ascii="Arial" w:cs="Arial" w:eastAsia="Arial" w:hAnsi="Arial"/>
          <w:sz w:val="16"/>
          <w:szCs w:val="16"/>
          <w:color w:val="auto"/>
        </w:rPr>
        <w:t>Meridian reviewed the peer group in 2024 and recommended removing Avangrid, Inc. following its acquisition and adding OGE Energy Corp. based on the selection criteria described above for the Company’s 2025 peer group. The Human Capital and Compensation Committee evaluated and approved this peer group change.</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Review of Tally Sheets</w:t>
      </w:r>
    </w:p>
    <w:p>
      <w:pPr>
        <w:spacing w:after="0" w:line="108" w:lineRule="exact"/>
        <w:rPr>
          <w:sz w:val="20"/>
          <w:szCs w:val="20"/>
          <w:color w:val="auto"/>
        </w:rPr>
      </w:pPr>
    </w:p>
    <w:p>
      <w:pPr>
        <w:ind w:left="740" w:right="300"/>
        <w:spacing w:after="0" w:line="241" w:lineRule="auto"/>
        <w:rPr>
          <w:sz w:val="20"/>
          <w:szCs w:val="20"/>
          <w:color w:val="auto"/>
        </w:rPr>
      </w:pPr>
      <w:r>
        <w:rPr>
          <w:rFonts w:ascii="Arial" w:cs="Arial" w:eastAsia="Arial" w:hAnsi="Arial"/>
          <w:sz w:val="16"/>
          <w:szCs w:val="16"/>
          <w:color w:val="auto"/>
        </w:rPr>
        <w:t>At least annually, the Human Capital and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Human Capital and Compensation Committee to show how various compensation and benefits amounts are interrelated and how changes in one component of compensation impact other components and to enable Human Capital and Compensation Committee members to quantify amounts payable upon various termination scenarios.</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Other Compensation Programs and Practices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Benefits</w:t>
      </w:r>
    </w:p>
    <w:p>
      <w:pPr>
        <w:spacing w:after="0" w:line="122" w:lineRule="exact"/>
        <w:rPr>
          <w:sz w:val="20"/>
          <w:szCs w:val="20"/>
          <w:color w:val="auto"/>
        </w:rPr>
      </w:pPr>
    </w:p>
    <w:p>
      <w:pPr>
        <w:ind w:left="740" w:right="60"/>
        <w:spacing w:after="0" w:line="268" w:lineRule="auto"/>
        <w:rPr>
          <w:sz w:val="20"/>
          <w:szCs w:val="20"/>
          <w:color w:val="auto"/>
        </w:rPr>
      </w:pPr>
      <w:r>
        <w:rPr>
          <w:rFonts w:ascii="Arial" w:cs="Arial" w:eastAsia="Arial" w:hAnsi="Arial"/>
          <w:sz w:val="15"/>
          <w:szCs w:val="15"/>
          <w:color w:val="auto"/>
        </w:rPr>
        <w:t>We have maintained a defined benefit plan for eligible employees since 1953 to help employees provide for retirement and to retain employees. This plan is closed to all employees hired or rehired on or after January 1, 2020 (or January 1, 2021 with respect to certain union employees). We also acquired, and continue to maintain, a defined benefit plan in connection with the merger with Vectren Corporation (Vectren) in 2019. This plan was frozen as of January 1, 2020 for participants accruing benefits solely under a cash balance formula and as of January 1, 2021 for all other participants such that no further benefits, except interest credits, accrue under the plan after the applicable date. In addition, we maintain benefit restoration plans as nonqualified supplemental retirement plans to generally provide for benefits in excess of those available under the retirement plans due to annual limits imposed by the Internal Revenue Code. Changes in base salary and/or short-term incentive compensation affect benefits payable under the retirement plans and the benefit restoration plans to the extent benefits are accruing under those plans. See “Executive Compensation Tables—Pension Benefits” for a description of the retirement plans and benefit restoration plans. The present value of the accumulated benefits under the plans for each named executive officer is set forth in the Pension Benefits table.</w:t>
      </w:r>
    </w:p>
    <w:p>
      <w:pPr>
        <w:spacing w:after="0" w:line="109" w:lineRule="exact"/>
        <w:rPr>
          <w:sz w:val="20"/>
          <w:szCs w:val="20"/>
          <w:color w:val="auto"/>
        </w:rPr>
      </w:pPr>
    </w:p>
    <w:p>
      <w:pPr>
        <w:ind w:left="740" w:right="200"/>
        <w:spacing w:after="0" w:line="286" w:lineRule="auto"/>
        <w:rPr>
          <w:sz w:val="20"/>
          <w:szCs w:val="20"/>
          <w:color w:val="auto"/>
        </w:rPr>
      </w:pPr>
      <w:r>
        <w:rPr>
          <w:rFonts w:ascii="Arial" w:cs="Arial" w:eastAsia="Arial" w:hAnsi="Arial"/>
          <w:sz w:val="16"/>
          <w:szCs w:val="16"/>
          <w:color w:val="auto"/>
        </w:rPr>
        <w:t>We maintain a savings plan, which includes employer contributions, designed to encourage all employees to help provide for their own retirement and to attract and retain employees. We also have a nonqualified savings restoration plan that provides for</w:t>
      </w:r>
    </w:p>
    <w:p>
      <w:pPr>
        <w:spacing w:after="0" w:line="19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360"/>
        <w:spacing w:after="0" w:line="265" w:lineRule="auto"/>
        <w:rPr>
          <w:sz w:val="20"/>
          <w:szCs w:val="20"/>
          <w:color w:val="auto"/>
        </w:rPr>
      </w:pPr>
      <w:r>
        <w:rPr>
          <w:rFonts w:ascii="Arial" w:cs="Arial" w:eastAsia="Arial" w:hAnsi="Arial"/>
          <w:sz w:val="16"/>
          <w:szCs w:val="16"/>
          <w:color w:val="auto"/>
        </w:rPr>
        <w:t>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Employer contributions to the plans for the named executive officers are included in the footnote to the All Other Compensation column of the Summary Compensation Table.</w:t>
      </w:r>
    </w:p>
    <w:p>
      <w:pPr>
        <w:spacing w:after="0" w:line="105" w:lineRule="exact"/>
        <w:rPr>
          <w:sz w:val="20"/>
          <w:szCs w:val="20"/>
          <w:color w:val="auto"/>
        </w:rPr>
      </w:pPr>
    </w:p>
    <w:p>
      <w:pPr>
        <w:ind w:left="740" w:right="80"/>
        <w:spacing w:after="0" w:line="264" w:lineRule="auto"/>
        <w:rPr>
          <w:sz w:val="20"/>
          <w:szCs w:val="20"/>
          <w:color w:val="auto"/>
        </w:rPr>
      </w:pPr>
      <w:r>
        <w:rPr>
          <w:rFonts w:ascii="Arial" w:cs="Arial" w:eastAsia="Arial" w:hAnsi="Arial"/>
          <w:sz w:val="16"/>
          <w:szCs w:val="16"/>
          <w:color w:val="auto"/>
        </w:rPr>
        <w:t>Prior to January 1, 2023, our named executive officers could defer salary and short-term incentive compensation under our deferred compensation plan. The plan was frozen as of January 1, 2023 such that no further compensation may be deferred under the plan after that date. We also acquired, and continue to maintain, a deferred compensation plan in connection with the Vectren merger. Prior to 2020, Ms. Wilson was eligible to participate in this plan. Beginning with 2020, none of our named executive officers are eligible to participate in, or defer further compensation under, the Vectren plan. For further information and a description of the plans, see “Executive Compensation Tables—Deferred Compensation Plans.” The above-market portion of the 2024 aggregate earnings is reported in the Change in Pension Value and Nonqualified Deferred Compensation Earnings column of the Summary Compensation Table.</w:t>
      </w:r>
    </w:p>
    <w:p>
      <w:pPr>
        <w:spacing w:after="0" w:line="109" w:lineRule="exact"/>
        <w:rPr>
          <w:sz w:val="20"/>
          <w:szCs w:val="20"/>
          <w:color w:val="auto"/>
        </w:rPr>
      </w:pPr>
    </w:p>
    <w:p>
      <w:pPr>
        <w:ind w:left="740" w:right="140"/>
        <w:spacing w:after="0" w:line="284" w:lineRule="auto"/>
        <w:rPr>
          <w:sz w:val="20"/>
          <w:szCs w:val="20"/>
          <w:color w:val="auto"/>
        </w:rPr>
      </w:pPr>
      <w:r>
        <w:rPr>
          <w:rFonts w:ascii="Arial" w:cs="Arial" w:eastAsia="Arial" w:hAnsi="Arial"/>
          <w:sz w:val="16"/>
          <w:szCs w:val="16"/>
          <w:color w:val="auto"/>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Termination Benefits</w:t>
      </w:r>
    </w:p>
    <w:p>
      <w:pPr>
        <w:spacing w:after="0" w:line="122" w:lineRule="exact"/>
        <w:rPr>
          <w:sz w:val="20"/>
          <w:szCs w:val="20"/>
          <w:color w:val="auto"/>
        </w:rPr>
      </w:pPr>
    </w:p>
    <w:p>
      <w:pPr>
        <w:ind w:left="740" w:right="20"/>
        <w:spacing w:after="0" w:line="268" w:lineRule="auto"/>
        <w:rPr>
          <w:sz w:val="20"/>
          <w:szCs w:val="20"/>
          <w:color w:val="auto"/>
        </w:rPr>
      </w:pPr>
      <w:r>
        <w:rPr>
          <w:rFonts w:ascii="Arial" w:cs="Arial" w:eastAsia="Arial" w:hAnsi="Arial"/>
          <w:sz w:val="16"/>
          <w:szCs w:val="16"/>
          <w:color w:val="auto"/>
        </w:rPr>
        <w:t>As described later in the section titled “Executive Compensation Tables—Potential Payments upon Change in Control or Termination,” CenterPoint Energy has a change in control plan that is intended to help ensure that our officers, including our named executive officers,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w:t>
      </w:r>
    </w:p>
    <w:p>
      <w:pPr>
        <w:spacing w:after="0" w:line="104" w:lineRule="exact"/>
        <w:rPr>
          <w:sz w:val="20"/>
          <w:szCs w:val="20"/>
          <w:color w:val="auto"/>
        </w:rPr>
      </w:pPr>
    </w:p>
    <w:p>
      <w:pPr>
        <w:ind w:left="740" w:right="100"/>
        <w:spacing w:after="0" w:line="264" w:lineRule="auto"/>
        <w:rPr>
          <w:sz w:val="20"/>
          <w:szCs w:val="20"/>
          <w:color w:val="auto"/>
        </w:rPr>
      </w:pPr>
      <w:r>
        <w:rPr>
          <w:rFonts w:ascii="Arial" w:cs="Arial" w:eastAsia="Arial" w:hAnsi="Arial"/>
          <w:sz w:val="16"/>
          <w:szCs w:val="16"/>
          <w:color w:val="auto"/>
        </w:rPr>
        <w:t>We do not maintain individual employee agreements or a separate non-change-in-control severance plan for executives. However, in response to shareholder feedback, the Human Capital and Compensation Committee has adopted executive severance guidelines to set forth appropriate limits on any severance payments to our named executive officers. The guidelines do not entitle any executive to severance benefits upon termination. The Human Capital and Compensation Committee continues to have discretion to determine a named executive officer’s eligibility for severance benefits, and the amounts of any benefits, and has committed to applying the limitations set forth in the guidelines in its determination. For a more detailed discussion, refer to “Executive Compensation Tables—Potential Payments upon Change in Control or Termination.”</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Perquisites</w:t>
      </w:r>
    </w:p>
    <w:p>
      <w:pPr>
        <w:spacing w:after="0" w:line="122" w:lineRule="exact"/>
        <w:rPr>
          <w:sz w:val="20"/>
          <w:szCs w:val="20"/>
          <w:color w:val="auto"/>
        </w:rPr>
      </w:pPr>
    </w:p>
    <w:p>
      <w:pPr>
        <w:ind w:left="740" w:right="40"/>
        <w:spacing w:after="0" w:line="286" w:lineRule="auto"/>
        <w:rPr>
          <w:sz w:val="20"/>
          <w:szCs w:val="20"/>
          <w:color w:val="auto"/>
        </w:rPr>
      </w:pPr>
      <w:r>
        <w:rPr>
          <w:rFonts w:ascii="Arial" w:cs="Arial" w:eastAsia="Arial" w:hAnsi="Arial"/>
          <w:sz w:val="16"/>
          <w:szCs w:val="16"/>
          <w:color w:val="auto"/>
        </w:rPr>
        <w:t>We do not consider perquisites to be a material component of our executive compensation. In 2024, certain of our named executive officers received certain perquisites and limited personal benefits that we view as having a sound value to our business.</w:t>
      </w:r>
    </w:p>
    <w:p>
      <w:pPr>
        <w:spacing w:after="0" w:line="61" w:lineRule="exact"/>
        <w:rPr>
          <w:sz w:val="20"/>
          <w:szCs w:val="20"/>
          <w:color w:val="auto"/>
        </w:rPr>
      </w:pPr>
    </w:p>
    <w:p>
      <w:pPr>
        <w:ind w:left="920" w:right="100" w:hanging="189"/>
        <w:spacing w:after="0" w:line="278" w:lineRule="auto"/>
        <w:tabs>
          <w:tab w:leader="none" w:pos="92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Security-related Services</w:t>
      </w:r>
      <w:r>
        <w:rPr>
          <w:rFonts w:ascii="Arial" w:cs="Arial" w:eastAsia="Arial" w:hAnsi="Arial"/>
          <w:sz w:val="15"/>
          <w:szCs w:val="15"/>
          <w:color w:val="auto"/>
        </w:rPr>
        <w:t>. Upon Mr. Lesar’s appointment as President and Chief Executive Officer, the Company obtained a</w:t>
      </w:r>
      <w:r>
        <w:rPr>
          <w:rFonts w:ascii="Arial" w:cs="Arial" w:eastAsia="Arial" w:hAnsi="Arial"/>
          <w:sz w:val="15"/>
          <w:szCs w:val="15"/>
          <w:b w:val="1"/>
          <w:bCs w:val="1"/>
          <w:color w:val="auto"/>
        </w:rPr>
        <w:t xml:space="preserve"> </w:t>
      </w:r>
      <w:r>
        <w:rPr>
          <w:rFonts w:ascii="Arial" w:cs="Arial" w:eastAsia="Arial" w:hAnsi="Arial"/>
          <w:sz w:val="15"/>
          <w:szCs w:val="15"/>
          <w:color w:val="auto"/>
        </w:rPr>
        <w:t>comprehensive security risk assessment related to Mr. Lesar conducted by an independent security consultant. As a result of such security consultant’s recommendations, the Company determined that Mr. Lesar should receive certain security-related services until his retirement in 2024, most notably the use of a car and security driver and security personnel as accompaniment on business-related travel. Following Mr. Wells’ appointment as President and Chief Executive Officer, the Company also obtained a comprehensive security risk assessment related to Mr. Wells conducted by an independent security consultant.</w:t>
      </w:r>
    </w:p>
    <w:p>
      <w:pPr>
        <w:spacing w:after="0" w:line="1" w:lineRule="exact"/>
        <w:rPr>
          <w:rFonts w:ascii="Arial" w:cs="Arial" w:eastAsia="Arial" w:hAnsi="Arial"/>
          <w:sz w:val="15"/>
          <w:szCs w:val="15"/>
          <w:color w:val="auto"/>
        </w:rPr>
      </w:pPr>
    </w:p>
    <w:p>
      <w:pPr>
        <w:ind w:left="920" w:right="120"/>
        <w:spacing w:after="0" w:line="261" w:lineRule="auto"/>
        <w:rPr>
          <w:rFonts w:ascii="Arial" w:cs="Arial" w:eastAsia="Arial" w:hAnsi="Arial"/>
          <w:sz w:val="15"/>
          <w:szCs w:val="15"/>
          <w:color w:val="auto"/>
        </w:rPr>
      </w:pPr>
      <w:r>
        <w:rPr>
          <w:rFonts w:ascii="Arial" w:cs="Arial" w:eastAsia="Arial" w:hAnsi="Arial"/>
          <w:sz w:val="16"/>
          <w:szCs w:val="16"/>
          <w:color w:val="auto"/>
        </w:rPr>
        <w:t>Mr. Wells received certain security-related services in 2024 in accordance with the security consultant’s recommendations, most notably the occasional use of a car and security driver and security personnel accompaniment on business-related travel. Further, in response to certain heightened security threats, Mr. Wells and certain other executive officers, including Messrs. Foster and Ryan and Mses. Karuturi and Harkel-Rumford, were provided with temporary security personnel at their personal residences in 2024. The Company believes the provision of these security-related services mitigates risk to the Company by supporting the safety, health, and well-being of our President and Chief Executive Officer and other executive officers.</w:t>
      </w:r>
    </w:p>
    <w:p>
      <w:pPr>
        <w:spacing w:after="0" w:line="83" w:lineRule="exact"/>
        <w:rPr>
          <w:rFonts w:ascii="Arial" w:cs="Arial" w:eastAsia="Arial" w:hAnsi="Arial"/>
          <w:sz w:val="15"/>
          <w:szCs w:val="15"/>
          <w:color w:val="auto"/>
        </w:rPr>
      </w:pPr>
    </w:p>
    <w:p>
      <w:pPr>
        <w:ind w:left="920" w:right="160" w:hanging="189"/>
        <w:spacing w:after="0" w:line="265" w:lineRule="auto"/>
        <w:tabs>
          <w:tab w:leader="none" w:pos="92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Aircraft Usage</w:t>
      </w:r>
      <w:r>
        <w:rPr>
          <w:rFonts w:ascii="Arial" w:cs="Arial" w:eastAsia="Arial" w:hAnsi="Arial"/>
          <w:sz w:val="16"/>
          <w:szCs w:val="16"/>
          <w:color w:val="auto"/>
        </w:rPr>
        <w:t>. Mr. Wells occasionally utilized for personal travel purposes the company aircraft maintained for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travel. The Company also contracted with a third-party aircraft charter company to provide executive travel services, which were utilized by Messrs. Wells, Foster, and Lesar for personal travel purposes. Use of company aircraft as well as the third-party aircraft charter company for personal trips was intended for efficiency, security, and personal safety. On occasion, family members and guests of named executive officers travel on non-commercial aircraft, including when the aircraft is already going to a specific destination for a business purpose.</w:t>
      </w:r>
    </w:p>
    <w:p>
      <w:pPr>
        <w:spacing w:after="0" w:line="77" w:lineRule="exact"/>
        <w:rPr>
          <w:rFonts w:ascii="Arial" w:cs="Arial" w:eastAsia="Arial" w:hAnsi="Arial"/>
          <w:sz w:val="16"/>
          <w:szCs w:val="16"/>
          <w:color w:val="auto"/>
        </w:rPr>
      </w:pPr>
    </w:p>
    <w:p>
      <w:pPr>
        <w:ind w:left="920" w:hanging="189"/>
        <w:spacing w:after="0"/>
        <w:tabs>
          <w:tab w:leader="none" w:pos="92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Financial Planning Services</w:t>
      </w:r>
      <w:r>
        <w:rPr>
          <w:rFonts w:ascii="Arial" w:cs="Arial" w:eastAsia="Arial" w:hAnsi="Arial"/>
          <w:sz w:val="16"/>
          <w:szCs w:val="16"/>
          <w:color w:val="auto"/>
        </w:rPr>
        <w:t>. Our executives are eligible to receive certain financial planning services.</w:t>
      </w:r>
    </w:p>
    <w:p>
      <w:pPr>
        <w:spacing w:after="0" w:line="154" w:lineRule="exact"/>
        <w:rPr>
          <w:sz w:val="20"/>
          <w:szCs w:val="20"/>
          <w:color w:val="auto"/>
        </w:rPr>
      </w:pPr>
    </w:p>
    <w:p>
      <w:pPr>
        <w:ind w:left="740" w:right="460"/>
        <w:spacing w:after="0" w:line="304" w:lineRule="auto"/>
        <w:rPr>
          <w:sz w:val="20"/>
          <w:szCs w:val="20"/>
          <w:color w:val="auto"/>
        </w:rPr>
      </w:pPr>
      <w:r>
        <w:rPr>
          <w:rFonts w:ascii="Arial" w:cs="Arial" w:eastAsia="Arial" w:hAnsi="Arial"/>
          <w:sz w:val="16"/>
          <w:szCs w:val="16"/>
          <w:color w:val="auto"/>
        </w:rPr>
        <w:t>We do not provide tax gross-ups on perquisites, except on certain relocation-related benefits that are generally available to all employees.</w:t>
      </w:r>
    </w:p>
    <w:p>
      <w:pPr>
        <w:sectPr>
          <w:pgSz w:w="11900" w:h="16838" w:orient="portrait"/>
          <w:cols w:equalWidth="0" w:num="1">
            <w:col w:w="10020"/>
          </w:cols>
          <w:pgMar w:left="580" w:top="97" w:right="1299" w:bottom="1440" w:gutter="0" w:footer="0" w:header="0"/>
        </w:sectPr>
      </w:pPr>
    </w:p>
    <w:p>
      <w:pPr>
        <w:spacing w:after="0" w:line="192"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Risk Assessment</w:t>
      </w:r>
    </w:p>
    <w:p>
      <w:pPr>
        <w:spacing w:after="0" w:line="122" w:lineRule="exact"/>
        <w:rPr>
          <w:sz w:val="20"/>
          <w:szCs w:val="20"/>
          <w:color w:val="auto"/>
        </w:rPr>
      </w:pPr>
    </w:p>
    <w:p>
      <w:pPr>
        <w:ind w:left="740" w:right="60"/>
        <w:spacing w:after="0" w:line="259" w:lineRule="auto"/>
        <w:rPr>
          <w:sz w:val="20"/>
          <w:szCs w:val="20"/>
          <w:color w:val="auto"/>
        </w:rPr>
      </w:pPr>
      <w:r>
        <w:rPr>
          <w:rFonts w:ascii="Arial" w:cs="Arial" w:eastAsia="Arial" w:hAnsi="Arial"/>
          <w:sz w:val="16"/>
          <w:szCs w:val="16"/>
          <w:color w:val="auto"/>
        </w:rPr>
        <w:t>The Human Capital and Compensation Committee, together with Meridian, conducts a compensation risk assessment, including review of performance metrics, pay mix, pay leverage, checks and balances, external market references and goal setting, and no areas of concern were identified in the assessment. The Human Capital and Compensation Committee considers the results of this assessment in developing and evaluating compensation program design.</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Anti-Hedging and Anti-Pledging Policy</w:t>
      </w:r>
    </w:p>
    <w:p>
      <w:pPr>
        <w:spacing w:after="0" w:line="122" w:lineRule="exact"/>
        <w:rPr>
          <w:sz w:val="20"/>
          <w:szCs w:val="20"/>
          <w:color w:val="auto"/>
        </w:rPr>
      </w:pPr>
    </w:p>
    <w:p>
      <w:pPr>
        <w:ind w:left="740" w:right="100"/>
        <w:spacing w:after="0" w:line="256" w:lineRule="auto"/>
        <w:rPr>
          <w:sz w:val="20"/>
          <w:szCs w:val="20"/>
          <w:color w:val="auto"/>
        </w:rPr>
      </w:pPr>
      <w:r>
        <w:rPr>
          <w:rFonts w:ascii="Arial" w:cs="Arial" w:eastAsia="Arial" w:hAnsi="Arial"/>
          <w:sz w:val="16"/>
          <w:szCs w:val="16"/>
          <w:color w:val="auto"/>
        </w:rPr>
        <w:t>As part of our Insider Trading Policy, our officers, employees, and directors are prohibited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 Additionally, our Insider Trading Policy prohibits our employees and directors from pledging CenterPoint Energy securities as collateral for a loan.</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Recoupment of Compensation</w:t>
      </w:r>
    </w:p>
    <w:p>
      <w:pPr>
        <w:spacing w:after="0" w:line="122" w:lineRule="exact"/>
        <w:rPr>
          <w:sz w:val="20"/>
          <w:szCs w:val="20"/>
          <w:color w:val="auto"/>
        </w:rPr>
      </w:pPr>
    </w:p>
    <w:p>
      <w:pPr>
        <w:ind w:left="740" w:right="40"/>
        <w:spacing w:after="0" w:line="254" w:lineRule="auto"/>
        <w:rPr>
          <w:sz w:val="20"/>
          <w:szCs w:val="20"/>
          <w:color w:val="auto"/>
        </w:rPr>
      </w:pPr>
      <w:r>
        <w:rPr>
          <w:rFonts w:ascii="Arial" w:cs="Arial" w:eastAsia="Arial" w:hAnsi="Arial"/>
          <w:sz w:val="16"/>
          <w:szCs w:val="16"/>
          <w:color w:val="auto"/>
        </w:rPr>
        <w:t>The Board has implemented an Executive Officer Recovery Policy in compliance 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The incentive-based compensation subject to this policy includes any compensation that was granted, earned, or vested based upon the attainment of a financial reporting measure and that was received by an executive officer after the policy effective date of October 2, 2023 and during a three-year lookback period.</w:t>
      </w:r>
    </w:p>
    <w:p>
      <w:pPr>
        <w:spacing w:after="0" w:line="101" w:lineRule="exact"/>
        <w:rPr>
          <w:sz w:val="20"/>
          <w:szCs w:val="20"/>
          <w:color w:val="auto"/>
        </w:rPr>
      </w:pPr>
    </w:p>
    <w:p>
      <w:pPr>
        <w:ind w:left="740" w:right="200"/>
        <w:spacing w:after="0" w:line="254" w:lineRule="auto"/>
        <w:rPr>
          <w:sz w:val="20"/>
          <w:szCs w:val="20"/>
          <w:color w:val="auto"/>
        </w:rPr>
      </w:pPr>
      <w:r>
        <w:rPr>
          <w:rFonts w:ascii="Arial" w:cs="Arial" w:eastAsia="Arial" w:hAnsi="Arial"/>
          <w:sz w:val="16"/>
          <w:szCs w:val="16"/>
          <w:color w:val="auto"/>
        </w:rPr>
        <w:t>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including time-based restricted awards, from any employee who is found to have engaged in wrongdoing in connection with corporate criminal misconduct. This second policy applies in situations not covered by the Executive Officer Recovery Policy or the listing standards issued under the Dodd Frank Act and applies to non-executives as well as to executive officers.</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Equity Award Timing Policies and Practices</w:t>
      </w:r>
    </w:p>
    <w:p>
      <w:pPr>
        <w:spacing w:after="0" w:line="122" w:lineRule="exact"/>
        <w:rPr>
          <w:sz w:val="20"/>
          <w:szCs w:val="20"/>
          <w:color w:val="auto"/>
        </w:rPr>
      </w:pPr>
    </w:p>
    <w:p>
      <w:pPr>
        <w:ind w:left="740" w:right="20"/>
        <w:spacing w:after="0" w:line="254" w:lineRule="auto"/>
        <w:rPr>
          <w:sz w:val="20"/>
          <w:szCs w:val="20"/>
          <w:color w:val="auto"/>
        </w:rPr>
      </w:pPr>
      <w:r>
        <w:rPr>
          <w:rFonts w:ascii="Arial" w:cs="Arial" w:eastAsia="Arial" w:hAnsi="Arial"/>
          <w:sz w:val="16"/>
          <w:szCs w:val="16"/>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Human Capital and Compensation Committee has historically granted such awards on a predetermined annual schedule. In 2024, we did not grant new awards of stock options, stock appreciation rights, or similar option-like instruments to our named executive officers.</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Executive Stock Ownership Guidelines</w:t>
      </w:r>
    </w:p>
    <w:p>
      <w:pPr>
        <w:spacing w:after="0" w:line="122" w:lineRule="exact"/>
        <w:rPr>
          <w:sz w:val="20"/>
          <w:szCs w:val="20"/>
          <w:color w:val="auto"/>
        </w:rPr>
      </w:pPr>
    </w:p>
    <w:p>
      <w:pPr>
        <w:jc w:val="both"/>
        <w:ind w:left="740" w:right="580"/>
        <w:spacing w:after="0" w:line="266" w:lineRule="auto"/>
        <w:rPr>
          <w:sz w:val="20"/>
          <w:szCs w:val="20"/>
          <w:color w:val="auto"/>
        </w:rPr>
      </w:pPr>
      <w:r>
        <w:rPr>
          <w:rFonts w:ascii="Arial" w:cs="Arial" w:eastAsia="Arial" w:hAnsi="Arial"/>
          <w:sz w:val="16"/>
          <w:szCs w:val="16"/>
          <w:color w:val="auto"/>
        </w:rPr>
        <w:t>We believe that our Executive Stock Ownership Guidelines align the interests of our officers, including our named executive officers, with the interests of shareholders. The guidelines provide that our executives maintain common stock ownership as follows:</w:t>
      </w:r>
    </w:p>
    <w:p>
      <w:pPr>
        <w:spacing w:after="0" w:line="100"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3720" w:type="dxa"/>
            <w:vAlign w:val="bottom"/>
            <w:shd w:val="clear" w:color="auto" w:fill="003763"/>
          </w:tcPr>
          <w:p>
            <w:pPr>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EXECUTIVE</w:t>
            </w:r>
          </w:p>
        </w:tc>
        <w:tc>
          <w:tcPr>
            <w:tcW w:w="1080" w:type="dxa"/>
            <w:vAlign w:val="bottom"/>
            <w:shd w:val="clear" w:color="auto" w:fill="003763"/>
          </w:tcPr>
          <w:p>
            <w:pPr>
              <w:spacing w:after="0"/>
              <w:rPr>
                <w:sz w:val="24"/>
                <w:szCs w:val="24"/>
                <w:color w:val="auto"/>
              </w:rPr>
            </w:pPr>
          </w:p>
        </w:tc>
        <w:tc>
          <w:tcPr>
            <w:tcW w:w="440" w:type="dxa"/>
            <w:vAlign w:val="bottom"/>
            <w:shd w:val="clear" w:color="auto" w:fill="003763"/>
          </w:tcPr>
          <w:p>
            <w:pPr>
              <w:spacing w:after="0"/>
              <w:rPr>
                <w:sz w:val="24"/>
                <w:szCs w:val="24"/>
                <w:color w:val="auto"/>
              </w:rPr>
            </w:pPr>
          </w:p>
        </w:tc>
        <w:tc>
          <w:tcPr>
            <w:tcW w:w="500" w:type="dxa"/>
            <w:vAlign w:val="bottom"/>
            <w:shd w:val="clear" w:color="auto" w:fill="003763"/>
          </w:tcPr>
          <w:p>
            <w:pPr>
              <w:ind w:left="240"/>
              <w:spacing w:after="0"/>
              <w:rPr>
                <w:sz w:val="20"/>
                <w:szCs w:val="20"/>
                <w:color w:val="auto"/>
              </w:rPr>
            </w:pPr>
            <w:r>
              <w:rPr>
                <w:rFonts w:ascii="Arial" w:cs="Arial" w:eastAsia="Arial" w:hAnsi="Arial"/>
                <w:sz w:val="13"/>
                <w:szCs w:val="13"/>
                <w:b w:val="1"/>
                <w:bCs w:val="1"/>
                <w:color w:val="FFFFFF"/>
              </w:rPr>
              <w:t>​ ​</w:t>
            </w:r>
          </w:p>
        </w:tc>
        <w:tc>
          <w:tcPr>
            <w:tcW w:w="33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GUIDELINES FOR OWNERSHIP OF COMMON STOCK</w:t>
            </w:r>
          </w:p>
        </w:tc>
        <w:tc>
          <w:tcPr>
            <w:tcW w:w="20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r>
      <w:tr>
        <w:trPr>
          <w:trHeight w:val="297"/>
        </w:trPr>
        <w:tc>
          <w:tcPr>
            <w:tcW w:w="3720" w:type="dxa"/>
            <w:vAlign w:val="bottom"/>
            <w:tcBorders>
              <w:bottom w:val="single" w:sz="8" w:color="CCCCCC"/>
            </w:tcBorders>
          </w:tcPr>
          <w:p>
            <w:pPr>
              <w:spacing w:after="0" w:line="297"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b w:val="1"/>
                <w:bCs w:val="1"/>
                <w:color w:val="auto"/>
              </w:rPr>
              <w:t xml:space="preserve"> President and Chief Executive Officer</w:t>
            </w:r>
          </w:p>
        </w:tc>
        <w:tc>
          <w:tcPr>
            <w:tcW w:w="1520" w:type="dxa"/>
            <w:vAlign w:val="bottom"/>
            <w:tcBorders>
              <w:bottom w:val="single" w:sz="8" w:color="CCCCCC"/>
            </w:tcBorders>
            <w:gridSpan w:val="2"/>
          </w:tcPr>
          <w:p>
            <w:pPr>
              <w:jc w:val="right"/>
              <w:ind w:right="164"/>
              <w:spacing w:after="0" w:line="297" w:lineRule="exact"/>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30"/>
                <w:szCs w:val="30"/>
                <w:b w:val="1"/>
                <w:bCs w:val="1"/>
                <w:color w:val="auto"/>
                <w:vertAlign w:val="subscript"/>
              </w:rPr>
              <w:t>5X</w:t>
            </w:r>
          </w:p>
        </w:tc>
        <w:tc>
          <w:tcPr>
            <w:tcW w:w="500" w:type="dxa"/>
            <w:vAlign w:val="bottom"/>
            <w:tcBorders>
              <w:bottom w:val="single" w:sz="8" w:color="CCCCCC"/>
            </w:tcBorders>
          </w:tcPr>
          <w:p>
            <w:pPr>
              <w:ind w:left="240"/>
              <w:spacing w:after="0"/>
              <w:rPr>
                <w:sz w:val="20"/>
                <w:szCs w:val="20"/>
                <w:color w:val="auto"/>
              </w:rPr>
            </w:pPr>
            <w:r>
              <w:rPr>
                <w:rFonts w:ascii="Arial" w:cs="Arial" w:eastAsia="Arial" w:hAnsi="Arial"/>
                <w:sz w:val="15"/>
                <w:szCs w:val="15"/>
                <w:b w:val="1"/>
                <w:bCs w:val="1"/>
                <w:color w:val="auto"/>
              </w:rPr>
              <w:t>​ ​</w:t>
            </w:r>
          </w:p>
        </w:tc>
        <w:tc>
          <w:tcPr>
            <w:tcW w:w="33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Market value of five times base salary</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b w:val="1"/>
                <w:bCs w:val="1"/>
                <w:color w:val="auto"/>
              </w:rPr>
              <w:t>​</w:t>
            </w:r>
          </w:p>
        </w:tc>
      </w:tr>
      <w:tr>
        <w:trPr>
          <w:trHeight w:val="277"/>
        </w:trPr>
        <w:tc>
          <w:tcPr>
            <w:tcW w:w="3720" w:type="dxa"/>
            <w:vAlign w:val="bottom"/>
            <w:tcBorders>
              <w:bottom w:val="single" w:sz="8" w:color="CCCCCC"/>
            </w:tcBorders>
            <w:shd w:val="clear" w:color="auto" w:fill="F2F2F2"/>
          </w:tcPr>
          <w:p>
            <w:pPr>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b w:val="1"/>
                <w:bCs w:val="1"/>
                <w:color w:val="auto"/>
              </w:rPr>
              <w:t xml:space="preserve"> Executive Vice Presidents</w:t>
            </w:r>
          </w:p>
        </w:tc>
        <w:tc>
          <w:tcPr>
            <w:tcW w:w="1080" w:type="dxa"/>
            <w:vAlign w:val="bottom"/>
            <w:tcBorders>
              <w:bottom w:val="single" w:sz="8" w:color="CCCCCC"/>
            </w:tcBorders>
            <w:shd w:val="clear" w:color="auto" w:fill="F2F2F2"/>
          </w:tcPr>
          <w:p>
            <w:pPr>
              <w:ind w:left="880"/>
              <w:spacing w:after="0"/>
              <w:rPr>
                <w:sz w:val="20"/>
                <w:szCs w:val="20"/>
                <w:color w:val="auto"/>
              </w:rPr>
            </w:pPr>
            <w:r>
              <w:rPr>
                <w:rFonts w:ascii="Arial" w:cs="Arial" w:eastAsia="Arial" w:hAnsi="Arial"/>
                <w:sz w:val="15"/>
                <w:szCs w:val="15"/>
                <w:color w:val="auto"/>
              </w:rPr>
              <w:t>​ ​</w:t>
            </w:r>
          </w:p>
        </w:tc>
        <w:tc>
          <w:tcPr>
            <w:tcW w:w="440" w:type="dxa"/>
            <w:vAlign w:val="bottom"/>
            <w:tcBorders>
              <w:bottom w:val="single" w:sz="8" w:color="CCCCCC"/>
            </w:tcBorders>
            <w:shd w:val="clear" w:color="auto" w:fill="F2F2F2"/>
          </w:tcPr>
          <w:p>
            <w:pPr>
              <w:jc w:val="right"/>
              <w:ind w:right="164"/>
              <w:spacing w:after="0"/>
              <w:rPr>
                <w:sz w:val="20"/>
                <w:szCs w:val="20"/>
                <w:color w:val="auto"/>
              </w:rPr>
            </w:pPr>
            <w:r>
              <w:rPr>
                <w:rFonts w:ascii="Arial" w:cs="Arial" w:eastAsia="Arial" w:hAnsi="Arial"/>
                <w:sz w:val="15"/>
                <w:szCs w:val="15"/>
                <w:b w:val="1"/>
                <w:bCs w:val="1"/>
                <w:color w:val="auto"/>
                <w:w w:val="97"/>
              </w:rPr>
              <w:t>3X</w:t>
            </w:r>
          </w:p>
        </w:tc>
        <w:tc>
          <w:tcPr>
            <w:tcW w:w="500" w:type="dxa"/>
            <w:vAlign w:val="bottom"/>
            <w:tcBorders>
              <w:bottom w:val="single" w:sz="8" w:color="CCCCCC"/>
            </w:tcBorders>
            <w:shd w:val="clear" w:color="auto" w:fill="F2F2F2"/>
          </w:tcPr>
          <w:p>
            <w:pPr>
              <w:ind w:left="240"/>
              <w:spacing w:after="0"/>
              <w:rPr>
                <w:sz w:val="20"/>
                <w:szCs w:val="20"/>
                <w:color w:val="auto"/>
              </w:rPr>
            </w:pPr>
            <w:r>
              <w:rPr>
                <w:rFonts w:ascii="Arial" w:cs="Arial" w:eastAsia="Arial" w:hAnsi="Arial"/>
                <w:sz w:val="15"/>
                <w:szCs w:val="15"/>
                <w:color w:val="auto"/>
              </w:rPr>
              <w:t>​ ​</w:t>
            </w:r>
          </w:p>
        </w:tc>
        <w:tc>
          <w:tcPr>
            <w:tcW w:w="3320" w:type="dxa"/>
            <w:vAlign w:val="bottom"/>
            <w:tcBorders>
              <w:bottom w:val="single" w:sz="8" w:color="CCCCCC"/>
            </w:tcBorders>
            <w:shd w:val="clear" w:color="auto" w:fill="F2F2F2"/>
          </w:tcPr>
          <w:p>
            <w:pPr>
              <w:jc w:val="center"/>
              <w:spacing w:after="0"/>
              <w:rPr>
                <w:sz w:val="20"/>
                <w:szCs w:val="20"/>
                <w:color w:val="auto"/>
              </w:rPr>
            </w:pPr>
            <w:r>
              <w:rPr>
                <w:rFonts w:ascii="Arial" w:cs="Arial" w:eastAsia="Arial" w:hAnsi="Arial"/>
                <w:sz w:val="15"/>
                <w:szCs w:val="15"/>
                <w:color w:val="auto"/>
              </w:rPr>
              <w:t>Market value of three times base salary</w:t>
            </w:r>
          </w:p>
        </w:tc>
        <w:tc>
          <w:tcPr>
            <w:tcW w:w="20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5"/>
                <w:szCs w:val="15"/>
                <w:color w:val="auto"/>
              </w:rPr>
              <w:t>​</w:t>
            </w:r>
          </w:p>
        </w:tc>
      </w:tr>
      <w:tr>
        <w:trPr>
          <w:trHeight w:val="277"/>
        </w:trPr>
        <w:tc>
          <w:tcPr>
            <w:tcW w:w="3720" w:type="dxa"/>
            <w:vAlign w:val="bottom"/>
            <w:tcBorders>
              <w:bottom w:val="single" w:sz="8" w:color="CCCCCC"/>
            </w:tcBorders>
          </w:tcPr>
          <w:p>
            <w:pPr>
              <w:spacing w:after="0" w:line="276"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b w:val="1"/>
                <w:bCs w:val="1"/>
                <w:color w:val="auto"/>
              </w:rPr>
              <w:t xml:space="preserve"> Senior Vice Presidents</w:t>
            </w:r>
          </w:p>
        </w:tc>
        <w:tc>
          <w:tcPr>
            <w:tcW w:w="1080" w:type="dxa"/>
            <w:vAlign w:val="bottom"/>
            <w:tcBorders>
              <w:bottom w:val="single" w:sz="8" w:color="CCCCCC"/>
            </w:tcBorders>
          </w:tcPr>
          <w:p>
            <w:pPr>
              <w:ind w:left="880"/>
              <w:spacing w:after="0"/>
              <w:rPr>
                <w:sz w:val="20"/>
                <w:szCs w:val="20"/>
                <w:color w:val="auto"/>
              </w:rPr>
            </w:pPr>
            <w:r>
              <w:rPr>
                <w:rFonts w:ascii="Arial" w:cs="Arial" w:eastAsia="Arial" w:hAnsi="Arial"/>
                <w:sz w:val="15"/>
                <w:szCs w:val="15"/>
                <w:color w:val="auto"/>
              </w:rPr>
              <w:t>​ ​</w:t>
            </w:r>
          </w:p>
        </w:tc>
        <w:tc>
          <w:tcPr>
            <w:tcW w:w="440" w:type="dxa"/>
            <w:vAlign w:val="bottom"/>
            <w:tcBorders>
              <w:bottom w:val="single" w:sz="8" w:color="CCCCCC"/>
            </w:tcBorders>
          </w:tcPr>
          <w:p>
            <w:pPr>
              <w:jc w:val="right"/>
              <w:ind w:right="164"/>
              <w:spacing w:after="0"/>
              <w:rPr>
                <w:sz w:val="20"/>
                <w:szCs w:val="20"/>
                <w:color w:val="auto"/>
              </w:rPr>
            </w:pPr>
            <w:r>
              <w:rPr>
                <w:rFonts w:ascii="Arial" w:cs="Arial" w:eastAsia="Arial" w:hAnsi="Arial"/>
                <w:sz w:val="15"/>
                <w:szCs w:val="15"/>
                <w:b w:val="1"/>
                <w:bCs w:val="1"/>
                <w:color w:val="auto"/>
                <w:w w:val="97"/>
              </w:rPr>
              <w:t>2X</w:t>
            </w:r>
          </w:p>
        </w:tc>
        <w:tc>
          <w:tcPr>
            <w:tcW w:w="500" w:type="dxa"/>
            <w:vAlign w:val="bottom"/>
            <w:tcBorders>
              <w:bottom w:val="single" w:sz="8" w:color="CCCCCC"/>
            </w:tcBorders>
          </w:tcPr>
          <w:p>
            <w:pPr>
              <w:ind w:left="240"/>
              <w:spacing w:after="0"/>
              <w:rPr>
                <w:sz w:val="20"/>
                <w:szCs w:val="20"/>
                <w:color w:val="auto"/>
              </w:rPr>
            </w:pPr>
            <w:r>
              <w:rPr>
                <w:rFonts w:ascii="Arial" w:cs="Arial" w:eastAsia="Arial" w:hAnsi="Arial"/>
                <w:sz w:val="15"/>
                <w:szCs w:val="15"/>
                <w:color w:val="auto"/>
              </w:rPr>
              <w:t>​ ​</w:t>
            </w:r>
          </w:p>
        </w:tc>
        <w:tc>
          <w:tcPr>
            <w:tcW w:w="3320" w:type="dxa"/>
            <w:vAlign w:val="bottom"/>
            <w:tcBorders>
              <w:bottom w:val="single" w:sz="8" w:color="CCCCCC"/>
            </w:tcBorders>
          </w:tcPr>
          <w:p>
            <w:pPr>
              <w:jc w:val="center"/>
              <w:spacing w:after="0"/>
              <w:rPr>
                <w:sz w:val="20"/>
                <w:szCs w:val="20"/>
                <w:color w:val="auto"/>
              </w:rPr>
            </w:pPr>
            <w:r>
              <w:rPr>
                <w:rFonts w:ascii="Arial" w:cs="Arial" w:eastAsia="Arial" w:hAnsi="Arial"/>
                <w:sz w:val="15"/>
                <w:szCs w:val="15"/>
                <w:color w:val="auto"/>
              </w:rPr>
              <w:t>Market value of two times base salary</w:t>
            </w:r>
          </w:p>
        </w:tc>
        <w:tc>
          <w:tcPr>
            <w:tcW w:w="200" w:type="dxa"/>
            <w:vAlign w:val="bottom"/>
            <w:tcBorders>
              <w:bottom w:val="single" w:sz="8" w:color="CCCCCC"/>
            </w:tcBorders>
          </w:tcPr>
          <w:p>
            <w:pPr>
              <w:ind w:left="80"/>
              <w:spacing w:after="0"/>
              <w:rPr>
                <w:sz w:val="20"/>
                <w:szCs w:val="20"/>
                <w:color w:val="auto"/>
              </w:rPr>
            </w:pPr>
            <w:r>
              <w:rPr>
                <w:rFonts w:ascii="Arial" w:cs="Arial" w:eastAsia="Arial" w:hAnsi="Arial"/>
                <w:sz w:val="15"/>
                <w:szCs w:val="15"/>
                <w:color w:val="auto"/>
              </w:rPr>
              <w:t>​</w:t>
            </w:r>
          </w:p>
        </w:tc>
      </w:tr>
    </w:tbl>
    <w:p>
      <w:pPr>
        <w:spacing w:after="0" w:line="283" w:lineRule="exact"/>
        <w:rPr>
          <w:sz w:val="20"/>
          <w:szCs w:val="20"/>
          <w:color w:val="auto"/>
        </w:rPr>
      </w:pPr>
    </w:p>
    <w:p>
      <w:pPr>
        <w:ind w:left="740" w:right="80"/>
        <w:spacing w:after="0" w:line="251" w:lineRule="auto"/>
        <w:rPr>
          <w:sz w:val="20"/>
          <w:szCs w:val="20"/>
          <w:color w:val="auto"/>
        </w:rPr>
      </w:pPr>
      <w:r>
        <w:rPr>
          <w:rFonts w:ascii="Arial" w:cs="Arial" w:eastAsia="Arial" w:hAnsi="Arial"/>
          <w:sz w:val="16"/>
          <w:szCs w:val="16"/>
          <w:color w:val="auto"/>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Human Capital and Compensation Committee reviews our officers’ stock holdings annually to monitor compliance with these guidelines. Pursuant to our Insider Trading Policy, we also prohibit our employees and directors from holding CenterPoint Energy securities in margin accounts or pledging CenterPoint Energy securities as collateral for a loan.</w:t>
      </w:r>
    </w:p>
    <w:p>
      <w:pPr>
        <w:spacing w:after="0" w:line="118" w:lineRule="exact"/>
        <w:rPr>
          <w:sz w:val="20"/>
          <w:szCs w:val="20"/>
          <w:color w:val="auto"/>
        </w:rPr>
      </w:pPr>
    </w:p>
    <w:p>
      <w:pPr>
        <w:ind w:left="740" w:right="80"/>
        <w:spacing w:after="0" w:line="266" w:lineRule="auto"/>
        <w:rPr>
          <w:sz w:val="20"/>
          <w:szCs w:val="20"/>
          <w:color w:val="auto"/>
        </w:rPr>
      </w:pPr>
      <w:r>
        <w:rPr>
          <w:rFonts w:ascii="Arial" w:cs="Arial" w:eastAsia="Arial" w:hAnsi="Arial"/>
          <w:sz w:val="16"/>
          <w:szCs w:val="16"/>
          <w:color w:val="auto"/>
        </w:rPr>
        <w:t>Although we do not conduct formal benchmarking studies of ownership guidelines, the ownership guidelines and the administration of the program are reviewed annually by the Human Capital and Compensation Committee with advice from the Human Capital and Compensation Committee’s independent compensation consultant.</w:t>
      </w:r>
    </w:p>
    <w:p>
      <w:pPr>
        <w:sectPr>
          <w:pgSz w:w="11900" w:h="16838" w:orient="portrait"/>
          <w:cols w:equalWidth="0" w:num="1">
            <w:col w:w="10020"/>
          </w:cols>
          <w:pgMar w:left="580" w:top="97" w:right="1299" w:bottom="1440" w:gutter="0" w:footer="0" w:header="0"/>
        </w:sectPr>
      </w:pPr>
    </w:p>
    <w:p>
      <w:pPr>
        <w:spacing w:after="0" w:line="208"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Tax Considerations</w:t>
      </w:r>
    </w:p>
    <w:p>
      <w:pPr>
        <w:spacing w:after="0" w:line="122" w:lineRule="exact"/>
        <w:rPr>
          <w:sz w:val="20"/>
          <w:szCs w:val="20"/>
          <w:color w:val="auto"/>
        </w:rPr>
      </w:pPr>
    </w:p>
    <w:p>
      <w:pPr>
        <w:ind w:left="740" w:right="160"/>
        <w:spacing w:after="0" w:line="262" w:lineRule="auto"/>
        <w:rPr>
          <w:sz w:val="20"/>
          <w:szCs w:val="20"/>
          <w:color w:val="auto"/>
        </w:rPr>
      </w:pPr>
      <w:r>
        <w:rPr>
          <w:rFonts w:ascii="Arial" w:cs="Arial" w:eastAsia="Arial" w:hAnsi="Arial"/>
          <w:sz w:val="16"/>
          <w:szCs w:val="16"/>
          <w:color w:val="auto"/>
        </w:rPr>
        <w:t>Section 162(m) of the Internal Revenue Code generally limits the tax deductibility of compensation in excess of $1 million for any covered employee.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exception for qualified performance-based compensation. The Human Capital and Compensation Committee believes that, in establishing the compensation program for our executives, the potential deductibility of the compensation should be only one of a number of relevant factors taken into consideration. The Human Capital and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p>
    <w:p>
      <w:pPr>
        <w:spacing w:after="0" w:line="109" w:lineRule="exact"/>
        <w:rPr>
          <w:sz w:val="20"/>
          <w:szCs w:val="20"/>
          <w:color w:val="auto"/>
        </w:rPr>
      </w:pPr>
    </w:p>
    <w:p>
      <w:pPr>
        <w:jc w:val="both"/>
        <w:ind w:left="740" w:right="320"/>
        <w:spacing w:after="0" w:line="301" w:lineRule="auto"/>
        <w:rPr>
          <w:sz w:val="20"/>
          <w:szCs w:val="20"/>
          <w:color w:val="auto"/>
        </w:rPr>
      </w:pPr>
      <w:r>
        <w:rPr>
          <w:rFonts w:ascii="Arial" w:cs="Arial" w:eastAsia="Arial" w:hAnsi="Arial"/>
          <w:sz w:val="15"/>
          <w:szCs w:val="15"/>
          <w:color w:val="auto"/>
        </w:rPr>
        <w:t>Our change in control plan described above for our named executive officers does not provide a gross-up payment to cover any excise tax an executive is determined to owe on an “excess parachute payment.” For additional discussion about our change in control plan, refer to “Executive Compensation Tables—Potential Payments upon Change in Control or Termination.”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Executive Compensation Tables</w:t>
      </w: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tables show compensation information: (i) for the periods ended December 31, 2024, 2023, and 2022, for</w:t>
      </w:r>
    </w:p>
    <w:p>
      <w:pPr>
        <w:spacing w:after="0" w:line="31" w:lineRule="exact"/>
        <w:rPr>
          <w:sz w:val="20"/>
          <w:szCs w:val="20"/>
          <w:color w:val="auto"/>
        </w:rPr>
      </w:pPr>
    </w:p>
    <w:p>
      <w:pPr>
        <w:ind w:left="740" w:right="60" w:hanging="9"/>
        <w:spacing w:after="0" w:line="275" w:lineRule="auto"/>
        <w:tabs>
          <w:tab w:leader="none" w:pos="97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Jason P. Wells, our President and Chief Executive Officer who previously served as President and Chief Operating Officer during 2023 and 2024 as well as Chief Financial Officer until his replacement was appointed in May 2023, (b) Monica Karuturi, our Executive Vice President and General Counsel, and (c) David J. Lesar, who served as Chief Executive Officer until January 5, 2024; (ii) for the period ended December 31, 2024 and 2023, (x) Christopher A. Foster, who was appointed in May 2023 as our Executive Vice President and Chief Financial Officer, (y) Lynne Harkel-Rumford, our former Executive Vice President and Chief Human Resources Officer, and (z) Jason M. Ryan, our Executive Vice President, Regulatory Services and Government Affairs; and</w:t>
      </w:r>
    </w:p>
    <w:p>
      <w:pPr>
        <w:spacing w:after="0" w:line="2" w:lineRule="exact"/>
        <w:rPr>
          <w:rFonts w:ascii="Arial" w:cs="Arial" w:eastAsia="Arial" w:hAnsi="Arial"/>
          <w:sz w:val="15"/>
          <w:szCs w:val="15"/>
          <w:color w:val="auto"/>
        </w:rPr>
      </w:pPr>
    </w:p>
    <w:p>
      <w:pPr>
        <w:ind w:left="980" w:hanging="249"/>
        <w:spacing w:after="0"/>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the period ended December 31, 2024, Lynnae K. Wilson, our former Senior Vice President, Electric Business.</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Summary Compensation Table for Fiscal Year 2024</w:t>
      </w:r>
    </w:p>
    <w:p>
      <w:pPr>
        <w:spacing w:after="0" w:line="17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540" w:type="dxa"/>
            <w:vAlign w:val="bottom"/>
            <w:shd w:val="clear" w:color="auto" w:fill="003763"/>
          </w:tcPr>
          <w:p>
            <w:pPr>
              <w:spacing w:after="0"/>
              <w:rPr>
                <w:sz w:val="13"/>
                <w:szCs w:val="13"/>
                <w:color w:val="auto"/>
              </w:rPr>
            </w:pPr>
          </w:p>
        </w:tc>
        <w:tc>
          <w:tcPr>
            <w:tcW w:w="680" w:type="dxa"/>
            <w:vAlign w:val="bottom"/>
            <w:shd w:val="clear" w:color="auto" w:fill="003763"/>
          </w:tcPr>
          <w:p>
            <w:pPr>
              <w:spacing w:after="0"/>
              <w:rPr>
                <w:sz w:val="13"/>
                <w:szCs w:val="13"/>
                <w:color w:val="auto"/>
              </w:rPr>
            </w:pPr>
          </w:p>
        </w:tc>
        <w:tc>
          <w:tcPr>
            <w:tcW w:w="660" w:type="dxa"/>
            <w:vAlign w:val="bottom"/>
            <w:shd w:val="clear" w:color="auto" w:fill="003763"/>
          </w:tcPr>
          <w:p>
            <w:pPr>
              <w:spacing w:after="0"/>
              <w:rPr>
                <w:sz w:val="13"/>
                <w:szCs w:val="13"/>
                <w:color w:val="auto"/>
              </w:rPr>
            </w:pPr>
          </w:p>
        </w:tc>
        <w:tc>
          <w:tcPr>
            <w:tcW w:w="740" w:type="dxa"/>
            <w:vAlign w:val="bottom"/>
            <w:shd w:val="clear" w:color="auto" w:fill="003763"/>
          </w:tcPr>
          <w:p>
            <w:pPr>
              <w:spacing w:after="0"/>
              <w:rPr>
                <w:sz w:val="13"/>
                <w:szCs w:val="13"/>
                <w:color w:val="auto"/>
              </w:rPr>
            </w:pPr>
          </w:p>
        </w:tc>
        <w:tc>
          <w:tcPr>
            <w:tcW w:w="720" w:type="dxa"/>
            <w:vAlign w:val="bottom"/>
            <w:shd w:val="clear" w:color="auto" w:fill="003763"/>
          </w:tcPr>
          <w:p>
            <w:pPr>
              <w:spacing w:after="0"/>
              <w:rPr>
                <w:sz w:val="13"/>
                <w:szCs w:val="13"/>
                <w:color w:val="auto"/>
              </w:rPr>
            </w:pPr>
          </w:p>
        </w:tc>
        <w:tc>
          <w:tcPr>
            <w:tcW w:w="700" w:type="dxa"/>
            <w:vAlign w:val="bottom"/>
            <w:shd w:val="clear" w:color="auto" w:fill="003763"/>
          </w:tcPr>
          <w:p>
            <w:pPr>
              <w:spacing w:after="0"/>
              <w:rPr>
                <w:sz w:val="13"/>
                <w:szCs w:val="13"/>
                <w:color w:val="auto"/>
              </w:rPr>
            </w:pPr>
          </w:p>
        </w:tc>
        <w:tc>
          <w:tcPr>
            <w:tcW w:w="1120" w:type="dxa"/>
            <w:vAlign w:val="bottom"/>
            <w:shd w:val="clear" w:color="auto" w:fill="003763"/>
          </w:tcPr>
          <w:p>
            <w:pPr>
              <w:spacing w:after="0"/>
              <w:rPr>
                <w:sz w:val="13"/>
                <w:szCs w:val="13"/>
                <w:color w:val="auto"/>
              </w:rPr>
            </w:pP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240" w:type="dxa"/>
            <w:vAlign w:val="bottom"/>
            <w:shd w:val="clear" w:color="auto" w:fill="003763"/>
          </w:tcPr>
          <w:p>
            <w:pPr>
              <w:spacing w:after="0"/>
              <w:rPr>
                <w:sz w:val="13"/>
                <w:szCs w:val="13"/>
                <w:color w:val="auto"/>
              </w:rPr>
            </w:pPr>
          </w:p>
        </w:tc>
        <w:tc>
          <w:tcPr>
            <w:tcW w:w="840" w:type="dxa"/>
            <w:vAlign w:val="bottom"/>
            <w:shd w:val="clear" w:color="auto" w:fill="003763"/>
          </w:tcPr>
          <w:p>
            <w:pPr>
              <w:spacing w:after="0"/>
              <w:rPr>
                <w:sz w:val="13"/>
                <w:szCs w:val="13"/>
                <w:color w:val="auto"/>
              </w:rPr>
            </w:pPr>
          </w:p>
        </w:tc>
      </w:tr>
      <w:tr>
        <w:trPr>
          <w:trHeight w:val="148"/>
        </w:trPr>
        <w:tc>
          <w:tcPr>
            <w:tcW w:w="1540" w:type="dxa"/>
            <w:vAlign w:val="bottom"/>
            <w:shd w:val="clear" w:color="auto" w:fill="003763"/>
          </w:tcPr>
          <w:p>
            <w:pPr>
              <w:spacing w:after="0"/>
              <w:rPr>
                <w:sz w:val="12"/>
                <w:szCs w:val="12"/>
                <w:color w:val="auto"/>
              </w:rPr>
            </w:pPr>
          </w:p>
        </w:tc>
        <w:tc>
          <w:tcPr>
            <w:tcW w:w="68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740" w:type="dxa"/>
            <w:vAlign w:val="bottom"/>
            <w:shd w:val="clear" w:color="auto" w:fill="003763"/>
          </w:tcPr>
          <w:p>
            <w:pPr>
              <w:spacing w:after="0"/>
              <w:rPr>
                <w:sz w:val="12"/>
                <w:szCs w:val="12"/>
                <w:color w:val="auto"/>
              </w:rPr>
            </w:pPr>
          </w:p>
        </w:tc>
        <w:tc>
          <w:tcPr>
            <w:tcW w:w="72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120" w:type="dxa"/>
            <w:vAlign w:val="bottom"/>
            <w:shd w:val="clear" w:color="auto" w:fill="003763"/>
          </w:tcPr>
          <w:p>
            <w:pPr>
              <w:spacing w:after="0"/>
              <w:rPr>
                <w:sz w:val="12"/>
                <w:szCs w:val="12"/>
                <w:color w:val="auto"/>
              </w:rPr>
            </w:pP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Pension</w:t>
            </w:r>
          </w:p>
        </w:tc>
        <w:tc>
          <w:tcPr>
            <w:tcW w:w="1240" w:type="dxa"/>
            <w:vAlign w:val="bottom"/>
            <w:shd w:val="clear" w:color="auto" w:fill="003763"/>
          </w:tcPr>
          <w:p>
            <w:pPr>
              <w:spacing w:after="0"/>
              <w:rPr>
                <w:sz w:val="12"/>
                <w:szCs w:val="12"/>
                <w:color w:val="auto"/>
              </w:rPr>
            </w:pPr>
          </w:p>
        </w:tc>
        <w:tc>
          <w:tcPr>
            <w:tcW w:w="840" w:type="dxa"/>
            <w:vAlign w:val="bottom"/>
            <w:shd w:val="clear" w:color="auto" w:fill="003763"/>
          </w:tcPr>
          <w:p>
            <w:pPr>
              <w:spacing w:after="0"/>
              <w:rPr>
                <w:sz w:val="12"/>
                <w:szCs w:val="12"/>
                <w:color w:val="auto"/>
              </w:rPr>
            </w:pPr>
          </w:p>
        </w:tc>
      </w:tr>
      <w:tr>
        <w:trPr>
          <w:trHeight w:val="162"/>
        </w:trPr>
        <w:tc>
          <w:tcPr>
            <w:tcW w:w="1540" w:type="dxa"/>
            <w:vAlign w:val="bottom"/>
            <w:shd w:val="clear" w:color="auto" w:fill="003763"/>
          </w:tcPr>
          <w:p>
            <w:pPr>
              <w:spacing w:after="0"/>
              <w:rPr>
                <w:sz w:val="14"/>
                <w:szCs w:val="14"/>
                <w:color w:val="auto"/>
              </w:rPr>
            </w:pPr>
          </w:p>
        </w:tc>
        <w:tc>
          <w:tcPr>
            <w:tcW w:w="680" w:type="dxa"/>
            <w:vAlign w:val="bottom"/>
            <w:shd w:val="clear" w:color="auto" w:fill="003763"/>
          </w:tcPr>
          <w:p>
            <w:pPr>
              <w:spacing w:after="0"/>
              <w:rPr>
                <w:sz w:val="14"/>
                <w:szCs w:val="14"/>
                <w:color w:val="auto"/>
              </w:rPr>
            </w:pPr>
          </w:p>
        </w:tc>
        <w:tc>
          <w:tcPr>
            <w:tcW w:w="660" w:type="dxa"/>
            <w:vAlign w:val="bottom"/>
            <w:shd w:val="clear" w:color="auto" w:fill="003763"/>
          </w:tcPr>
          <w:p>
            <w:pPr>
              <w:spacing w:after="0"/>
              <w:rPr>
                <w:sz w:val="14"/>
                <w:szCs w:val="14"/>
                <w:color w:val="auto"/>
              </w:rPr>
            </w:pPr>
          </w:p>
        </w:tc>
        <w:tc>
          <w:tcPr>
            <w:tcW w:w="740" w:type="dxa"/>
            <w:vAlign w:val="bottom"/>
            <w:shd w:val="clear" w:color="auto" w:fill="003763"/>
          </w:tcPr>
          <w:p>
            <w:pPr>
              <w:spacing w:after="0"/>
              <w:rPr>
                <w:sz w:val="14"/>
                <w:szCs w:val="14"/>
                <w:color w:val="auto"/>
              </w:rPr>
            </w:pPr>
          </w:p>
        </w:tc>
        <w:tc>
          <w:tcPr>
            <w:tcW w:w="72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1120" w:type="dxa"/>
            <w:vAlign w:val="bottom"/>
            <w:shd w:val="clear" w:color="auto" w:fill="003763"/>
          </w:tcPr>
          <w:p>
            <w:pPr>
              <w:spacing w:after="0"/>
              <w:rPr>
                <w:sz w:val="14"/>
                <w:szCs w:val="14"/>
                <w:color w:val="auto"/>
              </w:rPr>
            </w:pP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Value and</w:t>
            </w:r>
          </w:p>
        </w:tc>
        <w:tc>
          <w:tcPr>
            <w:tcW w:w="1240" w:type="dxa"/>
            <w:vAlign w:val="bottom"/>
            <w:shd w:val="clear" w:color="auto" w:fill="003763"/>
          </w:tcPr>
          <w:p>
            <w:pPr>
              <w:spacing w:after="0"/>
              <w:rPr>
                <w:sz w:val="14"/>
                <w:szCs w:val="14"/>
                <w:color w:val="auto"/>
              </w:rPr>
            </w:pPr>
          </w:p>
        </w:tc>
        <w:tc>
          <w:tcPr>
            <w:tcW w:w="840" w:type="dxa"/>
            <w:vAlign w:val="bottom"/>
            <w:shd w:val="clear" w:color="auto" w:fill="003763"/>
          </w:tcPr>
          <w:p>
            <w:pPr>
              <w:spacing w:after="0"/>
              <w:rPr>
                <w:sz w:val="14"/>
                <w:szCs w:val="14"/>
                <w:color w:val="auto"/>
              </w:rPr>
            </w:pPr>
          </w:p>
        </w:tc>
      </w:tr>
      <w:tr>
        <w:trPr>
          <w:trHeight w:val="148"/>
        </w:trPr>
        <w:tc>
          <w:tcPr>
            <w:tcW w:w="1540" w:type="dxa"/>
            <w:vAlign w:val="bottom"/>
            <w:shd w:val="clear" w:color="auto" w:fill="003763"/>
          </w:tcPr>
          <w:p>
            <w:pPr>
              <w:spacing w:after="0"/>
              <w:rPr>
                <w:sz w:val="12"/>
                <w:szCs w:val="12"/>
                <w:color w:val="auto"/>
              </w:rPr>
            </w:pPr>
          </w:p>
        </w:tc>
        <w:tc>
          <w:tcPr>
            <w:tcW w:w="68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740" w:type="dxa"/>
            <w:vAlign w:val="bottom"/>
            <w:shd w:val="clear" w:color="auto" w:fill="003763"/>
          </w:tcPr>
          <w:p>
            <w:pPr>
              <w:spacing w:after="0"/>
              <w:rPr>
                <w:sz w:val="12"/>
                <w:szCs w:val="12"/>
                <w:color w:val="auto"/>
              </w:rPr>
            </w:pPr>
          </w:p>
        </w:tc>
        <w:tc>
          <w:tcPr>
            <w:tcW w:w="72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1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Nonqualified</w:t>
            </w:r>
          </w:p>
        </w:tc>
        <w:tc>
          <w:tcPr>
            <w:tcW w:w="1240" w:type="dxa"/>
            <w:vAlign w:val="bottom"/>
            <w:shd w:val="clear" w:color="auto" w:fill="003763"/>
          </w:tcPr>
          <w:p>
            <w:pPr>
              <w:spacing w:after="0"/>
              <w:rPr>
                <w:sz w:val="12"/>
                <w:szCs w:val="12"/>
                <w:color w:val="auto"/>
              </w:rPr>
            </w:pPr>
          </w:p>
        </w:tc>
        <w:tc>
          <w:tcPr>
            <w:tcW w:w="840" w:type="dxa"/>
            <w:vAlign w:val="bottom"/>
            <w:shd w:val="clear" w:color="auto" w:fill="003763"/>
          </w:tcPr>
          <w:p>
            <w:pPr>
              <w:spacing w:after="0"/>
              <w:rPr>
                <w:sz w:val="12"/>
                <w:szCs w:val="12"/>
                <w:color w:val="auto"/>
              </w:rPr>
            </w:pPr>
          </w:p>
        </w:tc>
      </w:tr>
      <w:tr>
        <w:trPr>
          <w:trHeight w:val="148"/>
        </w:trPr>
        <w:tc>
          <w:tcPr>
            <w:tcW w:w="1540" w:type="dxa"/>
            <w:vAlign w:val="bottom"/>
            <w:shd w:val="clear" w:color="auto" w:fill="003763"/>
          </w:tcPr>
          <w:p>
            <w:pPr>
              <w:spacing w:after="0"/>
              <w:rPr>
                <w:sz w:val="12"/>
                <w:szCs w:val="12"/>
                <w:color w:val="auto"/>
              </w:rPr>
            </w:pPr>
          </w:p>
        </w:tc>
        <w:tc>
          <w:tcPr>
            <w:tcW w:w="68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740" w:type="dxa"/>
            <w:vAlign w:val="bottom"/>
            <w:shd w:val="clear" w:color="auto" w:fill="003763"/>
          </w:tcPr>
          <w:p>
            <w:pPr>
              <w:spacing w:after="0"/>
              <w:rPr>
                <w:sz w:val="12"/>
                <w:szCs w:val="12"/>
                <w:color w:val="auto"/>
              </w:rPr>
            </w:pPr>
          </w:p>
        </w:tc>
        <w:tc>
          <w:tcPr>
            <w:tcW w:w="72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1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Deferred</w:t>
            </w:r>
          </w:p>
        </w:tc>
        <w:tc>
          <w:tcPr>
            <w:tcW w:w="1240" w:type="dxa"/>
            <w:vAlign w:val="bottom"/>
            <w:shd w:val="clear" w:color="auto" w:fill="003763"/>
          </w:tcPr>
          <w:p>
            <w:pPr>
              <w:spacing w:after="0"/>
              <w:rPr>
                <w:sz w:val="12"/>
                <w:szCs w:val="12"/>
                <w:color w:val="auto"/>
              </w:rPr>
            </w:pPr>
          </w:p>
        </w:tc>
        <w:tc>
          <w:tcPr>
            <w:tcW w:w="840" w:type="dxa"/>
            <w:vAlign w:val="bottom"/>
            <w:shd w:val="clear" w:color="auto" w:fill="003763"/>
          </w:tcPr>
          <w:p>
            <w:pPr>
              <w:spacing w:after="0"/>
              <w:rPr>
                <w:sz w:val="12"/>
                <w:szCs w:val="12"/>
                <w:color w:val="auto"/>
              </w:rPr>
            </w:pPr>
          </w:p>
        </w:tc>
      </w:tr>
      <w:tr>
        <w:trPr>
          <w:trHeight w:val="153"/>
        </w:trPr>
        <w:tc>
          <w:tcPr>
            <w:tcW w:w="1540" w:type="dxa"/>
            <w:vAlign w:val="bottom"/>
            <w:shd w:val="clear" w:color="auto" w:fill="003763"/>
          </w:tcPr>
          <w:p>
            <w:pPr>
              <w:spacing w:after="0"/>
              <w:rPr>
                <w:sz w:val="13"/>
                <w:szCs w:val="13"/>
                <w:color w:val="auto"/>
              </w:rPr>
            </w:pPr>
          </w:p>
        </w:tc>
        <w:tc>
          <w:tcPr>
            <w:tcW w:w="680" w:type="dxa"/>
            <w:vAlign w:val="bottom"/>
            <w:shd w:val="clear" w:color="auto" w:fill="003763"/>
          </w:tcPr>
          <w:p>
            <w:pPr>
              <w:spacing w:after="0"/>
              <w:rPr>
                <w:sz w:val="13"/>
                <w:szCs w:val="13"/>
                <w:color w:val="auto"/>
              </w:rPr>
            </w:pPr>
          </w:p>
        </w:tc>
        <w:tc>
          <w:tcPr>
            <w:tcW w:w="660" w:type="dxa"/>
            <w:vAlign w:val="bottom"/>
            <w:shd w:val="clear" w:color="auto" w:fill="003763"/>
          </w:tcPr>
          <w:p>
            <w:pPr>
              <w:spacing w:after="0"/>
              <w:rPr>
                <w:sz w:val="13"/>
                <w:szCs w:val="13"/>
                <w:color w:val="auto"/>
              </w:rPr>
            </w:pPr>
          </w:p>
        </w:tc>
        <w:tc>
          <w:tcPr>
            <w:tcW w:w="740" w:type="dxa"/>
            <w:vAlign w:val="bottom"/>
            <w:shd w:val="clear" w:color="auto" w:fill="003763"/>
          </w:tcPr>
          <w:p>
            <w:pPr>
              <w:spacing w:after="0"/>
              <w:rPr>
                <w:sz w:val="13"/>
                <w:szCs w:val="13"/>
                <w:color w:val="auto"/>
              </w:rPr>
            </w:pPr>
          </w:p>
        </w:tc>
        <w:tc>
          <w:tcPr>
            <w:tcW w:w="7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7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Option</w:t>
            </w:r>
          </w:p>
        </w:tc>
        <w:tc>
          <w:tcPr>
            <w:tcW w:w="11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Plan</w:t>
            </w:r>
          </w:p>
        </w:tc>
        <w:tc>
          <w:tcPr>
            <w:tcW w:w="10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240" w:type="dxa"/>
            <w:vAlign w:val="bottom"/>
            <w:shd w:val="clear" w:color="auto" w:fill="003763"/>
          </w:tcPr>
          <w:p>
            <w:pPr>
              <w:jc w:val="center"/>
              <w:ind w:right="57"/>
              <w:spacing w:after="0"/>
              <w:rPr>
                <w:sz w:val="20"/>
                <w:szCs w:val="20"/>
                <w:color w:val="auto"/>
              </w:rPr>
            </w:pPr>
            <w:r>
              <w:rPr>
                <w:rFonts w:ascii="Arial" w:cs="Arial" w:eastAsia="Arial" w:hAnsi="Arial"/>
                <w:sz w:val="13"/>
                <w:szCs w:val="13"/>
                <w:b w:val="1"/>
                <w:bCs w:val="1"/>
                <w:color w:val="FFFFFF"/>
                <w:w w:val="94"/>
              </w:rPr>
              <w:t>All Other</w:t>
            </w:r>
          </w:p>
        </w:tc>
        <w:tc>
          <w:tcPr>
            <w:tcW w:w="840" w:type="dxa"/>
            <w:vAlign w:val="bottom"/>
            <w:shd w:val="clear" w:color="auto" w:fill="003763"/>
          </w:tcPr>
          <w:p>
            <w:pPr>
              <w:spacing w:after="0"/>
              <w:rPr>
                <w:sz w:val="13"/>
                <w:szCs w:val="13"/>
                <w:color w:val="auto"/>
              </w:rPr>
            </w:pPr>
          </w:p>
        </w:tc>
      </w:tr>
      <w:tr>
        <w:trPr>
          <w:trHeight w:val="158"/>
        </w:trPr>
        <w:tc>
          <w:tcPr>
            <w:tcW w:w="154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Name and Principal</w:t>
            </w:r>
          </w:p>
        </w:tc>
        <w:tc>
          <w:tcPr>
            <w:tcW w:w="680" w:type="dxa"/>
            <w:vAlign w:val="bottom"/>
            <w:shd w:val="clear" w:color="auto" w:fill="003763"/>
          </w:tcPr>
          <w:p>
            <w:pPr>
              <w:spacing w:after="0"/>
              <w:rPr>
                <w:sz w:val="13"/>
                <w:szCs w:val="13"/>
                <w:color w:val="auto"/>
              </w:rPr>
            </w:pPr>
          </w:p>
        </w:tc>
        <w:tc>
          <w:tcPr>
            <w:tcW w:w="6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Salary</w:t>
            </w:r>
          </w:p>
        </w:tc>
        <w:tc>
          <w:tcPr>
            <w:tcW w:w="74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3"/>
              </w:rPr>
              <w:t>Bonus</w:t>
            </w:r>
            <w:r>
              <w:rPr>
                <w:rFonts w:ascii="Arial" w:cs="Arial" w:eastAsia="Arial" w:hAnsi="Arial"/>
                <w:sz w:val="16"/>
                <w:szCs w:val="16"/>
                <w:b w:val="1"/>
                <w:bCs w:val="1"/>
                <w:color w:val="FFFFFF"/>
                <w:w w:val="93"/>
                <w:vertAlign w:val="superscript"/>
              </w:rPr>
              <w:t>(1)</w:t>
            </w:r>
          </w:p>
        </w:tc>
        <w:tc>
          <w:tcPr>
            <w:tcW w:w="72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3"/>
              </w:rPr>
              <w:t>Awards</w:t>
            </w:r>
            <w:r>
              <w:rPr>
                <w:rFonts w:ascii="Arial" w:cs="Arial" w:eastAsia="Arial" w:hAnsi="Arial"/>
                <w:sz w:val="16"/>
                <w:szCs w:val="16"/>
                <w:b w:val="1"/>
                <w:bCs w:val="1"/>
                <w:color w:val="FFFFFF"/>
                <w:w w:val="93"/>
                <w:vertAlign w:val="superscript"/>
              </w:rPr>
              <w:t>(2)</w:t>
            </w:r>
          </w:p>
        </w:tc>
        <w:tc>
          <w:tcPr>
            <w:tcW w:w="70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89"/>
              </w:rPr>
              <w:t>Awards</w:t>
            </w:r>
            <w:r>
              <w:rPr>
                <w:rFonts w:ascii="Arial" w:cs="Arial" w:eastAsia="Arial" w:hAnsi="Arial"/>
                <w:sz w:val="16"/>
                <w:szCs w:val="16"/>
                <w:b w:val="1"/>
                <w:bCs w:val="1"/>
                <w:color w:val="FFFFFF"/>
                <w:w w:val="89"/>
                <w:vertAlign w:val="superscript"/>
              </w:rPr>
              <w:t>(3)</w:t>
            </w:r>
          </w:p>
        </w:tc>
        <w:tc>
          <w:tcPr>
            <w:tcW w:w="112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2"/>
              </w:rPr>
              <w:t>Compensation</w:t>
            </w:r>
            <w:r>
              <w:rPr>
                <w:rFonts w:ascii="Arial" w:cs="Arial" w:eastAsia="Arial" w:hAnsi="Arial"/>
                <w:sz w:val="16"/>
                <w:szCs w:val="16"/>
                <w:b w:val="1"/>
                <w:bCs w:val="1"/>
                <w:color w:val="FFFFFF"/>
                <w:w w:val="92"/>
                <w:vertAlign w:val="superscript"/>
              </w:rPr>
              <w:t>(4)</w:t>
            </w:r>
          </w:p>
        </w:tc>
        <w:tc>
          <w:tcPr>
            <w:tcW w:w="102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0"/>
              </w:rPr>
              <w:t>Earnings</w:t>
            </w:r>
            <w:r>
              <w:rPr>
                <w:rFonts w:ascii="Arial" w:cs="Arial" w:eastAsia="Arial" w:hAnsi="Arial"/>
                <w:sz w:val="16"/>
                <w:szCs w:val="16"/>
                <w:b w:val="1"/>
                <w:bCs w:val="1"/>
                <w:color w:val="FFFFFF"/>
                <w:w w:val="90"/>
                <w:vertAlign w:val="superscript"/>
              </w:rPr>
              <w:t>(5)</w:t>
            </w:r>
          </w:p>
        </w:tc>
        <w:tc>
          <w:tcPr>
            <w:tcW w:w="1240" w:type="dxa"/>
            <w:vAlign w:val="bottom"/>
            <w:shd w:val="clear" w:color="auto" w:fill="003763"/>
          </w:tcPr>
          <w:p>
            <w:pPr>
              <w:jc w:val="center"/>
              <w:ind w:right="57"/>
              <w:spacing w:after="0" w:line="158" w:lineRule="exact"/>
              <w:rPr>
                <w:sz w:val="20"/>
                <w:szCs w:val="20"/>
                <w:color w:val="auto"/>
              </w:rPr>
            </w:pPr>
            <w:r>
              <w:rPr>
                <w:rFonts w:ascii="Arial" w:cs="Arial" w:eastAsia="Arial" w:hAnsi="Arial"/>
                <w:sz w:val="13"/>
                <w:szCs w:val="13"/>
                <w:b w:val="1"/>
                <w:bCs w:val="1"/>
                <w:color w:val="FFFFFF"/>
                <w:w w:val="92"/>
              </w:rPr>
              <w:t>Compensation</w:t>
            </w:r>
            <w:r>
              <w:rPr>
                <w:rFonts w:ascii="Arial" w:cs="Arial" w:eastAsia="Arial" w:hAnsi="Arial"/>
                <w:sz w:val="16"/>
                <w:szCs w:val="16"/>
                <w:b w:val="1"/>
                <w:bCs w:val="1"/>
                <w:color w:val="FFFFFF"/>
                <w:w w:val="92"/>
                <w:vertAlign w:val="superscript"/>
              </w:rPr>
              <w:t>(6)</w:t>
            </w:r>
          </w:p>
        </w:tc>
        <w:tc>
          <w:tcPr>
            <w:tcW w:w="840" w:type="dxa"/>
            <w:vAlign w:val="bottom"/>
            <w:shd w:val="clear" w:color="auto" w:fill="003763"/>
          </w:tcPr>
          <w:p>
            <w:pPr>
              <w:jc w:val="center"/>
              <w:ind w:right="117"/>
              <w:spacing w:after="0"/>
              <w:rPr>
                <w:sz w:val="20"/>
                <w:szCs w:val="20"/>
                <w:color w:val="auto"/>
              </w:rPr>
            </w:pPr>
            <w:r>
              <w:rPr>
                <w:rFonts w:ascii="Arial" w:cs="Arial" w:eastAsia="Arial" w:hAnsi="Arial"/>
                <w:sz w:val="13"/>
                <w:szCs w:val="13"/>
                <w:b w:val="1"/>
                <w:bCs w:val="1"/>
                <w:color w:val="FFFFFF"/>
                <w:w w:val="96"/>
              </w:rPr>
              <w:t>Total</w:t>
            </w:r>
          </w:p>
        </w:tc>
      </w:tr>
      <w:tr>
        <w:trPr>
          <w:trHeight w:val="200"/>
        </w:trPr>
        <w:tc>
          <w:tcPr>
            <w:tcW w:w="1540" w:type="dxa"/>
            <w:vAlign w:val="bottom"/>
            <w:tcBorders>
              <w:bottom w:val="single" w:sz="8" w:color="003763"/>
            </w:tcBorders>
            <w:shd w:val="clear" w:color="auto" w:fill="003763"/>
          </w:tcPr>
          <w:p>
            <w:pPr>
              <w:ind w:left="100"/>
              <w:spacing w:after="0"/>
              <w:rPr>
                <w:sz w:val="20"/>
                <w:szCs w:val="20"/>
                <w:color w:val="auto"/>
              </w:rPr>
            </w:pPr>
            <w:r>
              <w:rPr>
                <w:rFonts w:ascii="Arial" w:cs="Arial" w:eastAsia="Arial" w:hAnsi="Arial"/>
                <w:sz w:val="13"/>
                <w:szCs w:val="13"/>
                <w:b w:val="1"/>
                <w:bCs w:val="1"/>
                <w:color w:val="FFFFFF"/>
              </w:rPr>
              <w:t>Position</w:t>
            </w:r>
          </w:p>
        </w:tc>
        <w:tc>
          <w:tcPr>
            <w:tcW w:w="680" w:type="dxa"/>
            <w:vAlign w:val="bottom"/>
            <w:tcBorders>
              <w:bottom w:val="single" w:sz="8" w:color="003763"/>
            </w:tcBorders>
            <w:shd w:val="clear" w:color="auto" w:fill="003763"/>
          </w:tcPr>
          <w:p>
            <w:pPr>
              <w:ind w:left="280"/>
              <w:spacing w:after="0"/>
              <w:rPr>
                <w:sz w:val="20"/>
                <w:szCs w:val="20"/>
                <w:color w:val="auto"/>
              </w:rPr>
            </w:pPr>
            <w:r>
              <w:rPr>
                <w:rFonts w:ascii="Arial" w:cs="Arial" w:eastAsia="Arial" w:hAnsi="Arial"/>
                <w:sz w:val="13"/>
                <w:szCs w:val="13"/>
                <w:b w:val="1"/>
                <w:bCs w:val="1"/>
                <w:color w:val="FFFFFF"/>
              </w:rPr>
              <w:t>Year</w:t>
            </w:r>
          </w:p>
        </w:tc>
        <w:tc>
          <w:tcPr>
            <w:tcW w:w="660" w:type="dxa"/>
            <w:vAlign w:val="bottom"/>
            <w:tcBorders>
              <w:bottom w:val="single" w:sz="8" w:color="003763"/>
            </w:tcBorders>
            <w:shd w:val="clear" w:color="auto" w:fill="003763"/>
          </w:tcPr>
          <w:p>
            <w:pPr>
              <w:jc w:val="right"/>
              <w:ind w:right="177"/>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003763"/>
            </w:tcBorders>
            <w:shd w:val="clear" w:color="auto" w:fill="003763"/>
          </w:tcPr>
          <w:p>
            <w:pPr>
              <w:jc w:val="right"/>
              <w:ind w:right="197"/>
              <w:spacing w:after="0"/>
              <w:rPr>
                <w:sz w:val="20"/>
                <w:szCs w:val="20"/>
                <w:color w:val="auto"/>
              </w:rPr>
            </w:pPr>
            <w:r>
              <w:rPr>
                <w:rFonts w:ascii="Arial" w:cs="Arial" w:eastAsia="Arial" w:hAnsi="Arial"/>
                <w:sz w:val="13"/>
                <w:szCs w:val="13"/>
                <w:b w:val="1"/>
                <w:bCs w:val="1"/>
                <w:color w:val="FFFFFF"/>
              </w:rPr>
              <w:t>($)</w:t>
            </w:r>
          </w:p>
        </w:tc>
        <w:tc>
          <w:tcPr>
            <w:tcW w:w="720" w:type="dxa"/>
            <w:vAlign w:val="bottom"/>
            <w:tcBorders>
              <w:bottom w:val="single" w:sz="8" w:color="003763"/>
            </w:tcBorders>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bottom w:val="single" w:sz="8" w:color="003763"/>
            </w:tcBorders>
            <w:shd w:val="clear" w:color="auto" w:fill="003763"/>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1120" w:type="dxa"/>
            <w:vAlign w:val="bottom"/>
            <w:tcBorders>
              <w:bottom w:val="single" w:sz="8" w:color="003763"/>
            </w:tcBorders>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1020" w:type="dxa"/>
            <w:vAlign w:val="bottom"/>
            <w:tcBorders>
              <w:bottom w:val="single" w:sz="8" w:color="003763"/>
            </w:tcBorders>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tcBorders>
              <w:bottom w:val="single" w:sz="8" w:color="003763"/>
            </w:tcBorders>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bottom w:val="single" w:sz="8" w:color="003763"/>
            </w:tcBorders>
            <w:shd w:val="clear" w:color="auto" w:fill="003763"/>
          </w:tcPr>
          <w:p>
            <w:pPr>
              <w:jc w:val="right"/>
              <w:ind w:right="357"/>
              <w:spacing w:after="0"/>
              <w:rPr>
                <w:sz w:val="20"/>
                <w:szCs w:val="20"/>
                <w:color w:val="auto"/>
              </w:rPr>
            </w:pPr>
            <w:r>
              <w:rPr>
                <w:rFonts w:ascii="Arial" w:cs="Arial" w:eastAsia="Arial" w:hAnsi="Arial"/>
                <w:sz w:val="13"/>
                <w:szCs w:val="13"/>
                <w:b w:val="1"/>
                <w:bCs w:val="1"/>
                <w:color w:val="FFFFFF"/>
              </w:rPr>
              <w:t>($)</w:t>
            </w:r>
          </w:p>
        </w:tc>
      </w:tr>
      <w:tr>
        <w:trPr>
          <w:trHeight w:val="20"/>
        </w:trPr>
        <w:tc>
          <w:tcPr>
            <w:tcW w:w="1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1740" w:type="dxa"/>
            <w:vAlign w:val="bottom"/>
          </w:tcPr>
          <w:p>
            <w:pPr>
              <w:ind w:left="100"/>
              <w:spacing w:after="0"/>
              <w:rPr>
                <w:sz w:val="20"/>
                <w:szCs w:val="20"/>
                <w:color w:val="auto"/>
              </w:rPr>
            </w:pPr>
            <w:r>
              <w:rPr>
                <w:rFonts w:ascii="Arial" w:cs="Arial" w:eastAsia="Arial" w:hAnsi="Arial"/>
                <w:sz w:val="15"/>
                <w:szCs w:val="15"/>
                <w:color w:val="auto"/>
              </w:rPr>
              <w:t>Jason P. Wells</w:t>
            </w:r>
          </w:p>
        </w:tc>
        <w:tc>
          <w:tcPr>
            <w:tcW w:w="40" w:type="dxa"/>
            <w:vAlign w:val="bottom"/>
            <w:tcBorders>
              <w:bottom w:val="single" w:sz="8" w:color="CCCCCC"/>
            </w:tcBorders>
          </w:tcPr>
          <w:p>
            <w:pPr>
              <w:spacing w:after="0"/>
              <w:rPr>
                <w:sz w:val="18"/>
                <w:szCs w:val="18"/>
                <w:color w:val="auto"/>
              </w:rPr>
            </w:pPr>
          </w:p>
        </w:tc>
        <w:tc>
          <w:tcPr>
            <w:tcW w:w="400" w:type="dxa"/>
            <w:vAlign w:val="bottom"/>
            <w:tcBorders>
              <w:bottom w:val="single" w:sz="8" w:color="CCCCCC"/>
            </w:tcBorders>
          </w:tcPr>
          <w:p>
            <w:pPr>
              <w:spacing w:after="0"/>
              <w:rPr>
                <w:sz w:val="20"/>
                <w:szCs w:val="20"/>
                <w:color w:val="auto"/>
              </w:rPr>
            </w:pPr>
            <w:r>
              <w:rPr>
                <w:rFonts w:ascii="Arial" w:cs="Arial" w:eastAsia="Arial" w:hAnsi="Arial"/>
                <w:sz w:val="15"/>
                <w:szCs w:val="15"/>
                <w:color w:val="auto"/>
              </w:rPr>
              <w:t>​2024</w:t>
            </w:r>
          </w:p>
        </w:tc>
        <w:tc>
          <w:tcPr>
            <w:tcW w:w="780" w:type="dxa"/>
            <w:vAlign w:val="bottom"/>
            <w:tcBorders>
              <w:bottom w:val="single" w:sz="8" w:color="CCCCCC"/>
            </w:tcBorders>
            <w:gridSpan w:val="2"/>
          </w:tcPr>
          <w:p>
            <w:pPr>
              <w:jc w:val="right"/>
              <w:spacing w:after="0"/>
              <w:rPr>
                <w:sz w:val="20"/>
                <w:szCs w:val="20"/>
                <w:color w:val="auto"/>
              </w:rPr>
            </w:pPr>
            <w:r>
              <w:rPr>
                <w:rFonts w:ascii="Arial" w:cs="Arial" w:eastAsia="Arial" w:hAnsi="Arial"/>
                <w:sz w:val="15"/>
                <w:szCs w:val="15"/>
                <w:color w:val="auto"/>
              </w:rPr>
              <w:t>​1,140,846</w:t>
            </w:r>
          </w:p>
        </w:tc>
        <w:tc>
          <w:tcPr>
            <w:tcW w:w="280" w:type="dxa"/>
            <w:vAlign w:val="bottom"/>
            <w:tcBorders>
              <w:bottom w:val="single" w:sz="8" w:color="CCCCCC"/>
            </w:tcBorders>
          </w:tcPr>
          <w:p>
            <w:pPr>
              <w:ind w:left="6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CCCC"/>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CCCC"/>
            </w:tcBorders>
            <w:gridSpan w:val="2"/>
          </w:tcPr>
          <w:p>
            <w:pPr>
              <w:jc w:val="right"/>
              <w:ind w:right="64"/>
              <w:spacing w:after="0"/>
              <w:rPr>
                <w:sz w:val="20"/>
                <w:szCs w:val="20"/>
                <w:color w:val="auto"/>
              </w:rPr>
            </w:pPr>
            <w:r>
              <w:rPr>
                <w:rFonts w:ascii="Arial" w:cs="Arial" w:eastAsia="Arial" w:hAnsi="Arial"/>
                <w:sz w:val="15"/>
                <w:szCs w:val="15"/>
                <w:color w:val="auto"/>
              </w:rPr>
              <w:t>​5,749,999</w:t>
            </w:r>
          </w:p>
        </w:tc>
        <w:tc>
          <w:tcPr>
            <w:tcW w:w="54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CCCC"/>
            </w:tcBorders>
            <w:gridSpan w:val="2"/>
          </w:tcPr>
          <w:p>
            <w:pPr>
              <w:jc w:val="right"/>
              <w:ind w:right="164"/>
              <w:spacing w:after="0"/>
              <w:rPr>
                <w:sz w:val="20"/>
                <w:szCs w:val="20"/>
                <w:color w:val="auto"/>
              </w:rPr>
            </w:pPr>
            <w:r>
              <w:rPr>
                <w:rFonts w:ascii="Arial" w:cs="Arial" w:eastAsia="Arial" w:hAnsi="Arial"/>
                <w:sz w:val="15"/>
                <w:szCs w:val="15"/>
                <w:color w:val="auto"/>
              </w:rPr>
              <w:t>​1,796,875</w:t>
            </w:r>
          </w:p>
        </w:tc>
        <w:tc>
          <w:tcPr>
            <w:tcW w:w="420" w:type="dxa"/>
            <w:vAlign w:val="bottom"/>
            <w:tcBorders>
              <w:bottom w:val="single" w:sz="8" w:color="CCCCCC"/>
            </w:tcBorders>
          </w:tcPr>
          <w:p>
            <w:pPr>
              <w:ind w:left="24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CCCC"/>
            </w:tcBorders>
          </w:tcPr>
          <w:p>
            <w:pPr>
              <w:ind w:left="2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CCCC"/>
            </w:tcBorders>
          </w:tcPr>
          <w:p>
            <w:pPr>
              <w:jc w:val="right"/>
              <w:ind w:right="64"/>
              <w:spacing w:after="0"/>
              <w:rPr>
                <w:sz w:val="20"/>
                <w:szCs w:val="20"/>
                <w:color w:val="auto"/>
              </w:rPr>
            </w:pPr>
            <w:r>
              <w:rPr>
                <w:rFonts w:ascii="Arial" w:cs="Arial" w:eastAsia="Arial" w:hAnsi="Arial"/>
                <w:sz w:val="15"/>
                <w:szCs w:val="15"/>
                <w:color w:val="auto"/>
              </w:rPr>
              <w:t>543,446</w:t>
            </w:r>
          </w:p>
        </w:tc>
        <w:tc>
          <w:tcPr>
            <w:tcW w:w="1020" w:type="dxa"/>
            <w:vAlign w:val="bottom"/>
            <w:tcBorders>
              <w:bottom w:val="single" w:sz="8" w:color="CCCCCC"/>
            </w:tcBorders>
          </w:tcPr>
          <w:p>
            <w:pPr>
              <w:ind w:left="140"/>
              <w:spacing w:after="0"/>
              <w:rPr>
                <w:sz w:val="20"/>
                <w:szCs w:val="20"/>
                <w:color w:val="auto"/>
              </w:rPr>
            </w:pPr>
            <w:r>
              <w:rPr>
                <w:rFonts w:ascii="Arial" w:cs="Arial" w:eastAsia="Arial" w:hAnsi="Arial"/>
                <w:sz w:val="15"/>
                <w:szCs w:val="15"/>
                <w:color w:val="auto"/>
              </w:rPr>
              <w:t>​ 9,231,166</w:t>
            </w:r>
          </w:p>
        </w:tc>
        <w:tc>
          <w:tcPr>
            <w:tcW w:w="0" w:type="dxa"/>
            <w:vAlign w:val="bottom"/>
          </w:tcPr>
          <w:p>
            <w:pPr>
              <w:spacing w:after="0"/>
              <w:rPr>
                <w:sz w:val="1"/>
                <w:szCs w:val="1"/>
                <w:color w:val="auto"/>
              </w:rPr>
            </w:pPr>
          </w:p>
        </w:tc>
      </w:tr>
      <w:tr>
        <w:trPr>
          <w:trHeight w:val="134"/>
        </w:trPr>
        <w:tc>
          <w:tcPr>
            <w:tcW w:w="1740" w:type="dxa"/>
            <w:vAlign w:val="bottom"/>
          </w:tcPr>
          <w:p>
            <w:pPr>
              <w:ind w:left="100"/>
              <w:spacing w:after="0" w:line="134" w:lineRule="exact"/>
              <w:rPr>
                <w:sz w:val="20"/>
                <w:szCs w:val="20"/>
                <w:color w:val="auto"/>
              </w:rPr>
            </w:pPr>
            <w:r>
              <w:rPr>
                <w:rFonts w:ascii="Arial" w:cs="Arial" w:eastAsia="Arial" w:hAnsi="Arial"/>
                <w:sz w:val="13"/>
                <w:szCs w:val="13"/>
                <w:color w:val="auto"/>
              </w:rPr>
              <w:t>President and Chief</w:t>
            </w:r>
          </w:p>
        </w:tc>
        <w:tc>
          <w:tcPr>
            <w:tcW w:w="4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5"/>
                <w:szCs w:val="15"/>
                <w:color w:val="auto"/>
              </w:rPr>
              <w:t>​2023</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969,039</w:t>
            </w:r>
          </w:p>
        </w:tc>
        <w:tc>
          <w:tcPr>
            <w:tcW w:w="2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​3,919,966</w:t>
            </w:r>
          </w:p>
        </w:tc>
        <w:tc>
          <w:tcPr>
            <w:tcW w:w="5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jc w:val="right"/>
              <w:ind w:right="164"/>
              <w:spacing w:after="0"/>
              <w:rPr>
                <w:sz w:val="20"/>
                <w:szCs w:val="20"/>
                <w:color w:val="auto"/>
              </w:rPr>
            </w:pPr>
            <w:r>
              <w:rPr>
                <w:rFonts w:ascii="Arial" w:cs="Arial" w:eastAsia="Arial" w:hAnsi="Arial"/>
                <w:sz w:val="15"/>
                <w:szCs w:val="15"/>
                <w:color w:val="auto"/>
              </w:rPr>
              <w:t>​1,972,250</w:t>
            </w:r>
          </w:p>
        </w:tc>
        <w:tc>
          <w:tcPr>
            <w:tcW w:w="420" w:type="dxa"/>
            <w:vAlign w:val="bottom"/>
            <w:vMerge w:val="restart"/>
          </w:tcPr>
          <w:p>
            <w:pPr>
              <w:ind w:left="240"/>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220,210</w:t>
            </w:r>
          </w:p>
        </w:tc>
        <w:tc>
          <w:tcPr>
            <w:tcW w:w="1020" w:type="dxa"/>
            <w:vAlign w:val="bottom"/>
            <w:vMerge w:val="restart"/>
          </w:tcPr>
          <w:p>
            <w:pPr>
              <w:ind w:left="140"/>
              <w:spacing w:after="0"/>
              <w:rPr>
                <w:sz w:val="20"/>
                <w:szCs w:val="20"/>
                <w:color w:val="auto"/>
              </w:rPr>
            </w:pPr>
            <w:r>
              <w:rPr>
                <w:rFonts w:ascii="Arial" w:cs="Arial" w:eastAsia="Arial" w:hAnsi="Arial"/>
                <w:sz w:val="15"/>
                <w:szCs w:val="15"/>
                <w:color w:val="auto"/>
              </w:rPr>
              <w:t>​ 7,081,465</w:t>
            </w:r>
          </w:p>
        </w:tc>
        <w:tc>
          <w:tcPr>
            <w:tcW w:w="0" w:type="dxa"/>
            <w:vAlign w:val="bottom"/>
          </w:tcPr>
          <w:p>
            <w:pPr>
              <w:spacing w:after="0"/>
              <w:rPr>
                <w:sz w:val="1"/>
                <w:szCs w:val="1"/>
                <w:color w:val="auto"/>
              </w:rPr>
            </w:pPr>
          </w:p>
        </w:tc>
      </w:tr>
      <w:tr>
        <w:trPr>
          <w:trHeight w:val="130"/>
        </w:trPr>
        <w:tc>
          <w:tcPr>
            <w:tcW w:w="1740" w:type="dxa"/>
            <w:vAlign w:val="bottom"/>
            <w:vMerge w:val="restart"/>
          </w:tcPr>
          <w:p>
            <w:pPr>
              <w:ind w:left="100"/>
              <w:spacing w:after="0"/>
              <w:rPr>
                <w:sz w:val="20"/>
                <w:szCs w:val="20"/>
                <w:color w:val="auto"/>
              </w:rPr>
            </w:pPr>
            <w:r>
              <w:rPr>
                <w:rFonts w:ascii="Arial" w:cs="Arial" w:eastAsia="Arial" w:hAnsi="Arial"/>
                <w:sz w:val="13"/>
                <w:szCs w:val="13"/>
                <w:color w:val="auto"/>
              </w:rPr>
              <w:t>Executive Officer</w:t>
            </w: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740" w:type="dxa"/>
            <w:vAlign w:val="bottom"/>
            <w:vMerge w:val="continue"/>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40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6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​2022</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667,463</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4"/>
              <w:spacing w:after="0"/>
              <w:rPr>
                <w:sz w:val="20"/>
                <w:szCs w:val="20"/>
                <w:color w:val="auto"/>
              </w:rPr>
            </w:pPr>
            <w:r>
              <w:rPr>
                <w:rFonts w:ascii="Arial" w:cs="Arial" w:eastAsia="Arial" w:hAnsi="Arial"/>
                <w:sz w:val="15"/>
                <w:szCs w:val="15"/>
                <w:color w:val="auto"/>
              </w:rPr>
              <w:t>​1,737,497</w:t>
            </w:r>
          </w:p>
        </w:tc>
        <w:tc>
          <w:tcPr>
            <w:tcW w:w="540" w:type="dxa"/>
            <w:vAlign w:val="bottom"/>
          </w:tcPr>
          <w:p>
            <w:pPr>
              <w:ind w:left="140"/>
              <w:spacing w:after="0"/>
              <w:rPr>
                <w:sz w:val="20"/>
                <w:szCs w:val="20"/>
                <w:color w:val="auto"/>
              </w:rPr>
            </w:pPr>
            <w:r>
              <w:rPr>
                <w:rFonts w:ascii="Arial" w:cs="Arial" w:eastAsia="Arial" w:hAnsi="Arial"/>
                <w:sz w:val="15"/>
                <w:szCs w:val="15"/>
                <w:color w:val="auto"/>
              </w:rPr>
              <w:t>​—</w:t>
            </w:r>
          </w:p>
        </w:tc>
        <w:tc>
          <w:tcPr>
            <w:tcW w:w="320" w:type="dxa"/>
            <w:vAlign w:val="bottom"/>
          </w:tcPr>
          <w:p>
            <w:pPr>
              <w:ind w:lef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860,063</w:t>
            </w:r>
          </w:p>
        </w:tc>
        <w:tc>
          <w:tcPr>
            <w:tcW w:w="420" w:type="dxa"/>
            <w:vAlign w:val="bottom"/>
          </w:tcPr>
          <w:p>
            <w:pPr>
              <w:ind w:left="240"/>
              <w:spacing w:after="0"/>
              <w:rPr>
                <w:sz w:val="20"/>
                <w:szCs w:val="20"/>
                <w:color w:val="auto"/>
              </w:rPr>
            </w:pPr>
            <w:r>
              <w:rPr>
                <w:rFonts w:ascii="Arial" w:cs="Arial" w:eastAsia="Arial" w:hAnsi="Arial"/>
                <w:sz w:val="15"/>
                <w:szCs w:val="15"/>
                <w:color w:val="auto"/>
              </w:rPr>
              <w:t>​</w:t>
            </w:r>
          </w:p>
        </w:tc>
        <w:tc>
          <w:tcPr>
            <w:tcW w:w="580" w:type="dxa"/>
            <w:vAlign w:val="bottom"/>
          </w:tcPr>
          <w:p>
            <w:pPr>
              <w:ind w:left="140"/>
              <w:spacing w:after="0"/>
              <w:rPr>
                <w:sz w:val="20"/>
                <w:szCs w:val="20"/>
                <w:color w:val="auto"/>
              </w:rPr>
            </w:pPr>
            <w:r>
              <w:rPr>
                <w:rFonts w:ascii="Arial" w:cs="Arial" w:eastAsia="Arial" w:hAnsi="Arial"/>
                <w:sz w:val="15"/>
                <w:szCs w:val="15"/>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193,847</w:t>
            </w:r>
          </w:p>
        </w:tc>
        <w:tc>
          <w:tcPr>
            <w:tcW w:w="1020" w:type="dxa"/>
            <w:vAlign w:val="bottom"/>
          </w:tcPr>
          <w:p>
            <w:pPr>
              <w:ind w:left="140"/>
              <w:spacing w:after="0"/>
              <w:rPr>
                <w:sz w:val="20"/>
                <w:szCs w:val="20"/>
                <w:color w:val="auto"/>
              </w:rPr>
            </w:pPr>
            <w:r>
              <w:rPr>
                <w:rFonts w:ascii="Arial" w:cs="Arial" w:eastAsia="Arial" w:hAnsi="Arial"/>
                <w:sz w:val="15"/>
                <w:szCs w:val="15"/>
                <w:color w:val="auto"/>
              </w:rPr>
              <w:t>​ 3,458,870</w:t>
            </w:r>
          </w:p>
        </w:tc>
        <w:tc>
          <w:tcPr>
            <w:tcW w:w="0" w:type="dxa"/>
            <w:vAlign w:val="bottom"/>
          </w:tcPr>
          <w:p>
            <w:pPr>
              <w:spacing w:after="0"/>
              <w:rPr>
                <w:sz w:val="1"/>
                <w:szCs w:val="1"/>
                <w:color w:val="auto"/>
              </w:rPr>
            </w:pPr>
          </w:p>
        </w:tc>
      </w:tr>
      <w:tr>
        <w:trPr>
          <w:trHeight w:val="60"/>
        </w:trPr>
        <w:tc>
          <w:tcPr>
            <w:tcW w:w="174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40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6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880" w:type="dxa"/>
            <w:vAlign w:val="bottom"/>
            <w:tcBorders>
              <w:bottom w:val="single" w:sz="8" w:color="CCCCCC"/>
            </w:tcBorders>
            <w:gridSpan w:val="2"/>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F2F2F2"/>
          </w:tcPr>
          <w:p>
            <w:pPr>
              <w:ind w:left="100"/>
              <w:spacing w:after="0"/>
              <w:rPr>
                <w:sz w:val="20"/>
                <w:szCs w:val="20"/>
                <w:color w:val="auto"/>
              </w:rPr>
            </w:pPr>
            <w:r>
              <w:rPr>
                <w:rFonts w:ascii="Arial" w:cs="Arial" w:eastAsia="Arial" w:hAnsi="Arial"/>
                <w:sz w:val="15"/>
                <w:szCs w:val="15"/>
                <w:color w:val="auto"/>
              </w:rPr>
              <w:t>Christopher A. Foster</w:t>
            </w:r>
          </w:p>
        </w:tc>
        <w:tc>
          <w:tcPr>
            <w:tcW w:w="4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F2F2F2"/>
          </w:tcPr>
          <w:p>
            <w:pPr>
              <w:jc w:val="right"/>
              <w:spacing w:after="0"/>
              <w:rPr>
                <w:sz w:val="20"/>
                <w:szCs w:val="20"/>
                <w:color w:val="auto"/>
              </w:rPr>
            </w:pPr>
            <w:r>
              <w:rPr>
                <w:rFonts w:ascii="Arial" w:cs="Arial" w:eastAsia="Arial" w:hAnsi="Arial"/>
                <w:sz w:val="15"/>
                <w:szCs w:val="15"/>
                <w:color w:val="auto"/>
              </w:rPr>
              <w:t>718,269</w:t>
            </w:r>
          </w:p>
        </w:tc>
        <w:tc>
          <w:tcPr>
            <w:tcW w:w="28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F2F2F2"/>
          </w:tcPr>
          <w:p>
            <w:pPr>
              <w:jc w:val="right"/>
              <w:ind w:right="64"/>
              <w:spacing w:after="0"/>
              <w:rPr>
                <w:sz w:val="20"/>
                <w:szCs w:val="20"/>
                <w:color w:val="auto"/>
              </w:rPr>
            </w:pPr>
            <w:r>
              <w:rPr>
                <w:rFonts w:ascii="Arial" w:cs="Arial" w:eastAsia="Arial" w:hAnsi="Arial"/>
                <w:sz w:val="15"/>
                <w:szCs w:val="15"/>
                <w:color w:val="auto"/>
              </w:rPr>
              <w:t>​1,884,987</w:t>
            </w:r>
          </w:p>
        </w:tc>
        <w:tc>
          <w:tcPr>
            <w:tcW w:w="54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840" w:type="dxa"/>
            <w:vAlign w:val="bottom"/>
            <w:shd w:val="clear" w:color="auto" w:fill="F2F2F2"/>
          </w:tcPr>
          <w:p>
            <w:pPr>
              <w:jc w:val="right"/>
              <w:ind w:right="164"/>
              <w:spacing w:after="0"/>
              <w:rPr>
                <w:sz w:val="20"/>
                <w:szCs w:val="20"/>
                <w:color w:val="auto"/>
              </w:rPr>
            </w:pPr>
            <w:r>
              <w:rPr>
                <w:rFonts w:ascii="Arial" w:cs="Arial" w:eastAsia="Arial" w:hAnsi="Arial"/>
                <w:sz w:val="15"/>
                <w:szCs w:val="15"/>
                <w:color w:val="auto"/>
              </w:rPr>
              <w:t>725,000</w:t>
            </w:r>
          </w:p>
        </w:tc>
        <w:tc>
          <w:tcPr>
            <w:tcW w:w="420" w:type="dxa"/>
            <w:vAlign w:val="bottom"/>
            <w:shd w:val="clear" w:color="auto" w:fill="F2F2F2"/>
          </w:tcPr>
          <w:p>
            <w:pPr>
              <w:ind w:left="240"/>
              <w:spacing w:after="0"/>
              <w:rPr>
                <w:sz w:val="20"/>
                <w:szCs w:val="20"/>
                <w:color w:val="auto"/>
              </w:rPr>
            </w:pPr>
            <w:r>
              <w:rPr>
                <w:rFonts w:ascii="Arial" w:cs="Arial" w:eastAsia="Arial" w:hAnsi="Arial"/>
                <w:sz w:val="15"/>
                <w:szCs w:val="15"/>
                <w:color w:val="auto"/>
              </w:rPr>
              <w:t>​</w:t>
            </w:r>
          </w:p>
        </w:tc>
        <w:tc>
          <w:tcPr>
            <w:tcW w:w="58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F2F2F2"/>
          </w:tcPr>
          <w:p>
            <w:pPr>
              <w:jc w:val="right"/>
              <w:ind w:right="64"/>
              <w:spacing w:after="0"/>
              <w:rPr>
                <w:sz w:val="20"/>
                <w:szCs w:val="20"/>
                <w:color w:val="auto"/>
              </w:rPr>
            </w:pPr>
            <w:r>
              <w:rPr>
                <w:rFonts w:ascii="Arial" w:cs="Arial" w:eastAsia="Arial" w:hAnsi="Arial"/>
                <w:sz w:val="15"/>
                <w:szCs w:val="15"/>
                <w:color w:val="auto"/>
              </w:rPr>
              <w:t>245,915</w:t>
            </w:r>
          </w:p>
        </w:tc>
        <w:tc>
          <w:tcPr>
            <w:tcW w:w="1020" w:type="dxa"/>
            <w:vAlign w:val="bottom"/>
            <w:shd w:val="clear" w:color="auto" w:fill="F2F2F2"/>
          </w:tcPr>
          <w:p>
            <w:pPr>
              <w:ind w:left="140"/>
              <w:spacing w:after="0"/>
              <w:rPr>
                <w:sz w:val="20"/>
                <w:szCs w:val="20"/>
                <w:color w:val="auto"/>
              </w:rPr>
            </w:pPr>
            <w:r>
              <w:rPr>
                <w:rFonts w:ascii="Arial" w:cs="Arial" w:eastAsia="Arial" w:hAnsi="Arial"/>
                <w:sz w:val="15"/>
                <w:szCs w:val="15"/>
                <w:color w:val="auto"/>
              </w:rPr>
              <w:t>​ 3,574,172</w:t>
            </w:r>
          </w:p>
        </w:tc>
        <w:tc>
          <w:tcPr>
            <w:tcW w:w="0" w:type="dxa"/>
            <w:vAlign w:val="bottom"/>
          </w:tcPr>
          <w:p>
            <w:pPr>
              <w:spacing w:after="0"/>
              <w:rPr>
                <w:sz w:val="1"/>
                <w:szCs w:val="1"/>
                <w:color w:val="auto"/>
              </w:rPr>
            </w:pPr>
          </w:p>
        </w:tc>
      </w:tr>
      <w:tr>
        <w:trPr>
          <w:trHeight w:val="112"/>
        </w:trPr>
        <w:tc>
          <w:tcPr>
            <w:tcW w:w="1740" w:type="dxa"/>
            <w:vAlign w:val="bottom"/>
            <w:tcBorders>
              <w:bottom w:val="single" w:sz="8" w:color="F2F2F2"/>
            </w:tcBorders>
            <w:shd w:val="clear" w:color="auto" w:fill="F2F2F2"/>
          </w:tcPr>
          <w:p>
            <w:pPr>
              <w:ind w:left="100"/>
              <w:spacing w:after="0" w:line="106" w:lineRule="exact"/>
              <w:rPr>
                <w:sz w:val="20"/>
                <w:szCs w:val="20"/>
                <w:color w:val="auto"/>
              </w:rPr>
            </w:pPr>
            <w:r>
              <w:rPr>
                <w:rFonts w:ascii="Arial" w:cs="Arial" w:eastAsia="Arial" w:hAnsi="Arial"/>
                <w:sz w:val="12"/>
                <w:szCs w:val="12"/>
                <w:color w:val="auto"/>
              </w:rPr>
              <w:t>Executive Vice President</w:t>
            </w:r>
          </w:p>
        </w:tc>
        <w:tc>
          <w:tcPr>
            <w:tcW w:w="40" w:type="dxa"/>
            <w:vAlign w:val="bottom"/>
            <w:tcBorders>
              <w:bottom w:val="single" w:sz="8" w:color="CCCCCC"/>
            </w:tcBorders>
            <w:shd w:val="clear" w:color="auto" w:fill="F2F2F2"/>
          </w:tcPr>
          <w:p>
            <w:pPr>
              <w:spacing w:after="0"/>
              <w:rPr>
                <w:sz w:val="9"/>
                <w:szCs w:val="9"/>
                <w:color w:val="auto"/>
              </w:rPr>
            </w:pPr>
          </w:p>
        </w:tc>
        <w:tc>
          <w:tcPr>
            <w:tcW w:w="400" w:type="dxa"/>
            <w:vAlign w:val="bottom"/>
            <w:tcBorders>
              <w:bottom w:val="single" w:sz="8" w:color="CCCCCC"/>
            </w:tcBorders>
            <w:shd w:val="clear" w:color="auto" w:fill="F2F2F2"/>
          </w:tcPr>
          <w:p>
            <w:pPr>
              <w:spacing w:after="0"/>
              <w:rPr>
                <w:sz w:val="9"/>
                <w:szCs w:val="9"/>
                <w:color w:val="auto"/>
              </w:rPr>
            </w:pPr>
          </w:p>
        </w:tc>
        <w:tc>
          <w:tcPr>
            <w:tcW w:w="140" w:type="dxa"/>
            <w:vAlign w:val="bottom"/>
            <w:tcBorders>
              <w:bottom w:val="single" w:sz="8" w:color="CCCCCC"/>
            </w:tcBorders>
            <w:shd w:val="clear" w:color="auto" w:fill="F2F2F2"/>
          </w:tcPr>
          <w:p>
            <w:pPr>
              <w:spacing w:after="0"/>
              <w:rPr>
                <w:sz w:val="9"/>
                <w:szCs w:val="9"/>
                <w:color w:val="auto"/>
              </w:rPr>
            </w:pPr>
          </w:p>
        </w:tc>
        <w:tc>
          <w:tcPr>
            <w:tcW w:w="640" w:type="dxa"/>
            <w:vAlign w:val="bottom"/>
            <w:tcBorders>
              <w:bottom w:val="single" w:sz="8" w:color="CCCCCC"/>
            </w:tcBorders>
            <w:shd w:val="clear" w:color="auto" w:fill="F2F2F2"/>
          </w:tcPr>
          <w:p>
            <w:pPr>
              <w:spacing w:after="0"/>
              <w:rPr>
                <w:sz w:val="9"/>
                <w:szCs w:val="9"/>
                <w:color w:val="auto"/>
              </w:rPr>
            </w:pPr>
          </w:p>
        </w:tc>
        <w:tc>
          <w:tcPr>
            <w:tcW w:w="280" w:type="dxa"/>
            <w:vAlign w:val="bottom"/>
            <w:tcBorders>
              <w:bottom w:val="single" w:sz="8" w:color="CCCCCC"/>
            </w:tcBorders>
            <w:shd w:val="clear" w:color="auto" w:fill="F2F2F2"/>
          </w:tcPr>
          <w:p>
            <w:pPr>
              <w:spacing w:after="0"/>
              <w:rPr>
                <w:sz w:val="9"/>
                <w:szCs w:val="9"/>
                <w:color w:val="auto"/>
              </w:rPr>
            </w:pPr>
          </w:p>
        </w:tc>
        <w:tc>
          <w:tcPr>
            <w:tcW w:w="380" w:type="dxa"/>
            <w:vAlign w:val="bottom"/>
            <w:tcBorders>
              <w:bottom w:val="single" w:sz="8" w:color="CCCCCC"/>
            </w:tcBorders>
            <w:shd w:val="clear" w:color="auto" w:fill="F2F2F2"/>
          </w:tcPr>
          <w:p>
            <w:pPr>
              <w:spacing w:after="0"/>
              <w:rPr>
                <w:sz w:val="9"/>
                <w:szCs w:val="9"/>
                <w:color w:val="auto"/>
              </w:rPr>
            </w:pPr>
          </w:p>
        </w:tc>
        <w:tc>
          <w:tcPr>
            <w:tcW w:w="140" w:type="dxa"/>
            <w:vAlign w:val="bottom"/>
            <w:tcBorders>
              <w:bottom w:val="single" w:sz="8" w:color="CCCCCC"/>
            </w:tcBorders>
            <w:shd w:val="clear" w:color="auto" w:fill="F2F2F2"/>
          </w:tcPr>
          <w:p>
            <w:pPr>
              <w:spacing w:after="0"/>
              <w:rPr>
                <w:sz w:val="9"/>
                <w:szCs w:val="9"/>
                <w:color w:val="auto"/>
              </w:rPr>
            </w:pPr>
          </w:p>
        </w:tc>
        <w:tc>
          <w:tcPr>
            <w:tcW w:w="740" w:type="dxa"/>
            <w:vAlign w:val="bottom"/>
            <w:tcBorders>
              <w:bottom w:val="single" w:sz="8" w:color="CCCCCC"/>
            </w:tcBorders>
            <w:shd w:val="clear" w:color="auto" w:fill="F2F2F2"/>
          </w:tcPr>
          <w:p>
            <w:pPr>
              <w:spacing w:after="0"/>
              <w:rPr>
                <w:sz w:val="9"/>
                <w:szCs w:val="9"/>
                <w:color w:val="auto"/>
              </w:rPr>
            </w:pPr>
          </w:p>
        </w:tc>
        <w:tc>
          <w:tcPr>
            <w:tcW w:w="540" w:type="dxa"/>
            <w:vAlign w:val="bottom"/>
            <w:tcBorders>
              <w:bottom w:val="single" w:sz="8" w:color="CCCCCC"/>
            </w:tcBorders>
            <w:shd w:val="clear" w:color="auto" w:fill="F2F2F2"/>
          </w:tcPr>
          <w:p>
            <w:pPr>
              <w:spacing w:after="0"/>
              <w:rPr>
                <w:sz w:val="9"/>
                <w:szCs w:val="9"/>
                <w:color w:val="auto"/>
              </w:rPr>
            </w:pPr>
          </w:p>
        </w:tc>
        <w:tc>
          <w:tcPr>
            <w:tcW w:w="320" w:type="dxa"/>
            <w:vAlign w:val="bottom"/>
            <w:tcBorders>
              <w:bottom w:val="single" w:sz="8" w:color="CCCCCC"/>
            </w:tcBorders>
            <w:shd w:val="clear" w:color="auto" w:fill="F2F2F2"/>
          </w:tcPr>
          <w:p>
            <w:pPr>
              <w:spacing w:after="0"/>
              <w:rPr>
                <w:sz w:val="9"/>
                <w:szCs w:val="9"/>
                <w:color w:val="auto"/>
              </w:rPr>
            </w:pPr>
          </w:p>
        </w:tc>
        <w:tc>
          <w:tcPr>
            <w:tcW w:w="840" w:type="dxa"/>
            <w:vAlign w:val="bottom"/>
            <w:tcBorders>
              <w:bottom w:val="single" w:sz="8" w:color="CCCCCC"/>
            </w:tcBorders>
            <w:shd w:val="clear" w:color="auto" w:fill="F2F2F2"/>
          </w:tcPr>
          <w:p>
            <w:pPr>
              <w:spacing w:after="0"/>
              <w:rPr>
                <w:sz w:val="9"/>
                <w:szCs w:val="9"/>
                <w:color w:val="auto"/>
              </w:rPr>
            </w:pPr>
          </w:p>
        </w:tc>
        <w:tc>
          <w:tcPr>
            <w:tcW w:w="420" w:type="dxa"/>
            <w:vAlign w:val="bottom"/>
            <w:tcBorders>
              <w:bottom w:val="single" w:sz="8" w:color="CCCCCC"/>
            </w:tcBorders>
            <w:shd w:val="clear" w:color="auto" w:fill="F2F2F2"/>
          </w:tcPr>
          <w:p>
            <w:pPr>
              <w:spacing w:after="0"/>
              <w:rPr>
                <w:sz w:val="9"/>
                <w:szCs w:val="9"/>
                <w:color w:val="auto"/>
              </w:rPr>
            </w:pPr>
          </w:p>
        </w:tc>
        <w:tc>
          <w:tcPr>
            <w:tcW w:w="580" w:type="dxa"/>
            <w:vAlign w:val="bottom"/>
            <w:tcBorders>
              <w:bottom w:val="single" w:sz="8" w:color="CCCCCC"/>
            </w:tcBorders>
            <w:shd w:val="clear" w:color="auto" w:fill="F2F2F2"/>
          </w:tcPr>
          <w:p>
            <w:pPr>
              <w:spacing w:after="0"/>
              <w:rPr>
                <w:sz w:val="9"/>
                <w:szCs w:val="9"/>
                <w:color w:val="auto"/>
              </w:rPr>
            </w:pPr>
          </w:p>
        </w:tc>
        <w:tc>
          <w:tcPr>
            <w:tcW w:w="300" w:type="dxa"/>
            <w:vAlign w:val="bottom"/>
            <w:tcBorders>
              <w:bottom w:val="single" w:sz="8" w:color="CCCCCC"/>
            </w:tcBorders>
            <w:shd w:val="clear" w:color="auto" w:fill="F2F2F2"/>
          </w:tcPr>
          <w:p>
            <w:pPr>
              <w:spacing w:after="0"/>
              <w:rPr>
                <w:sz w:val="9"/>
                <w:szCs w:val="9"/>
                <w:color w:val="auto"/>
              </w:rPr>
            </w:pPr>
          </w:p>
        </w:tc>
        <w:tc>
          <w:tcPr>
            <w:tcW w:w="740" w:type="dxa"/>
            <w:vAlign w:val="bottom"/>
            <w:tcBorders>
              <w:bottom w:val="single" w:sz="8" w:color="CCCCCC"/>
            </w:tcBorders>
            <w:shd w:val="clear" w:color="auto" w:fill="F2F2F2"/>
          </w:tcPr>
          <w:p>
            <w:pPr>
              <w:spacing w:after="0"/>
              <w:rPr>
                <w:sz w:val="9"/>
                <w:szCs w:val="9"/>
                <w:color w:val="auto"/>
              </w:rPr>
            </w:pPr>
          </w:p>
        </w:tc>
        <w:tc>
          <w:tcPr>
            <w:tcW w:w="1020" w:type="dxa"/>
            <w:vAlign w:val="bottom"/>
            <w:tcBorders>
              <w:bottom w:val="single" w:sz="8" w:color="CCCCCC"/>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740" w:type="dxa"/>
            <w:vAlign w:val="bottom"/>
            <w:shd w:val="clear" w:color="auto" w:fill="F2F2F2"/>
          </w:tcPr>
          <w:p>
            <w:pPr>
              <w:ind w:left="100"/>
              <w:spacing w:after="0"/>
              <w:rPr>
                <w:sz w:val="20"/>
                <w:szCs w:val="20"/>
                <w:color w:val="auto"/>
              </w:rPr>
            </w:pPr>
            <w:r>
              <w:rPr>
                <w:rFonts w:ascii="Arial" w:cs="Arial" w:eastAsia="Arial" w:hAnsi="Arial"/>
                <w:sz w:val="13"/>
                <w:szCs w:val="13"/>
                <w:color w:val="auto"/>
              </w:rPr>
              <w:t>and Chief Financial Officer</w:t>
            </w:r>
            <w:r>
              <w:rPr>
                <w:rFonts w:ascii="Arial" w:cs="Arial" w:eastAsia="Arial" w:hAnsi="Arial"/>
                <w:sz w:val="15"/>
                <w:szCs w:val="15"/>
                <w:color w:val="auto"/>
              </w:rPr>
              <w:t>​</w:t>
            </w:r>
          </w:p>
        </w:tc>
        <w:tc>
          <w:tcPr>
            <w:tcW w:w="40" w:type="dxa"/>
            <w:vAlign w:val="bottom"/>
            <w:shd w:val="clear" w:color="auto" w:fill="F2F2F2"/>
          </w:tcPr>
          <w:p>
            <w:pPr>
              <w:spacing w:after="0"/>
              <w:rPr>
                <w:sz w:val="22"/>
                <w:szCs w:val="22"/>
                <w:color w:val="auto"/>
              </w:rPr>
            </w:pPr>
          </w:p>
        </w:tc>
        <w:tc>
          <w:tcPr>
            <w:tcW w:w="400" w:type="dxa"/>
            <w:vAlign w:val="bottom"/>
            <w:shd w:val="clear" w:color="auto" w:fill="F2F2F2"/>
          </w:tcPr>
          <w:p>
            <w:pPr>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F2F2F2"/>
          </w:tcPr>
          <w:p>
            <w:pPr>
              <w:jc w:val="right"/>
              <w:spacing w:after="0"/>
              <w:rPr>
                <w:sz w:val="20"/>
                <w:szCs w:val="20"/>
                <w:color w:val="auto"/>
              </w:rPr>
            </w:pPr>
            <w:r>
              <w:rPr>
                <w:rFonts w:ascii="Arial" w:cs="Arial" w:eastAsia="Arial" w:hAnsi="Arial"/>
                <w:sz w:val="15"/>
                <w:szCs w:val="15"/>
                <w:color w:val="auto"/>
              </w:rPr>
              <w:t>433,461</w:t>
            </w:r>
          </w:p>
        </w:tc>
        <w:tc>
          <w:tcPr>
            <w:tcW w:w="28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F2F2F2"/>
          </w:tcPr>
          <w:p>
            <w:pPr>
              <w:jc w:val="right"/>
              <w:ind w:right="64"/>
              <w:spacing w:after="0"/>
              <w:rPr>
                <w:sz w:val="20"/>
                <w:szCs w:val="20"/>
                <w:color w:val="auto"/>
              </w:rPr>
            </w:pPr>
            <w:r>
              <w:rPr>
                <w:rFonts w:ascii="Arial" w:cs="Arial" w:eastAsia="Arial" w:hAnsi="Arial"/>
                <w:sz w:val="15"/>
                <w:szCs w:val="15"/>
                <w:color w:val="auto"/>
              </w:rPr>
              <w:t>​5,720,028</w:t>
            </w:r>
          </w:p>
        </w:tc>
        <w:tc>
          <w:tcPr>
            <w:tcW w:w="54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840" w:type="dxa"/>
            <w:vAlign w:val="bottom"/>
            <w:shd w:val="clear" w:color="auto" w:fill="F2F2F2"/>
          </w:tcPr>
          <w:p>
            <w:pPr>
              <w:jc w:val="right"/>
              <w:ind w:right="164"/>
              <w:spacing w:after="0"/>
              <w:rPr>
                <w:sz w:val="20"/>
                <w:szCs w:val="20"/>
                <w:color w:val="auto"/>
              </w:rPr>
            </w:pPr>
            <w:r>
              <w:rPr>
                <w:rFonts w:ascii="Arial" w:cs="Arial" w:eastAsia="Arial" w:hAnsi="Arial"/>
                <w:sz w:val="15"/>
                <w:szCs w:val="15"/>
                <w:color w:val="auto"/>
              </w:rPr>
              <w:t>980,000</w:t>
            </w:r>
          </w:p>
        </w:tc>
        <w:tc>
          <w:tcPr>
            <w:tcW w:w="420" w:type="dxa"/>
            <w:vAlign w:val="bottom"/>
            <w:shd w:val="clear" w:color="auto" w:fill="F2F2F2"/>
          </w:tcPr>
          <w:p>
            <w:pPr>
              <w:ind w:left="240"/>
              <w:spacing w:after="0"/>
              <w:rPr>
                <w:sz w:val="20"/>
                <w:szCs w:val="20"/>
                <w:color w:val="auto"/>
              </w:rPr>
            </w:pPr>
            <w:r>
              <w:rPr>
                <w:rFonts w:ascii="Arial" w:cs="Arial" w:eastAsia="Arial" w:hAnsi="Arial"/>
                <w:sz w:val="15"/>
                <w:szCs w:val="15"/>
                <w:color w:val="auto"/>
              </w:rPr>
              <w:t>​</w:t>
            </w:r>
          </w:p>
        </w:tc>
        <w:tc>
          <w:tcPr>
            <w:tcW w:w="58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F2F2F2"/>
          </w:tcPr>
          <w:p>
            <w:pPr>
              <w:jc w:val="right"/>
              <w:ind w:right="64"/>
              <w:spacing w:after="0"/>
              <w:rPr>
                <w:sz w:val="20"/>
                <w:szCs w:val="20"/>
                <w:color w:val="auto"/>
              </w:rPr>
            </w:pPr>
            <w:r>
              <w:rPr>
                <w:rFonts w:ascii="Arial" w:cs="Arial" w:eastAsia="Arial" w:hAnsi="Arial"/>
                <w:sz w:val="15"/>
                <w:szCs w:val="15"/>
                <w:color w:val="auto"/>
              </w:rPr>
              <w:t>690,273</w:t>
            </w:r>
          </w:p>
        </w:tc>
        <w:tc>
          <w:tcPr>
            <w:tcW w:w="1020" w:type="dxa"/>
            <w:vAlign w:val="bottom"/>
            <w:shd w:val="clear" w:color="auto" w:fill="F2F2F2"/>
          </w:tcPr>
          <w:p>
            <w:pPr>
              <w:ind w:left="140"/>
              <w:spacing w:after="0"/>
              <w:rPr>
                <w:sz w:val="20"/>
                <w:szCs w:val="20"/>
                <w:color w:val="auto"/>
              </w:rPr>
            </w:pPr>
            <w:r>
              <w:rPr>
                <w:rFonts w:ascii="Arial" w:cs="Arial" w:eastAsia="Arial" w:hAnsi="Arial"/>
                <w:sz w:val="15"/>
                <w:szCs w:val="15"/>
                <w:color w:val="auto"/>
              </w:rPr>
              <w:t>​ 7,823,763</w:t>
            </w:r>
          </w:p>
        </w:tc>
        <w:tc>
          <w:tcPr>
            <w:tcW w:w="0" w:type="dxa"/>
            <w:vAlign w:val="bottom"/>
          </w:tcPr>
          <w:p>
            <w:pPr>
              <w:spacing w:after="0"/>
              <w:rPr>
                <w:sz w:val="1"/>
                <w:szCs w:val="1"/>
                <w:color w:val="auto"/>
              </w:rPr>
            </w:pPr>
          </w:p>
        </w:tc>
      </w:tr>
      <w:tr>
        <w:trPr>
          <w:trHeight w:val="74"/>
        </w:trPr>
        <w:tc>
          <w:tcPr>
            <w:tcW w:w="1740" w:type="dxa"/>
            <w:vAlign w:val="bottom"/>
            <w:tcBorders>
              <w:bottom w:val="single" w:sz="8" w:color="CCCCCC"/>
            </w:tcBorders>
            <w:shd w:val="clear" w:color="auto" w:fill="F2F2F2"/>
          </w:tcPr>
          <w:p>
            <w:pPr>
              <w:spacing w:after="0"/>
              <w:rPr>
                <w:sz w:val="6"/>
                <w:szCs w:val="6"/>
                <w:color w:val="auto"/>
              </w:rPr>
            </w:pPr>
          </w:p>
        </w:tc>
        <w:tc>
          <w:tcPr>
            <w:tcW w:w="40" w:type="dxa"/>
            <w:vAlign w:val="bottom"/>
            <w:tcBorders>
              <w:bottom w:val="single" w:sz="8" w:color="CCCCCC"/>
            </w:tcBorders>
            <w:shd w:val="clear" w:color="auto" w:fill="F2F2F2"/>
          </w:tcPr>
          <w:p>
            <w:pPr>
              <w:spacing w:after="0"/>
              <w:rPr>
                <w:sz w:val="6"/>
                <w:szCs w:val="6"/>
                <w:color w:val="auto"/>
              </w:rPr>
            </w:pPr>
          </w:p>
        </w:tc>
        <w:tc>
          <w:tcPr>
            <w:tcW w:w="400" w:type="dxa"/>
            <w:vAlign w:val="bottom"/>
            <w:tcBorders>
              <w:bottom w:val="single" w:sz="8" w:color="CCCCCC"/>
            </w:tcBorders>
            <w:shd w:val="clear" w:color="auto" w:fill="F2F2F2"/>
          </w:tcPr>
          <w:p>
            <w:pPr>
              <w:spacing w:after="0"/>
              <w:rPr>
                <w:sz w:val="6"/>
                <w:szCs w:val="6"/>
                <w:color w:val="auto"/>
              </w:rPr>
            </w:pPr>
          </w:p>
        </w:tc>
        <w:tc>
          <w:tcPr>
            <w:tcW w:w="140" w:type="dxa"/>
            <w:vAlign w:val="bottom"/>
            <w:tcBorders>
              <w:bottom w:val="single" w:sz="8" w:color="CCCCCC"/>
            </w:tcBorders>
            <w:shd w:val="clear" w:color="auto" w:fill="F2F2F2"/>
          </w:tcPr>
          <w:p>
            <w:pPr>
              <w:spacing w:after="0"/>
              <w:rPr>
                <w:sz w:val="6"/>
                <w:szCs w:val="6"/>
                <w:color w:val="auto"/>
              </w:rPr>
            </w:pPr>
          </w:p>
        </w:tc>
        <w:tc>
          <w:tcPr>
            <w:tcW w:w="640" w:type="dxa"/>
            <w:vAlign w:val="bottom"/>
            <w:tcBorders>
              <w:bottom w:val="single" w:sz="8" w:color="CCCCCC"/>
            </w:tcBorders>
            <w:shd w:val="clear" w:color="auto" w:fill="F2F2F2"/>
          </w:tcPr>
          <w:p>
            <w:pPr>
              <w:spacing w:after="0"/>
              <w:rPr>
                <w:sz w:val="6"/>
                <w:szCs w:val="6"/>
                <w:color w:val="auto"/>
              </w:rPr>
            </w:pPr>
          </w:p>
        </w:tc>
        <w:tc>
          <w:tcPr>
            <w:tcW w:w="660" w:type="dxa"/>
            <w:vAlign w:val="bottom"/>
            <w:tcBorders>
              <w:bottom w:val="single" w:sz="8" w:color="CCCCCC"/>
            </w:tcBorders>
            <w:gridSpan w:val="2"/>
            <w:shd w:val="clear" w:color="auto" w:fill="F2F2F2"/>
          </w:tcPr>
          <w:p>
            <w:pPr>
              <w:spacing w:after="0"/>
              <w:rPr>
                <w:sz w:val="6"/>
                <w:szCs w:val="6"/>
                <w:color w:val="auto"/>
              </w:rPr>
            </w:pPr>
          </w:p>
        </w:tc>
        <w:tc>
          <w:tcPr>
            <w:tcW w:w="880" w:type="dxa"/>
            <w:vAlign w:val="bottom"/>
            <w:tcBorders>
              <w:bottom w:val="single" w:sz="8" w:color="CCCCCC"/>
            </w:tcBorders>
            <w:gridSpan w:val="2"/>
            <w:shd w:val="clear" w:color="auto" w:fill="F2F2F2"/>
          </w:tcPr>
          <w:p>
            <w:pPr>
              <w:spacing w:after="0"/>
              <w:rPr>
                <w:sz w:val="6"/>
                <w:szCs w:val="6"/>
                <w:color w:val="auto"/>
              </w:rPr>
            </w:pPr>
          </w:p>
        </w:tc>
        <w:tc>
          <w:tcPr>
            <w:tcW w:w="540" w:type="dxa"/>
            <w:vAlign w:val="bottom"/>
            <w:tcBorders>
              <w:bottom w:val="single" w:sz="8" w:color="CCCCCC"/>
            </w:tcBorders>
            <w:shd w:val="clear" w:color="auto" w:fill="F2F2F2"/>
          </w:tcPr>
          <w:p>
            <w:pPr>
              <w:spacing w:after="0"/>
              <w:rPr>
                <w:sz w:val="6"/>
                <w:szCs w:val="6"/>
                <w:color w:val="auto"/>
              </w:rPr>
            </w:pPr>
          </w:p>
        </w:tc>
        <w:tc>
          <w:tcPr>
            <w:tcW w:w="320" w:type="dxa"/>
            <w:vAlign w:val="bottom"/>
            <w:tcBorders>
              <w:bottom w:val="single" w:sz="8" w:color="CCCCCC"/>
            </w:tcBorders>
            <w:shd w:val="clear" w:color="auto" w:fill="F2F2F2"/>
          </w:tcPr>
          <w:p>
            <w:pPr>
              <w:spacing w:after="0"/>
              <w:rPr>
                <w:sz w:val="6"/>
                <w:szCs w:val="6"/>
                <w:color w:val="auto"/>
              </w:rPr>
            </w:pPr>
          </w:p>
        </w:tc>
        <w:tc>
          <w:tcPr>
            <w:tcW w:w="840" w:type="dxa"/>
            <w:vAlign w:val="bottom"/>
            <w:tcBorders>
              <w:bottom w:val="single" w:sz="8" w:color="CCCCCC"/>
            </w:tcBorders>
            <w:shd w:val="clear" w:color="auto" w:fill="F2F2F2"/>
          </w:tcPr>
          <w:p>
            <w:pPr>
              <w:spacing w:after="0"/>
              <w:rPr>
                <w:sz w:val="6"/>
                <w:szCs w:val="6"/>
                <w:color w:val="auto"/>
              </w:rPr>
            </w:pPr>
          </w:p>
        </w:tc>
        <w:tc>
          <w:tcPr>
            <w:tcW w:w="1000" w:type="dxa"/>
            <w:vAlign w:val="bottom"/>
            <w:tcBorders>
              <w:bottom w:val="single" w:sz="8" w:color="CCCCCC"/>
            </w:tcBorders>
            <w:gridSpan w:val="2"/>
            <w:shd w:val="clear" w:color="auto" w:fill="F2F2F2"/>
          </w:tcPr>
          <w:p>
            <w:pPr>
              <w:spacing w:after="0"/>
              <w:rPr>
                <w:sz w:val="6"/>
                <w:szCs w:val="6"/>
                <w:color w:val="auto"/>
              </w:rPr>
            </w:pPr>
          </w:p>
        </w:tc>
        <w:tc>
          <w:tcPr>
            <w:tcW w:w="300" w:type="dxa"/>
            <w:vAlign w:val="bottom"/>
            <w:tcBorders>
              <w:bottom w:val="single" w:sz="8" w:color="CCCCCC"/>
            </w:tcBorders>
            <w:shd w:val="clear" w:color="auto" w:fill="F2F2F2"/>
          </w:tcPr>
          <w:p>
            <w:pPr>
              <w:spacing w:after="0"/>
              <w:rPr>
                <w:sz w:val="6"/>
                <w:szCs w:val="6"/>
                <w:color w:val="auto"/>
              </w:rPr>
            </w:pPr>
          </w:p>
        </w:tc>
        <w:tc>
          <w:tcPr>
            <w:tcW w:w="740" w:type="dxa"/>
            <w:vAlign w:val="bottom"/>
            <w:tcBorders>
              <w:bottom w:val="single" w:sz="8" w:color="CCCCCC"/>
            </w:tcBorders>
            <w:shd w:val="clear" w:color="auto" w:fill="F2F2F2"/>
          </w:tcPr>
          <w:p>
            <w:pPr>
              <w:spacing w:after="0"/>
              <w:rPr>
                <w:sz w:val="6"/>
                <w:szCs w:val="6"/>
                <w:color w:val="auto"/>
              </w:rPr>
            </w:pPr>
          </w:p>
        </w:tc>
        <w:tc>
          <w:tcPr>
            <w:tcW w:w="1020" w:type="dxa"/>
            <w:vAlign w:val="bottom"/>
            <w:tcBorders>
              <w:bottom w:val="single" w:sz="8" w:color="CCCCCC"/>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740" w:type="dxa"/>
            <w:vAlign w:val="bottom"/>
          </w:tcPr>
          <w:p>
            <w:pPr>
              <w:ind w:left="100"/>
              <w:spacing w:after="0"/>
              <w:rPr>
                <w:sz w:val="20"/>
                <w:szCs w:val="20"/>
                <w:color w:val="auto"/>
              </w:rPr>
            </w:pPr>
            <w:r>
              <w:rPr>
                <w:rFonts w:ascii="Arial" w:cs="Arial" w:eastAsia="Arial" w:hAnsi="Arial"/>
                <w:sz w:val="15"/>
                <w:szCs w:val="15"/>
                <w:color w:val="auto"/>
              </w:rPr>
              <w:t>Monica Karuturi</w:t>
            </w:r>
          </w:p>
        </w:tc>
        <w:tc>
          <w:tcPr>
            <w:tcW w:w="4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​2024</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718,270</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880" w:type="dxa"/>
            <w:vAlign w:val="bottom"/>
            <w:gridSpan w:val="2"/>
          </w:tcPr>
          <w:p>
            <w:pPr>
              <w:jc w:val="right"/>
              <w:ind w:right="64"/>
              <w:spacing w:after="0"/>
              <w:rPr>
                <w:sz w:val="20"/>
                <w:szCs w:val="20"/>
                <w:color w:val="auto"/>
              </w:rPr>
            </w:pPr>
            <w:r>
              <w:rPr>
                <w:rFonts w:ascii="Arial" w:cs="Arial" w:eastAsia="Arial" w:hAnsi="Arial"/>
                <w:sz w:val="15"/>
                <w:szCs w:val="15"/>
                <w:color w:val="auto"/>
              </w:rPr>
              <w:t>​1,884,987</w:t>
            </w:r>
          </w:p>
        </w:tc>
        <w:tc>
          <w:tcPr>
            <w:tcW w:w="540" w:type="dxa"/>
            <w:vAlign w:val="bottom"/>
          </w:tcPr>
          <w:p>
            <w:pPr>
              <w:ind w:left="140"/>
              <w:spacing w:after="0"/>
              <w:rPr>
                <w:sz w:val="20"/>
                <w:szCs w:val="20"/>
                <w:color w:val="auto"/>
              </w:rPr>
            </w:pPr>
            <w:r>
              <w:rPr>
                <w:rFonts w:ascii="Arial" w:cs="Arial" w:eastAsia="Arial" w:hAnsi="Arial"/>
                <w:sz w:val="15"/>
                <w:szCs w:val="15"/>
                <w:color w:val="auto"/>
              </w:rPr>
              <w:t>​—</w:t>
            </w:r>
          </w:p>
        </w:tc>
        <w:tc>
          <w:tcPr>
            <w:tcW w:w="320" w:type="dxa"/>
            <w:vAlign w:val="bottom"/>
          </w:tcPr>
          <w:p>
            <w:pPr>
              <w:ind w:lef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725,000</w:t>
            </w:r>
          </w:p>
        </w:tc>
        <w:tc>
          <w:tcPr>
            <w:tcW w:w="1000" w:type="dxa"/>
            <w:vAlign w:val="bottom"/>
            <w:gridSpan w:val="2"/>
          </w:tcPr>
          <w:p>
            <w:pPr>
              <w:ind w:left="240"/>
              <w:spacing w:after="0"/>
              <w:rPr>
                <w:sz w:val="20"/>
                <w:szCs w:val="20"/>
                <w:color w:val="auto"/>
              </w:rPr>
            </w:pPr>
            <w:r>
              <w:rPr>
                <w:rFonts w:ascii="Arial" w:cs="Arial" w:eastAsia="Arial" w:hAnsi="Arial"/>
                <w:sz w:val="15"/>
                <w:szCs w:val="15"/>
                <w:color w:val="auto"/>
              </w:rPr>
              <w:t>​42,968</w:t>
            </w:r>
          </w:p>
        </w:tc>
        <w:tc>
          <w:tcPr>
            <w:tcW w:w="300" w:type="dxa"/>
            <w:vAlign w:val="bottom"/>
          </w:tcPr>
          <w:p>
            <w:pPr>
              <w:ind w:left="2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189,449</w:t>
            </w:r>
          </w:p>
        </w:tc>
        <w:tc>
          <w:tcPr>
            <w:tcW w:w="1020" w:type="dxa"/>
            <w:vAlign w:val="bottom"/>
          </w:tcPr>
          <w:p>
            <w:pPr>
              <w:ind w:left="140"/>
              <w:spacing w:after="0"/>
              <w:rPr>
                <w:sz w:val="20"/>
                <w:szCs w:val="20"/>
                <w:color w:val="auto"/>
              </w:rPr>
            </w:pPr>
            <w:r>
              <w:rPr>
                <w:rFonts w:ascii="Arial" w:cs="Arial" w:eastAsia="Arial" w:hAnsi="Arial"/>
                <w:sz w:val="15"/>
                <w:szCs w:val="15"/>
                <w:color w:val="auto"/>
              </w:rPr>
              <w:t>​ 3,660,674</w:t>
            </w:r>
          </w:p>
        </w:tc>
        <w:tc>
          <w:tcPr>
            <w:tcW w:w="0" w:type="dxa"/>
            <w:vAlign w:val="bottom"/>
          </w:tcPr>
          <w:p>
            <w:pPr>
              <w:spacing w:after="0"/>
              <w:rPr>
                <w:sz w:val="1"/>
                <w:szCs w:val="1"/>
                <w:color w:val="auto"/>
              </w:rPr>
            </w:pPr>
          </w:p>
        </w:tc>
      </w:tr>
      <w:tr>
        <w:trPr>
          <w:trHeight w:val="85"/>
        </w:trPr>
        <w:tc>
          <w:tcPr>
            <w:tcW w:w="1740" w:type="dxa"/>
            <w:vAlign w:val="bottom"/>
            <w:vMerge w:val="restart"/>
          </w:tcPr>
          <w:p>
            <w:pPr>
              <w:ind w:left="100"/>
              <w:spacing w:after="0"/>
              <w:rPr>
                <w:sz w:val="20"/>
                <w:szCs w:val="20"/>
                <w:color w:val="auto"/>
              </w:rPr>
            </w:pPr>
            <w:r>
              <w:rPr>
                <w:rFonts w:ascii="Arial" w:cs="Arial" w:eastAsia="Arial" w:hAnsi="Arial"/>
                <w:sz w:val="13"/>
                <w:szCs w:val="13"/>
                <w:color w:val="auto"/>
              </w:rPr>
              <w:t>Executive Vice President</w:t>
            </w:r>
          </w:p>
        </w:tc>
        <w:tc>
          <w:tcPr>
            <w:tcW w:w="40" w:type="dxa"/>
            <w:vAlign w:val="bottom"/>
            <w:tcBorders>
              <w:bottom w:val="single" w:sz="8" w:color="CCCCCC"/>
            </w:tcBorders>
          </w:tcPr>
          <w:p>
            <w:pPr>
              <w:spacing w:after="0"/>
              <w:rPr>
                <w:sz w:val="7"/>
                <w:szCs w:val="7"/>
                <w:color w:val="auto"/>
              </w:rPr>
            </w:pPr>
          </w:p>
        </w:tc>
        <w:tc>
          <w:tcPr>
            <w:tcW w:w="40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640" w:type="dxa"/>
            <w:vAlign w:val="bottom"/>
            <w:tcBorders>
              <w:bottom w:val="single" w:sz="8" w:color="CCCCCC"/>
            </w:tcBorders>
          </w:tcPr>
          <w:p>
            <w:pPr>
              <w:spacing w:after="0"/>
              <w:rPr>
                <w:sz w:val="7"/>
                <w:szCs w:val="7"/>
                <w:color w:val="auto"/>
              </w:rPr>
            </w:pPr>
          </w:p>
        </w:tc>
        <w:tc>
          <w:tcPr>
            <w:tcW w:w="280" w:type="dxa"/>
            <w:vAlign w:val="bottom"/>
            <w:tcBorders>
              <w:bottom w:val="single" w:sz="8" w:color="CCCCCC"/>
            </w:tcBorders>
          </w:tcPr>
          <w:p>
            <w:pPr>
              <w:spacing w:after="0"/>
              <w:rPr>
                <w:sz w:val="7"/>
                <w:szCs w:val="7"/>
                <w:color w:val="auto"/>
              </w:rPr>
            </w:pPr>
          </w:p>
        </w:tc>
        <w:tc>
          <w:tcPr>
            <w:tcW w:w="38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740" w:type="dxa"/>
            <w:vAlign w:val="bottom"/>
            <w:tcBorders>
              <w:bottom w:val="single" w:sz="8" w:color="CCCCCC"/>
            </w:tcBorders>
          </w:tcPr>
          <w:p>
            <w:pPr>
              <w:spacing w:after="0"/>
              <w:rPr>
                <w:sz w:val="7"/>
                <w:szCs w:val="7"/>
                <w:color w:val="auto"/>
              </w:rPr>
            </w:pPr>
          </w:p>
        </w:tc>
        <w:tc>
          <w:tcPr>
            <w:tcW w:w="540" w:type="dxa"/>
            <w:vAlign w:val="bottom"/>
            <w:tcBorders>
              <w:bottom w:val="single" w:sz="8" w:color="CCCCCC"/>
            </w:tcBorders>
          </w:tcPr>
          <w:p>
            <w:pPr>
              <w:spacing w:after="0"/>
              <w:rPr>
                <w:sz w:val="7"/>
                <w:szCs w:val="7"/>
                <w:color w:val="auto"/>
              </w:rPr>
            </w:pPr>
          </w:p>
        </w:tc>
        <w:tc>
          <w:tcPr>
            <w:tcW w:w="320" w:type="dxa"/>
            <w:vAlign w:val="bottom"/>
            <w:tcBorders>
              <w:bottom w:val="single" w:sz="8" w:color="CCCCCC"/>
            </w:tcBorders>
          </w:tcPr>
          <w:p>
            <w:pPr>
              <w:spacing w:after="0"/>
              <w:rPr>
                <w:sz w:val="7"/>
                <w:szCs w:val="7"/>
                <w:color w:val="auto"/>
              </w:rPr>
            </w:pPr>
          </w:p>
        </w:tc>
        <w:tc>
          <w:tcPr>
            <w:tcW w:w="840" w:type="dxa"/>
            <w:vAlign w:val="bottom"/>
            <w:tcBorders>
              <w:bottom w:val="single" w:sz="8" w:color="CCCCCC"/>
            </w:tcBorders>
          </w:tcPr>
          <w:p>
            <w:pPr>
              <w:spacing w:after="0"/>
              <w:rPr>
                <w:sz w:val="7"/>
                <w:szCs w:val="7"/>
                <w:color w:val="auto"/>
              </w:rPr>
            </w:pPr>
          </w:p>
        </w:tc>
        <w:tc>
          <w:tcPr>
            <w:tcW w:w="420" w:type="dxa"/>
            <w:vAlign w:val="bottom"/>
            <w:tcBorders>
              <w:bottom w:val="single" w:sz="8" w:color="CCCCCC"/>
            </w:tcBorders>
          </w:tcPr>
          <w:p>
            <w:pPr>
              <w:spacing w:after="0"/>
              <w:rPr>
                <w:sz w:val="7"/>
                <w:szCs w:val="7"/>
                <w:color w:val="auto"/>
              </w:rPr>
            </w:pPr>
          </w:p>
        </w:tc>
        <w:tc>
          <w:tcPr>
            <w:tcW w:w="580" w:type="dxa"/>
            <w:vAlign w:val="bottom"/>
            <w:tcBorders>
              <w:bottom w:val="single" w:sz="8" w:color="CCCCCC"/>
            </w:tcBorders>
          </w:tcPr>
          <w:p>
            <w:pPr>
              <w:spacing w:after="0"/>
              <w:rPr>
                <w:sz w:val="7"/>
                <w:szCs w:val="7"/>
                <w:color w:val="auto"/>
              </w:rPr>
            </w:pPr>
          </w:p>
        </w:tc>
        <w:tc>
          <w:tcPr>
            <w:tcW w:w="300" w:type="dxa"/>
            <w:vAlign w:val="bottom"/>
            <w:tcBorders>
              <w:bottom w:val="single" w:sz="8" w:color="CCCCCC"/>
            </w:tcBorders>
          </w:tcPr>
          <w:p>
            <w:pPr>
              <w:spacing w:after="0"/>
              <w:rPr>
                <w:sz w:val="7"/>
                <w:szCs w:val="7"/>
                <w:color w:val="auto"/>
              </w:rPr>
            </w:pPr>
          </w:p>
        </w:tc>
        <w:tc>
          <w:tcPr>
            <w:tcW w:w="740" w:type="dxa"/>
            <w:vAlign w:val="bottom"/>
            <w:tcBorders>
              <w:bottom w:val="single" w:sz="8" w:color="CCCCCC"/>
            </w:tcBorders>
          </w:tcPr>
          <w:p>
            <w:pPr>
              <w:spacing w:after="0"/>
              <w:rPr>
                <w:sz w:val="7"/>
                <w:szCs w:val="7"/>
                <w:color w:val="auto"/>
              </w:rPr>
            </w:pPr>
          </w:p>
        </w:tc>
        <w:tc>
          <w:tcPr>
            <w:tcW w:w="102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restart"/>
          </w:tcPr>
          <w:p>
            <w:pPr>
              <w:spacing w:after="0"/>
              <w:rPr>
                <w:sz w:val="20"/>
                <w:szCs w:val="20"/>
                <w:color w:val="auto"/>
              </w:rPr>
            </w:pPr>
            <w:r>
              <w:rPr>
                <w:rFonts w:ascii="Arial" w:cs="Arial" w:eastAsia="Arial" w:hAnsi="Arial"/>
                <w:sz w:val="15"/>
                <w:szCs w:val="15"/>
                <w:color w:val="auto"/>
              </w:rPr>
              <w:t>​2023</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695,385</w:t>
            </w:r>
          </w:p>
        </w:tc>
        <w:tc>
          <w:tcPr>
            <w:tcW w:w="2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​1,819,984</w:t>
            </w:r>
          </w:p>
        </w:tc>
        <w:tc>
          <w:tcPr>
            <w:tcW w:w="5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980,000</w:t>
            </w:r>
          </w:p>
        </w:tc>
        <w:tc>
          <w:tcPr>
            <w:tcW w:w="1000" w:type="dxa"/>
            <w:vAlign w:val="bottom"/>
            <w:gridSpan w:val="2"/>
            <w:vMerge w:val="restart"/>
          </w:tcPr>
          <w:p>
            <w:pPr>
              <w:ind w:left="240"/>
              <w:spacing w:after="0"/>
              <w:rPr>
                <w:sz w:val="20"/>
                <w:szCs w:val="20"/>
                <w:color w:val="auto"/>
              </w:rPr>
            </w:pPr>
            <w:r>
              <w:rPr>
                <w:rFonts w:ascii="Arial" w:cs="Arial" w:eastAsia="Arial" w:hAnsi="Arial"/>
                <w:sz w:val="15"/>
                <w:szCs w:val="15"/>
                <w:color w:val="auto"/>
              </w:rPr>
              <w:t>​64,802</w:t>
            </w:r>
          </w:p>
        </w:tc>
        <w:tc>
          <w:tcPr>
            <w:tcW w:w="30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91,667</w:t>
            </w:r>
          </w:p>
        </w:tc>
        <w:tc>
          <w:tcPr>
            <w:tcW w:w="1020" w:type="dxa"/>
            <w:vAlign w:val="bottom"/>
            <w:vMerge w:val="restart"/>
          </w:tcPr>
          <w:p>
            <w:pPr>
              <w:ind w:left="140"/>
              <w:spacing w:after="0"/>
              <w:rPr>
                <w:sz w:val="20"/>
                <w:szCs w:val="20"/>
                <w:color w:val="auto"/>
              </w:rPr>
            </w:pPr>
            <w:r>
              <w:rPr>
                <w:rFonts w:ascii="Arial" w:cs="Arial" w:eastAsia="Arial" w:hAnsi="Arial"/>
                <w:sz w:val="15"/>
                <w:szCs w:val="15"/>
                <w:color w:val="auto"/>
              </w:rPr>
              <w:t>​ 3,651,838</w:t>
            </w:r>
          </w:p>
        </w:tc>
        <w:tc>
          <w:tcPr>
            <w:tcW w:w="0" w:type="dxa"/>
            <w:vAlign w:val="bottom"/>
          </w:tcPr>
          <w:p>
            <w:pPr>
              <w:spacing w:after="0"/>
              <w:rPr>
                <w:sz w:val="1"/>
                <w:szCs w:val="1"/>
                <w:color w:val="auto"/>
              </w:rPr>
            </w:pPr>
          </w:p>
        </w:tc>
      </w:tr>
      <w:tr>
        <w:trPr>
          <w:trHeight w:val="210"/>
        </w:trPr>
        <w:tc>
          <w:tcPr>
            <w:tcW w:w="1740" w:type="dxa"/>
            <w:vAlign w:val="bottom"/>
          </w:tcPr>
          <w:p>
            <w:pPr>
              <w:ind w:left="100"/>
              <w:spacing w:after="0"/>
              <w:rPr>
                <w:sz w:val="20"/>
                <w:szCs w:val="20"/>
                <w:color w:val="auto"/>
              </w:rPr>
            </w:pPr>
            <w:r>
              <w:rPr>
                <w:rFonts w:ascii="Arial" w:cs="Arial" w:eastAsia="Arial" w:hAnsi="Arial"/>
                <w:sz w:val="13"/>
                <w:szCs w:val="13"/>
                <w:color w:val="auto"/>
              </w:rPr>
              <w:t>and General Counsel</w:t>
            </w: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40" w:type="dxa"/>
            <w:vAlign w:val="bottom"/>
          </w:tcPr>
          <w:p>
            <w:pPr>
              <w:spacing w:after="0"/>
              <w:rPr>
                <w:sz w:val="4"/>
                <w:szCs w:val="4"/>
                <w:color w:val="auto"/>
              </w:rPr>
            </w:pPr>
          </w:p>
        </w:tc>
        <w:tc>
          <w:tcPr>
            <w:tcW w:w="40" w:type="dxa"/>
            <w:vAlign w:val="bottom"/>
            <w:tcBorders>
              <w:bottom w:val="single" w:sz="8" w:color="CCCCCC"/>
            </w:tcBorders>
          </w:tcPr>
          <w:p>
            <w:pPr>
              <w:spacing w:after="0"/>
              <w:rPr>
                <w:sz w:val="4"/>
                <w:szCs w:val="4"/>
                <w:color w:val="auto"/>
              </w:rPr>
            </w:pPr>
          </w:p>
        </w:tc>
        <w:tc>
          <w:tcPr>
            <w:tcW w:w="400" w:type="dxa"/>
            <w:vAlign w:val="bottom"/>
            <w:tcBorders>
              <w:bottom w:val="single" w:sz="8" w:color="CCCCCC"/>
            </w:tcBorders>
          </w:tcPr>
          <w:p>
            <w:pPr>
              <w:spacing w:after="0"/>
              <w:rPr>
                <w:sz w:val="4"/>
                <w:szCs w:val="4"/>
                <w:color w:val="auto"/>
              </w:rPr>
            </w:pPr>
          </w:p>
        </w:tc>
        <w:tc>
          <w:tcPr>
            <w:tcW w:w="140" w:type="dxa"/>
            <w:vAlign w:val="bottom"/>
            <w:tcBorders>
              <w:bottom w:val="single" w:sz="8" w:color="CCCCCC"/>
            </w:tcBorders>
          </w:tcPr>
          <w:p>
            <w:pPr>
              <w:spacing w:after="0"/>
              <w:rPr>
                <w:sz w:val="4"/>
                <w:szCs w:val="4"/>
                <w:color w:val="auto"/>
              </w:rPr>
            </w:pPr>
          </w:p>
        </w:tc>
        <w:tc>
          <w:tcPr>
            <w:tcW w:w="640" w:type="dxa"/>
            <w:vAlign w:val="bottom"/>
            <w:tcBorders>
              <w:bottom w:val="single" w:sz="8" w:color="CCCCCC"/>
            </w:tcBorders>
          </w:tcPr>
          <w:p>
            <w:pPr>
              <w:spacing w:after="0"/>
              <w:rPr>
                <w:sz w:val="4"/>
                <w:szCs w:val="4"/>
                <w:color w:val="auto"/>
              </w:rPr>
            </w:pPr>
          </w:p>
        </w:tc>
        <w:tc>
          <w:tcPr>
            <w:tcW w:w="660" w:type="dxa"/>
            <w:vAlign w:val="bottom"/>
            <w:tcBorders>
              <w:bottom w:val="single" w:sz="8" w:color="CCCCCC"/>
            </w:tcBorders>
            <w:gridSpan w:val="2"/>
          </w:tcPr>
          <w:p>
            <w:pPr>
              <w:spacing w:after="0"/>
              <w:rPr>
                <w:sz w:val="4"/>
                <w:szCs w:val="4"/>
                <w:color w:val="auto"/>
              </w:rPr>
            </w:pPr>
          </w:p>
        </w:tc>
        <w:tc>
          <w:tcPr>
            <w:tcW w:w="880" w:type="dxa"/>
            <w:vAlign w:val="bottom"/>
            <w:tcBorders>
              <w:bottom w:val="single" w:sz="8" w:color="CCCCCC"/>
            </w:tcBorders>
            <w:gridSpan w:val="2"/>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32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1000" w:type="dxa"/>
            <w:vAlign w:val="bottom"/>
            <w:tcBorders>
              <w:bottom w:val="single" w:sz="8" w:color="CCCCCC"/>
            </w:tcBorders>
            <w:gridSpan w:val="2"/>
          </w:tcPr>
          <w:p>
            <w:pPr>
              <w:spacing w:after="0"/>
              <w:rPr>
                <w:sz w:val="4"/>
                <w:szCs w:val="4"/>
                <w:color w:val="auto"/>
              </w:rPr>
            </w:pPr>
          </w:p>
        </w:tc>
        <w:tc>
          <w:tcPr>
            <w:tcW w:w="300" w:type="dxa"/>
            <w:vAlign w:val="bottom"/>
            <w:tcBorders>
              <w:bottom w:val="single" w:sz="8" w:color="CCCCCC"/>
            </w:tcBorders>
          </w:tcPr>
          <w:p>
            <w:pPr>
              <w:spacing w:after="0"/>
              <w:rPr>
                <w:sz w:val="4"/>
                <w:szCs w:val="4"/>
                <w:color w:val="auto"/>
              </w:rPr>
            </w:pPr>
          </w:p>
        </w:tc>
        <w:tc>
          <w:tcPr>
            <w:tcW w:w="740" w:type="dxa"/>
            <w:vAlign w:val="bottom"/>
            <w:tcBorders>
              <w:bottom w:val="single" w:sz="8" w:color="CCCCCC"/>
            </w:tcBorders>
          </w:tcPr>
          <w:p>
            <w:pPr>
              <w:spacing w:after="0"/>
              <w:rPr>
                <w:sz w:val="4"/>
                <w:szCs w:val="4"/>
                <w:color w:val="auto"/>
              </w:rPr>
            </w:pPr>
          </w:p>
        </w:tc>
        <w:tc>
          <w:tcPr>
            <w:tcW w:w="102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​2022</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552,462</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​100,000</w:t>
            </w:r>
          </w:p>
        </w:tc>
        <w:tc>
          <w:tcPr>
            <w:tcW w:w="880" w:type="dxa"/>
            <w:vAlign w:val="bottom"/>
            <w:gridSpan w:val="2"/>
          </w:tcPr>
          <w:p>
            <w:pPr>
              <w:jc w:val="right"/>
              <w:ind w:right="64"/>
              <w:spacing w:after="0"/>
              <w:rPr>
                <w:sz w:val="20"/>
                <w:szCs w:val="20"/>
                <w:color w:val="auto"/>
              </w:rPr>
            </w:pPr>
            <w:r>
              <w:rPr>
                <w:rFonts w:ascii="Arial" w:cs="Arial" w:eastAsia="Arial" w:hAnsi="Arial"/>
                <w:sz w:val="15"/>
                <w:szCs w:val="15"/>
                <w:color w:val="auto"/>
              </w:rPr>
              <w:t>​1,102,006</w:t>
            </w:r>
          </w:p>
        </w:tc>
        <w:tc>
          <w:tcPr>
            <w:tcW w:w="540" w:type="dxa"/>
            <w:vAlign w:val="bottom"/>
          </w:tcPr>
          <w:p>
            <w:pPr>
              <w:ind w:left="140"/>
              <w:spacing w:after="0"/>
              <w:rPr>
                <w:sz w:val="20"/>
                <w:szCs w:val="20"/>
                <w:color w:val="auto"/>
              </w:rPr>
            </w:pPr>
            <w:r>
              <w:rPr>
                <w:rFonts w:ascii="Arial" w:cs="Arial" w:eastAsia="Arial" w:hAnsi="Arial"/>
                <w:sz w:val="15"/>
                <w:szCs w:val="15"/>
                <w:color w:val="auto"/>
              </w:rPr>
              <w:t>​—</w:t>
            </w:r>
          </w:p>
        </w:tc>
        <w:tc>
          <w:tcPr>
            <w:tcW w:w="320" w:type="dxa"/>
            <w:vAlign w:val="bottom"/>
          </w:tcPr>
          <w:p>
            <w:pPr>
              <w:ind w:lef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669,900</w:t>
            </w:r>
          </w:p>
        </w:tc>
        <w:tc>
          <w:tcPr>
            <w:tcW w:w="1000" w:type="dxa"/>
            <w:vAlign w:val="bottom"/>
            <w:gridSpan w:val="2"/>
          </w:tcPr>
          <w:p>
            <w:pPr>
              <w:ind w:left="240"/>
              <w:spacing w:after="0"/>
              <w:rPr>
                <w:sz w:val="20"/>
                <w:szCs w:val="20"/>
                <w:color w:val="auto"/>
              </w:rPr>
            </w:pPr>
            <w:r>
              <w:rPr>
                <w:rFonts w:ascii="Arial" w:cs="Arial" w:eastAsia="Arial" w:hAnsi="Arial"/>
                <w:sz w:val="15"/>
                <w:szCs w:val="15"/>
                <w:color w:val="auto"/>
              </w:rPr>
              <w:t>​ 9,454</w:t>
            </w:r>
          </w:p>
        </w:tc>
        <w:tc>
          <w:tcPr>
            <w:tcW w:w="300" w:type="dxa"/>
            <w:vAlign w:val="bottom"/>
          </w:tcPr>
          <w:p>
            <w:pPr>
              <w:ind w:left="2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71,527</w:t>
            </w:r>
          </w:p>
        </w:tc>
        <w:tc>
          <w:tcPr>
            <w:tcW w:w="1020" w:type="dxa"/>
            <w:vAlign w:val="bottom"/>
          </w:tcPr>
          <w:p>
            <w:pPr>
              <w:ind w:left="140"/>
              <w:spacing w:after="0"/>
              <w:rPr>
                <w:sz w:val="20"/>
                <w:szCs w:val="20"/>
                <w:color w:val="auto"/>
              </w:rPr>
            </w:pPr>
            <w:r>
              <w:rPr>
                <w:rFonts w:ascii="Arial" w:cs="Arial" w:eastAsia="Arial" w:hAnsi="Arial"/>
                <w:sz w:val="15"/>
                <w:szCs w:val="15"/>
                <w:color w:val="auto"/>
              </w:rPr>
              <w:t>​ 2,505,350</w:t>
            </w:r>
          </w:p>
        </w:tc>
        <w:tc>
          <w:tcPr>
            <w:tcW w:w="0" w:type="dxa"/>
            <w:vAlign w:val="bottom"/>
          </w:tcPr>
          <w:p>
            <w:pPr>
              <w:spacing w:after="0"/>
              <w:rPr>
                <w:sz w:val="1"/>
                <w:szCs w:val="1"/>
                <w:color w:val="auto"/>
              </w:rPr>
            </w:pPr>
          </w:p>
        </w:tc>
      </w:tr>
      <w:tr>
        <w:trPr>
          <w:trHeight w:val="60"/>
        </w:trPr>
        <w:tc>
          <w:tcPr>
            <w:tcW w:w="174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40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6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58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02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740" w:type="dxa"/>
            <w:vAlign w:val="bottom"/>
            <w:shd w:val="clear" w:color="auto" w:fill="F2F2F2"/>
          </w:tcPr>
          <w:p>
            <w:pPr>
              <w:ind w:left="100"/>
              <w:spacing w:after="0"/>
              <w:rPr>
                <w:sz w:val="20"/>
                <w:szCs w:val="20"/>
                <w:color w:val="auto"/>
              </w:rPr>
            </w:pPr>
            <w:r>
              <w:rPr>
                <w:rFonts w:ascii="Arial" w:cs="Arial" w:eastAsia="Arial" w:hAnsi="Arial"/>
                <w:sz w:val="15"/>
                <w:szCs w:val="15"/>
                <w:color w:val="auto"/>
              </w:rPr>
              <w:t>Jason M. Ryan</w:t>
            </w:r>
          </w:p>
        </w:tc>
        <w:tc>
          <w:tcPr>
            <w:tcW w:w="40" w:type="dxa"/>
            <w:vAlign w:val="bottom"/>
            <w:shd w:val="clear" w:color="auto" w:fill="F2F2F2"/>
          </w:tcPr>
          <w:p>
            <w:pPr>
              <w:spacing w:after="0"/>
              <w:rPr>
                <w:sz w:val="18"/>
                <w:szCs w:val="18"/>
                <w:color w:val="auto"/>
              </w:rPr>
            </w:pPr>
          </w:p>
        </w:tc>
        <w:tc>
          <w:tcPr>
            <w:tcW w:w="400" w:type="dxa"/>
            <w:vAlign w:val="bottom"/>
            <w:vMerge w:val="restart"/>
            <w:shd w:val="clear" w:color="auto" w:fill="F2F2F2"/>
          </w:tcPr>
          <w:p>
            <w:pPr>
              <w:spacing w:after="0"/>
              <w:rPr>
                <w:sz w:val="20"/>
                <w:szCs w:val="20"/>
                <w:color w:val="auto"/>
              </w:rPr>
            </w:pPr>
            <w:r>
              <w:rPr>
                <w:rFonts w:ascii="Arial" w:cs="Arial" w:eastAsia="Arial" w:hAnsi="Arial"/>
                <w:sz w:val="15"/>
                <w:szCs w:val="15"/>
                <w:color w:val="auto"/>
              </w:rPr>
              <w:t>​2024</w:t>
            </w:r>
          </w:p>
        </w:tc>
        <w:tc>
          <w:tcPr>
            <w:tcW w:w="14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F2F2F2"/>
          </w:tcPr>
          <w:p>
            <w:pPr>
              <w:jc w:val="right"/>
              <w:spacing w:after="0"/>
              <w:rPr>
                <w:sz w:val="20"/>
                <w:szCs w:val="20"/>
                <w:color w:val="auto"/>
              </w:rPr>
            </w:pPr>
            <w:r>
              <w:rPr>
                <w:rFonts w:ascii="Arial" w:cs="Arial" w:eastAsia="Arial" w:hAnsi="Arial"/>
                <w:sz w:val="15"/>
                <w:szCs w:val="15"/>
                <w:color w:val="auto"/>
              </w:rPr>
              <w:t>520,962</w:t>
            </w:r>
          </w:p>
        </w:tc>
        <w:tc>
          <w:tcPr>
            <w:tcW w:w="28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shd w:val="clear" w:color="auto" w:fill="F2F2F2"/>
          </w:tcPr>
          <w:p>
            <w:pPr>
              <w:jc w:val="right"/>
              <w:ind w:right="64"/>
              <w:spacing w:after="0"/>
              <w:rPr>
                <w:sz w:val="20"/>
                <w:szCs w:val="20"/>
                <w:color w:val="auto"/>
              </w:rPr>
            </w:pPr>
            <w:r>
              <w:rPr>
                <w:rFonts w:ascii="Arial" w:cs="Arial" w:eastAsia="Arial" w:hAnsi="Arial"/>
                <w:sz w:val="15"/>
                <w:szCs w:val="15"/>
                <w:color w:val="auto"/>
              </w:rPr>
              <w:t>​1,050,002</w:t>
            </w:r>
          </w:p>
        </w:tc>
        <w:tc>
          <w:tcPr>
            <w:tcW w:w="5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20" w:type="dxa"/>
            <w:vAlign w:val="bottom"/>
            <w:vMerge w:val="restart"/>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F2F2F2"/>
          </w:tcPr>
          <w:p>
            <w:pPr>
              <w:jc w:val="right"/>
              <w:ind w:right="164"/>
              <w:spacing w:after="0"/>
              <w:rPr>
                <w:sz w:val="20"/>
                <w:szCs w:val="20"/>
                <w:color w:val="auto"/>
              </w:rPr>
            </w:pPr>
            <w:r>
              <w:rPr>
                <w:rFonts w:ascii="Arial" w:cs="Arial" w:eastAsia="Arial" w:hAnsi="Arial"/>
                <w:sz w:val="15"/>
                <w:szCs w:val="15"/>
                <w:color w:val="auto"/>
              </w:rPr>
              <w:t>459,375</w:t>
            </w:r>
          </w:p>
        </w:tc>
        <w:tc>
          <w:tcPr>
            <w:tcW w:w="1000" w:type="dxa"/>
            <w:vAlign w:val="bottom"/>
            <w:gridSpan w:val="2"/>
            <w:vMerge w:val="restart"/>
            <w:shd w:val="clear" w:color="auto" w:fill="F2F2F2"/>
          </w:tcPr>
          <w:p>
            <w:pPr>
              <w:ind w:left="240"/>
              <w:spacing w:after="0"/>
              <w:rPr>
                <w:sz w:val="20"/>
                <w:szCs w:val="20"/>
                <w:color w:val="auto"/>
              </w:rPr>
            </w:pPr>
            <w:r>
              <w:rPr>
                <w:rFonts w:ascii="Arial" w:cs="Arial" w:eastAsia="Arial" w:hAnsi="Arial"/>
                <w:sz w:val="15"/>
                <w:szCs w:val="15"/>
                <w:color w:val="auto"/>
              </w:rPr>
              <w:t>​37,755</w:t>
            </w:r>
          </w:p>
        </w:tc>
        <w:tc>
          <w:tcPr>
            <w:tcW w:w="300" w:type="dxa"/>
            <w:vAlign w:val="bottom"/>
            <w:vMerge w:val="restart"/>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F2F2F2"/>
          </w:tcPr>
          <w:p>
            <w:pPr>
              <w:jc w:val="right"/>
              <w:ind w:right="64"/>
              <w:spacing w:after="0"/>
              <w:rPr>
                <w:sz w:val="20"/>
                <w:szCs w:val="20"/>
                <w:color w:val="auto"/>
              </w:rPr>
            </w:pPr>
            <w:r>
              <w:rPr>
                <w:rFonts w:ascii="Arial" w:cs="Arial" w:eastAsia="Arial" w:hAnsi="Arial"/>
                <w:sz w:val="15"/>
                <w:szCs w:val="15"/>
                <w:color w:val="auto"/>
              </w:rPr>
              <w:t>172,881</w:t>
            </w:r>
          </w:p>
        </w:tc>
        <w:tc>
          <w:tcPr>
            <w:tcW w:w="102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 2,240,975</w:t>
            </w:r>
          </w:p>
        </w:tc>
        <w:tc>
          <w:tcPr>
            <w:tcW w:w="0" w:type="dxa"/>
            <w:vAlign w:val="bottom"/>
          </w:tcPr>
          <w:p>
            <w:pPr>
              <w:spacing w:after="0"/>
              <w:rPr>
                <w:sz w:val="1"/>
                <w:szCs w:val="1"/>
                <w:color w:val="auto"/>
              </w:rPr>
            </w:pPr>
          </w:p>
        </w:tc>
      </w:tr>
      <w:tr>
        <w:trPr>
          <w:trHeight w:val="94"/>
        </w:trPr>
        <w:tc>
          <w:tcPr>
            <w:tcW w:w="1740" w:type="dxa"/>
            <w:vAlign w:val="bottom"/>
            <w:vMerge w:val="restart"/>
            <w:shd w:val="clear" w:color="auto" w:fill="F2F2F2"/>
          </w:tcPr>
          <w:p>
            <w:pPr>
              <w:ind w:left="100"/>
              <w:spacing w:after="0"/>
              <w:rPr>
                <w:sz w:val="20"/>
                <w:szCs w:val="20"/>
                <w:color w:val="auto"/>
              </w:rPr>
            </w:pPr>
            <w:r>
              <w:rPr>
                <w:rFonts w:ascii="Arial" w:cs="Arial" w:eastAsia="Arial" w:hAnsi="Arial"/>
                <w:sz w:val="13"/>
                <w:szCs w:val="13"/>
                <w:color w:val="auto"/>
              </w:rPr>
              <w:t>Executive Vice President,</w:t>
            </w:r>
          </w:p>
        </w:tc>
        <w:tc>
          <w:tcPr>
            <w:tcW w:w="40" w:type="dxa"/>
            <w:vAlign w:val="bottom"/>
            <w:shd w:val="clear" w:color="auto" w:fill="F2F2F2"/>
          </w:tcPr>
          <w:p>
            <w:pPr>
              <w:spacing w:after="0"/>
              <w:rPr>
                <w:sz w:val="8"/>
                <w:szCs w:val="8"/>
                <w:color w:val="auto"/>
              </w:rPr>
            </w:pPr>
          </w:p>
        </w:tc>
        <w:tc>
          <w:tcPr>
            <w:tcW w:w="400" w:type="dxa"/>
            <w:vAlign w:val="bottom"/>
            <w:vMerge w:val="continue"/>
            <w:shd w:val="clear" w:color="auto" w:fill="F2F2F2"/>
          </w:tcPr>
          <w:p>
            <w:pPr>
              <w:spacing w:after="0"/>
              <w:rPr>
                <w:sz w:val="8"/>
                <w:szCs w:val="8"/>
                <w:color w:val="auto"/>
              </w:rPr>
            </w:pPr>
          </w:p>
        </w:tc>
        <w:tc>
          <w:tcPr>
            <w:tcW w:w="140" w:type="dxa"/>
            <w:vAlign w:val="bottom"/>
            <w:vMerge w:val="continue"/>
            <w:shd w:val="clear" w:color="auto" w:fill="F2F2F2"/>
          </w:tcPr>
          <w:p>
            <w:pPr>
              <w:spacing w:after="0"/>
              <w:rPr>
                <w:sz w:val="8"/>
                <w:szCs w:val="8"/>
                <w:color w:val="auto"/>
              </w:rPr>
            </w:pPr>
          </w:p>
        </w:tc>
        <w:tc>
          <w:tcPr>
            <w:tcW w:w="640" w:type="dxa"/>
            <w:vAlign w:val="bottom"/>
            <w:vMerge w:val="continue"/>
            <w:shd w:val="clear" w:color="auto" w:fill="F2F2F2"/>
          </w:tcPr>
          <w:p>
            <w:pPr>
              <w:spacing w:after="0"/>
              <w:rPr>
                <w:sz w:val="8"/>
                <w:szCs w:val="8"/>
                <w:color w:val="auto"/>
              </w:rPr>
            </w:pPr>
          </w:p>
        </w:tc>
        <w:tc>
          <w:tcPr>
            <w:tcW w:w="280" w:type="dxa"/>
            <w:vAlign w:val="bottom"/>
            <w:vMerge w:val="continue"/>
            <w:shd w:val="clear" w:color="auto" w:fill="F2F2F2"/>
          </w:tcPr>
          <w:p>
            <w:pPr>
              <w:spacing w:after="0"/>
              <w:rPr>
                <w:sz w:val="8"/>
                <w:szCs w:val="8"/>
                <w:color w:val="auto"/>
              </w:rPr>
            </w:pPr>
          </w:p>
        </w:tc>
        <w:tc>
          <w:tcPr>
            <w:tcW w:w="380" w:type="dxa"/>
            <w:vAlign w:val="bottom"/>
            <w:vMerge w:val="continue"/>
            <w:shd w:val="clear" w:color="auto" w:fill="F2F2F2"/>
          </w:tcPr>
          <w:p>
            <w:pPr>
              <w:spacing w:after="0"/>
              <w:rPr>
                <w:sz w:val="8"/>
                <w:szCs w:val="8"/>
                <w:color w:val="auto"/>
              </w:rPr>
            </w:pPr>
          </w:p>
        </w:tc>
        <w:tc>
          <w:tcPr>
            <w:tcW w:w="880" w:type="dxa"/>
            <w:vAlign w:val="bottom"/>
            <w:gridSpan w:val="2"/>
            <w:vMerge w:val="continue"/>
            <w:shd w:val="clear" w:color="auto" w:fill="F2F2F2"/>
          </w:tcPr>
          <w:p>
            <w:pPr>
              <w:spacing w:after="0"/>
              <w:rPr>
                <w:sz w:val="8"/>
                <w:szCs w:val="8"/>
                <w:color w:val="auto"/>
              </w:rPr>
            </w:pPr>
          </w:p>
        </w:tc>
        <w:tc>
          <w:tcPr>
            <w:tcW w:w="540" w:type="dxa"/>
            <w:vAlign w:val="bottom"/>
            <w:vMerge w:val="continue"/>
            <w:shd w:val="clear" w:color="auto" w:fill="F2F2F2"/>
          </w:tcPr>
          <w:p>
            <w:pPr>
              <w:spacing w:after="0"/>
              <w:rPr>
                <w:sz w:val="8"/>
                <w:szCs w:val="8"/>
                <w:color w:val="auto"/>
              </w:rPr>
            </w:pPr>
          </w:p>
        </w:tc>
        <w:tc>
          <w:tcPr>
            <w:tcW w:w="32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1000" w:type="dxa"/>
            <w:vAlign w:val="bottom"/>
            <w:gridSpan w:val="2"/>
            <w:vMerge w:val="continue"/>
            <w:shd w:val="clear" w:color="auto" w:fill="F2F2F2"/>
          </w:tcPr>
          <w:p>
            <w:pPr>
              <w:spacing w:after="0"/>
              <w:rPr>
                <w:sz w:val="8"/>
                <w:szCs w:val="8"/>
                <w:color w:val="auto"/>
              </w:rPr>
            </w:pPr>
          </w:p>
        </w:tc>
        <w:tc>
          <w:tcPr>
            <w:tcW w:w="30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102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40" w:type="dxa"/>
            <w:vAlign w:val="bottom"/>
            <w:tcBorders>
              <w:bottom w:val="single" w:sz="8" w:color="F2F2F2"/>
            </w:tcBorders>
            <w:vMerge w:val="continue"/>
            <w:shd w:val="clear" w:color="auto" w:fill="F2F2F2"/>
          </w:tcPr>
          <w:p>
            <w:pPr>
              <w:spacing w:after="0"/>
              <w:rPr>
                <w:sz w:val="9"/>
                <w:szCs w:val="9"/>
                <w:color w:val="auto"/>
              </w:rPr>
            </w:pPr>
          </w:p>
        </w:tc>
        <w:tc>
          <w:tcPr>
            <w:tcW w:w="40" w:type="dxa"/>
            <w:vAlign w:val="bottom"/>
            <w:tcBorders>
              <w:bottom w:val="single" w:sz="8" w:color="F2F2F2"/>
            </w:tcBorders>
            <w:shd w:val="clear" w:color="auto" w:fill="F2F2F2"/>
          </w:tcPr>
          <w:p>
            <w:pPr>
              <w:spacing w:after="0"/>
              <w:rPr>
                <w:sz w:val="9"/>
                <w:szCs w:val="9"/>
                <w:color w:val="auto"/>
              </w:rPr>
            </w:pPr>
          </w:p>
        </w:tc>
        <w:tc>
          <w:tcPr>
            <w:tcW w:w="400" w:type="dxa"/>
            <w:vAlign w:val="bottom"/>
            <w:tcBorders>
              <w:bottom w:val="single" w:sz="8" w:color="F2F2F2"/>
            </w:tcBorders>
            <w:shd w:val="clear" w:color="auto" w:fill="F2F2F2"/>
          </w:tcPr>
          <w:p>
            <w:pPr>
              <w:spacing w:after="0"/>
              <w:rPr>
                <w:sz w:val="9"/>
                <w:szCs w:val="9"/>
                <w:color w:val="auto"/>
              </w:rPr>
            </w:pPr>
          </w:p>
        </w:tc>
        <w:tc>
          <w:tcPr>
            <w:tcW w:w="140" w:type="dxa"/>
            <w:vAlign w:val="bottom"/>
            <w:tcBorders>
              <w:bottom w:val="single" w:sz="8" w:color="F2F2F2"/>
            </w:tcBorders>
            <w:shd w:val="clear" w:color="auto" w:fill="F2F2F2"/>
          </w:tcPr>
          <w:p>
            <w:pPr>
              <w:spacing w:after="0"/>
              <w:rPr>
                <w:sz w:val="9"/>
                <w:szCs w:val="9"/>
                <w:color w:val="auto"/>
              </w:rPr>
            </w:pPr>
          </w:p>
        </w:tc>
        <w:tc>
          <w:tcPr>
            <w:tcW w:w="640" w:type="dxa"/>
            <w:vAlign w:val="bottom"/>
            <w:tcBorders>
              <w:bottom w:val="single" w:sz="8" w:color="F2F2F2"/>
            </w:tcBorders>
            <w:shd w:val="clear" w:color="auto" w:fill="F2F2F2"/>
          </w:tcPr>
          <w:p>
            <w:pPr>
              <w:spacing w:after="0"/>
              <w:rPr>
                <w:sz w:val="9"/>
                <w:szCs w:val="9"/>
                <w:color w:val="auto"/>
              </w:rPr>
            </w:pPr>
          </w:p>
        </w:tc>
        <w:tc>
          <w:tcPr>
            <w:tcW w:w="280" w:type="dxa"/>
            <w:vAlign w:val="bottom"/>
            <w:tcBorders>
              <w:bottom w:val="single" w:sz="8" w:color="F2F2F2"/>
            </w:tcBorders>
            <w:shd w:val="clear" w:color="auto" w:fill="F2F2F2"/>
          </w:tcPr>
          <w:p>
            <w:pPr>
              <w:spacing w:after="0"/>
              <w:rPr>
                <w:sz w:val="9"/>
                <w:szCs w:val="9"/>
                <w:color w:val="auto"/>
              </w:rPr>
            </w:pPr>
          </w:p>
        </w:tc>
        <w:tc>
          <w:tcPr>
            <w:tcW w:w="380" w:type="dxa"/>
            <w:vAlign w:val="bottom"/>
            <w:tcBorders>
              <w:bottom w:val="single" w:sz="8" w:color="F2F2F2"/>
            </w:tcBorders>
            <w:shd w:val="clear" w:color="auto" w:fill="F2F2F2"/>
          </w:tcPr>
          <w:p>
            <w:pPr>
              <w:spacing w:after="0"/>
              <w:rPr>
                <w:sz w:val="9"/>
                <w:szCs w:val="9"/>
                <w:color w:val="auto"/>
              </w:rPr>
            </w:pPr>
          </w:p>
        </w:tc>
        <w:tc>
          <w:tcPr>
            <w:tcW w:w="140" w:type="dxa"/>
            <w:vAlign w:val="bottom"/>
            <w:tcBorders>
              <w:bottom w:val="single" w:sz="8" w:color="F2F2F2"/>
            </w:tcBorders>
            <w:shd w:val="clear" w:color="auto" w:fill="F2F2F2"/>
          </w:tcPr>
          <w:p>
            <w:pPr>
              <w:spacing w:after="0"/>
              <w:rPr>
                <w:sz w:val="9"/>
                <w:szCs w:val="9"/>
                <w:color w:val="auto"/>
              </w:rPr>
            </w:pPr>
          </w:p>
        </w:tc>
        <w:tc>
          <w:tcPr>
            <w:tcW w:w="740" w:type="dxa"/>
            <w:vAlign w:val="bottom"/>
            <w:tcBorders>
              <w:bottom w:val="single" w:sz="8" w:color="F2F2F2"/>
            </w:tcBorders>
            <w:shd w:val="clear" w:color="auto" w:fill="F2F2F2"/>
          </w:tcPr>
          <w:p>
            <w:pPr>
              <w:spacing w:after="0"/>
              <w:rPr>
                <w:sz w:val="9"/>
                <w:szCs w:val="9"/>
                <w:color w:val="auto"/>
              </w:rPr>
            </w:pPr>
          </w:p>
        </w:tc>
        <w:tc>
          <w:tcPr>
            <w:tcW w:w="540" w:type="dxa"/>
            <w:vAlign w:val="bottom"/>
            <w:tcBorders>
              <w:bottom w:val="single" w:sz="8" w:color="F2F2F2"/>
            </w:tcBorders>
            <w:shd w:val="clear" w:color="auto" w:fill="F2F2F2"/>
          </w:tcPr>
          <w:p>
            <w:pPr>
              <w:spacing w:after="0"/>
              <w:rPr>
                <w:sz w:val="9"/>
                <w:szCs w:val="9"/>
                <w:color w:val="auto"/>
              </w:rPr>
            </w:pPr>
          </w:p>
        </w:tc>
        <w:tc>
          <w:tcPr>
            <w:tcW w:w="320" w:type="dxa"/>
            <w:vAlign w:val="bottom"/>
            <w:tcBorders>
              <w:bottom w:val="single" w:sz="8" w:color="F2F2F2"/>
            </w:tcBorders>
            <w:shd w:val="clear" w:color="auto" w:fill="F2F2F2"/>
          </w:tcPr>
          <w:p>
            <w:pPr>
              <w:spacing w:after="0"/>
              <w:rPr>
                <w:sz w:val="9"/>
                <w:szCs w:val="9"/>
                <w:color w:val="auto"/>
              </w:rPr>
            </w:pPr>
          </w:p>
        </w:tc>
        <w:tc>
          <w:tcPr>
            <w:tcW w:w="840" w:type="dxa"/>
            <w:vAlign w:val="bottom"/>
            <w:tcBorders>
              <w:bottom w:val="single" w:sz="8" w:color="F2F2F2"/>
            </w:tcBorders>
            <w:shd w:val="clear" w:color="auto" w:fill="F2F2F2"/>
          </w:tcPr>
          <w:p>
            <w:pPr>
              <w:spacing w:after="0"/>
              <w:rPr>
                <w:sz w:val="9"/>
                <w:szCs w:val="9"/>
                <w:color w:val="auto"/>
              </w:rPr>
            </w:pPr>
          </w:p>
        </w:tc>
        <w:tc>
          <w:tcPr>
            <w:tcW w:w="420" w:type="dxa"/>
            <w:vAlign w:val="bottom"/>
            <w:tcBorders>
              <w:bottom w:val="single" w:sz="8" w:color="F2F2F2"/>
            </w:tcBorders>
            <w:shd w:val="clear" w:color="auto" w:fill="F2F2F2"/>
          </w:tcPr>
          <w:p>
            <w:pPr>
              <w:spacing w:after="0"/>
              <w:rPr>
                <w:sz w:val="9"/>
                <w:szCs w:val="9"/>
                <w:color w:val="auto"/>
              </w:rPr>
            </w:pPr>
          </w:p>
        </w:tc>
        <w:tc>
          <w:tcPr>
            <w:tcW w:w="580" w:type="dxa"/>
            <w:vAlign w:val="bottom"/>
            <w:tcBorders>
              <w:bottom w:val="single" w:sz="8" w:color="F2F2F2"/>
            </w:tcBorders>
            <w:shd w:val="clear" w:color="auto" w:fill="F2F2F2"/>
          </w:tcPr>
          <w:p>
            <w:pPr>
              <w:spacing w:after="0"/>
              <w:rPr>
                <w:sz w:val="9"/>
                <w:szCs w:val="9"/>
                <w:color w:val="auto"/>
              </w:rPr>
            </w:pPr>
          </w:p>
        </w:tc>
        <w:tc>
          <w:tcPr>
            <w:tcW w:w="300" w:type="dxa"/>
            <w:vAlign w:val="bottom"/>
            <w:tcBorders>
              <w:bottom w:val="single" w:sz="8" w:color="F2F2F2"/>
            </w:tcBorders>
            <w:shd w:val="clear" w:color="auto" w:fill="F2F2F2"/>
          </w:tcPr>
          <w:p>
            <w:pPr>
              <w:spacing w:after="0"/>
              <w:rPr>
                <w:sz w:val="9"/>
                <w:szCs w:val="9"/>
                <w:color w:val="auto"/>
              </w:rPr>
            </w:pPr>
          </w:p>
        </w:tc>
        <w:tc>
          <w:tcPr>
            <w:tcW w:w="740" w:type="dxa"/>
            <w:vAlign w:val="bottom"/>
            <w:tcBorders>
              <w:bottom w:val="single" w:sz="8" w:color="F2F2F2"/>
            </w:tcBorders>
            <w:shd w:val="clear" w:color="auto" w:fill="F2F2F2"/>
          </w:tcPr>
          <w:p>
            <w:pPr>
              <w:spacing w:after="0"/>
              <w:rPr>
                <w:sz w:val="9"/>
                <w:szCs w:val="9"/>
                <w:color w:val="auto"/>
              </w:rPr>
            </w:pPr>
          </w:p>
        </w:tc>
        <w:tc>
          <w:tcPr>
            <w:tcW w:w="1020" w:type="dxa"/>
            <w:vAlign w:val="bottom"/>
            <w:tcBorders>
              <w:bottom w:val="single" w:sz="8" w:color="F2F2F2"/>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740" w:type="dxa"/>
            <w:vAlign w:val="bottom"/>
            <w:tcBorders>
              <w:top w:val="single" w:sz="8" w:color="F2F2F2"/>
            </w:tcBorders>
            <w:shd w:val="clear" w:color="auto" w:fill="F2F2F2"/>
          </w:tcPr>
          <w:p>
            <w:pPr>
              <w:ind w:left="100"/>
              <w:spacing w:after="0" w:line="124" w:lineRule="exact"/>
              <w:rPr>
                <w:sz w:val="20"/>
                <w:szCs w:val="20"/>
                <w:color w:val="auto"/>
              </w:rPr>
            </w:pPr>
            <w:r>
              <w:rPr>
                <w:rFonts w:ascii="Arial" w:cs="Arial" w:eastAsia="Arial" w:hAnsi="Arial"/>
                <w:sz w:val="13"/>
                <w:szCs w:val="13"/>
                <w:color w:val="auto"/>
              </w:rPr>
              <w:t>Regulatory Services &amp;</w:t>
            </w:r>
          </w:p>
        </w:tc>
        <w:tc>
          <w:tcPr>
            <w:tcW w:w="40" w:type="dxa"/>
            <w:vAlign w:val="bottom"/>
            <w:tcBorders>
              <w:top w:val="single" w:sz="8" w:color="CCCCCC"/>
            </w:tcBorders>
            <w:shd w:val="clear" w:color="auto" w:fill="F2F2F2"/>
          </w:tcPr>
          <w:p>
            <w:pPr>
              <w:spacing w:after="0"/>
              <w:rPr>
                <w:sz w:val="10"/>
                <w:szCs w:val="10"/>
                <w:color w:val="auto"/>
              </w:rPr>
            </w:pPr>
          </w:p>
        </w:tc>
        <w:tc>
          <w:tcPr>
            <w:tcW w:w="400" w:type="dxa"/>
            <w:vAlign w:val="bottom"/>
            <w:tcBorders>
              <w:top w:val="single" w:sz="8" w:color="CCCCCC"/>
            </w:tcBorders>
            <w:vMerge w:val="restart"/>
            <w:shd w:val="clear" w:color="auto" w:fill="F2F2F2"/>
          </w:tcPr>
          <w:p>
            <w:pPr>
              <w:spacing w:after="0"/>
              <w:rPr>
                <w:sz w:val="20"/>
                <w:szCs w:val="20"/>
                <w:color w:val="auto"/>
              </w:rPr>
            </w:pPr>
            <w:r>
              <w:rPr>
                <w:rFonts w:ascii="Arial" w:cs="Arial" w:eastAsia="Arial" w:hAnsi="Arial"/>
                <w:sz w:val="15"/>
                <w:szCs w:val="15"/>
                <w:color w:val="auto"/>
              </w:rPr>
              <w:t>​2023</w:t>
            </w:r>
          </w:p>
        </w:tc>
        <w:tc>
          <w:tcPr>
            <w:tcW w:w="140" w:type="dxa"/>
            <w:vAlign w:val="bottom"/>
            <w:tcBorders>
              <w:top w:val="single" w:sz="8" w:color="CCCCCC"/>
            </w:tcBorders>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5"/>
                <w:szCs w:val="15"/>
                <w:color w:val="auto"/>
              </w:rPr>
              <w:t>505,962</w:t>
            </w:r>
          </w:p>
        </w:tc>
        <w:tc>
          <w:tcPr>
            <w:tcW w:w="660" w:type="dxa"/>
            <w:vAlign w:val="bottom"/>
            <w:tcBorders>
              <w:top w:val="single" w:sz="8" w:color="CCCCCC"/>
            </w:tcBorders>
            <w:gridSpan w:val="2"/>
            <w:vMerge w:val="restart"/>
            <w:shd w:val="clear" w:color="auto" w:fill="F2F2F2"/>
          </w:tcPr>
          <w:p>
            <w:pPr>
              <w:jc w:val="right"/>
              <w:spacing w:after="0"/>
              <w:rPr>
                <w:sz w:val="20"/>
                <w:szCs w:val="20"/>
                <w:color w:val="auto"/>
              </w:rPr>
            </w:pPr>
            <w:r>
              <w:rPr>
                <w:rFonts w:ascii="Arial" w:cs="Arial" w:eastAsia="Arial" w:hAnsi="Arial"/>
                <w:sz w:val="15"/>
                <w:szCs w:val="15"/>
                <w:color w:val="auto"/>
              </w:rPr>
              <w:t>​200,000</w:t>
            </w:r>
          </w:p>
        </w:tc>
        <w:tc>
          <w:tcPr>
            <w:tcW w:w="880" w:type="dxa"/>
            <w:vAlign w:val="bottom"/>
            <w:tcBorders>
              <w:top w:val="single" w:sz="8" w:color="CCCCCC"/>
            </w:tcBorders>
            <w:gridSpan w:val="2"/>
            <w:vMerge w:val="restart"/>
            <w:shd w:val="clear" w:color="auto" w:fill="F2F2F2"/>
          </w:tcPr>
          <w:p>
            <w:pPr>
              <w:jc w:val="right"/>
              <w:ind w:right="64"/>
              <w:spacing w:after="0"/>
              <w:rPr>
                <w:sz w:val="20"/>
                <w:szCs w:val="20"/>
                <w:color w:val="auto"/>
              </w:rPr>
            </w:pPr>
            <w:r>
              <w:rPr>
                <w:rFonts w:ascii="Arial" w:cs="Arial" w:eastAsia="Arial" w:hAnsi="Arial"/>
                <w:sz w:val="15"/>
                <w:szCs w:val="15"/>
                <w:color w:val="auto"/>
              </w:rPr>
              <w:t>​1,570,014</w:t>
            </w:r>
          </w:p>
        </w:tc>
        <w:tc>
          <w:tcPr>
            <w:tcW w:w="540" w:type="dxa"/>
            <w:vAlign w:val="bottom"/>
            <w:tcBorders>
              <w:top w:val="single" w:sz="8" w:color="CCCCCC"/>
            </w:tcBorders>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CCCCCC"/>
            </w:tcBorders>
            <w:vMerge w:val="restart"/>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CCCCCC"/>
            </w:tcBorders>
            <w:vMerge w:val="restart"/>
            <w:shd w:val="clear" w:color="auto" w:fill="F2F2F2"/>
          </w:tcPr>
          <w:p>
            <w:pPr>
              <w:jc w:val="right"/>
              <w:ind w:right="164"/>
              <w:spacing w:after="0"/>
              <w:rPr>
                <w:sz w:val="20"/>
                <w:szCs w:val="20"/>
                <w:color w:val="auto"/>
              </w:rPr>
            </w:pPr>
            <w:r>
              <w:rPr>
                <w:rFonts w:ascii="Arial" w:cs="Arial" w:eastAsia="Arial" w:hAnsi="Arial"/>
                <w:sz w:val="15"/>
                <w:szCs w:val="15"/>
                <w:color w:val="auto"/>
              </w:rPr>
              <w:t>624,750</w:t>
            </w:r>
          </w:p>
        </w:tc>
        <w:tc>
          <w:tcPr>
            <w:tcW w:w="1000" w:type="dxa"/>
            <w:vAlign w:val="bottom"/>
            <w:tcBorders>
              <w:top w:val="single" w:sz="8" w:color="CCCCCC"/>
            </w:tcBorders>
            <w:gridSpan w:val="2"/>
            <w:vMerge w:val="restart"/>
            <w:shd w:val="clear" w:color="auto" w:fill="F2F2F2"/>
          </w:tcPr>
          <w:p>
            <w:pPr>
              <w:ind w:left="240"/>
              <w:spacing w:after="0"/>
              <w:rPr>
                <w:sz w:val="20"/>
                <w:szCs w:val="20"/>
                <w:color w:val="auto"/>
              </w:rPr>
            </w:pPr>
            <w:r>
              <w:rPr>
                <w:rFonts w:ascii="Arial" w:cs="Arial" w:eastAsia="Arial" w:hAnsi="Arial"/>
                <w:sz w:val="15"/>
                <w:szCs w:val="15"/>
                <w:color w:val="auto"/>
              </w:rPr>
              <w:t>​58,652</w:t>
            </w:r>
          </w:p>
        </w:tc>
        <w:tc>
          <w:tcPr>
            <w:tcW w:w="300" w:type="dxa"/>
            <w:vAlign w:val="bottom"/>
            <w:tcBorders>
              <w:top w:val="single" w:sz="8" w:color="CCCCCC"/>
            </w:tcBorders>
            <w:vMerge w:val="restart"/>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CCCCCC"/>
            </w:tcBorders>
            <w:vMerge w:val="restart"/>
            <w:shd w:val="clear" w:color="auto" w:fill="F2F2F2"/>
          </w:tcPr>
          <w:p>
            <w:pPr>
              <w:jc w:val="right"/>
              <w:ind w:right="64"/>
              <w:spacing w:after="0"/>
              <w:rPr>
                <w:sz w:val="20"/>
                <w:szCs w:val="20"/>
                <w:color w:val="auto"/>
              </w:rPr>
            </w:pPr>
            <w:r>
              <w:rPr>
                <w:rFonts w:ascii="Arial" w:cs="Arial" w:eastAsia="Arial" w:hAnsi="Arial"/>
                <w:sz w:val="15"/>
                <w:szCs w:val="15"/>
                <w:color w:val="auto"/>
              </w:rPr>
              <w:t>99,211</w:t>
            </w:r>
          </w:p>
        </w:tc>
        <w:tc>
          <w:tcPr>
            <w:tcW w:w="1020" w:type="dxa"/>
            <w:vAlign w:val="bottom"/>
            <w:tcBorders>
              <w:top w:val="single" w:sz="8" w:color="CCCCCC"/>
            </w:tcBorders>
            <w:vMerge w:val="restart"/>
            <w:shd w:val="clear" w:color="auto" w:fill="F2F2F2"/>
          </w:tcPr>
          <w:p>
            <w:pPr>
              <w:ind w:left="140"/>
              <w:spacing w:after="0"/>
              <w:rPr>
                <w:sz w:val="20"/>
                <w:szCs w:val="20"/>
                <w:color w:val="auto"/>
              </w:rPr>
            </w:pPr>
            <w:r>
              <w:rPr>
                <w:rFonts w:ascii="Arial" w:cs="Arial" w:eastAsia="Arial" w:hAnsi="Arial"/>
                <w:sz w:val="15"/>
                <w:szCs w:val="15"/>
                <w:color w:val="auto"/>
              </w:rPr>
              <w:t>​ 3,058,589</w:t>
            </w:r>
          </w:p>
        </w:tc>
        <w:tc>
          <w:tcPr>
            <w:tcW w:w="0" w:type="dxa"/>
            <w:vAlign w:val="bottom"/>
          </w:tcPr>
          <w:p>
            <w:pPr>
              <w:spacing w:after="0"/>
              <w:rPr>
                <w:sz w:val="1"/>
                <w:szCs w:val="1"/>
                <w:color w:val="auto"/>
              </w:rPr>
            </w:pPr>
          </w:p>
        </w:tc>
      </w:tr>
      <w:tr>
        <w:trPr>
          <w:trHeight w:val="200"/>
        </w:trPr>
        <w:tc>
          <w:tcPr>
            <w:tcW w:w="1740" w:type="dxa"/>
            <w:vAlign w:val="bottom"/>
            <w:shd w:val="clear" w:color="auto" w:fill="F2F2F2"/>
          </w:tcPr>
          <w:p>
            <w:pPr>
              <w:ind w:left="100"/>
              <w:spacing w:after="0"/>
              <w:rPr>
                <w:sz w:val="20"/>
                <w:szCs w:val="20"/>
                <w:color w:val="auto"/>
              </w:rPr>
            </w:pPr>
            <w:r>
              <w:rPr>
                <w:rFonts w:ascii="Arial" w:cs="Arial" w:eastAsia="Arial" w:hAnsi="Arial"/>
                <w:sz w:val="13"/>
                <w:szCs w:val="13"/>
                <w:color w:val="auto"/>
              </w:rPr>
              <w:t>Government Affairs</w:t>
            </w:r>
            <w:r>
              <w:rPr>
                <w:rFonts w:ascii="Arial" w:cs="Arial" w:eastAsia="Arial" w:hAnsi="Arial"/>
                <w:sz w:val="15"/>
                <w:szCs w:val="15"/>
                <w:color w:val="auto"/>
              </w:rPr>
              <w:t>​</w:t>
            </w:r>
          </w:p>
        </w:tc>
        <w:tc>
          <w:tcPr>
            <w:tcW w:w="40" w:type="dxa"/>
            <w:vAlign w:val="bottom"/>
            <w:shd w:val="clear" w:color="auto" w:fill="F2F2F2"/>
          </w:tcPr>
          <w:p>
            <w:pPr>
              <w:spacing w:after="0"/>
              <w:rPr>
                <w:sz w:val="17"/>
                <w:szCs w:val="17"/>
                <w:color w:val="auto"/>
              </w:rPr>
            </w:pPr>
          </w:p>
        </w:tc>
        <w:tc>
          <w:tcPr>
            <w:tcW w:w="400" w:type="dxa"/>
            <w:vAlign w:val="bottom"/>
            <w:vMerge w:val="continue"/>
            <w:shd w:val="clear" w:color="auto" w:fill="F2F2F2"/>
          </w:tcPr>
          <w:p>
            <w:pPr>
              <w:spacing w:after="0"/>
              <w:rPr>
                <w:sz w:val="17"/>
                <w:szCs w:val="17"/>
                <w:color w:val="auto"/>
              </w:rPr>
            </w:pPr>
          </w:p>
        </w:tc>
        <w:tc>
          <w:tcPr>
            <w:tcW w:w="140" w:type="dxa"/>
            <w:vAlign w:val="bottom"/>
            <w:vMerge w:val="continue"/>
            <w:shd w:val="clear" w:color="auto" w:fill="F2F2F2"/>
          </w:tcPr>
          <w:p>
            <w:pPr>
              <w:spacing w:after="0"/>
              <w:rPr>
                <w:sz w:val="17"/>
                <w:szCs w:val="17"/>
                <w:color w:val="auto"/>
              </w:rPr>
            </w:pPr>
          </w:p>
        </w:tc>
        <w:tc>
          <w:tcPr>
            <w:tcW w:w="640" w:type="dxa"/>
            <w:vAlign w:val="bottom"/>
            <w:vMerge w:val="continue"/>
            <w:shd w:val="clear" w:color="auto" w:fill="F2F2F2"/>
          </w:tcPr>
          <w:p>
            <w:pPr>
              <w:spacing w:after="0"/>
              <w:rPr>
                <w:sz w:val="17"/>
                <w:szCs w:val="17"/>
                <w:color w:val="auto"/>
              </w:rPr>
            </w:pPr>
          </w:p>
        </w:tc>
        <w:tc>
          <w:tcPr>
            <w:tcW w:w="660" w:type="dxa"/>
            <w:vAlign w:val="bottom"/>
            <w:gridSpan w:val="2"/>
            <w:vMerge w:val="continue"/>
            <w:shd w:val="clear" w:color="auto" w:fill="F2F2F2"/>
          </w:tcPr>
          <w:p>
            <w:pPr>
              <w:spacing w:after="0"/>
              <w:rPr>
                <w:sz w:val="17"/>
                <w:szCs w:val="17"/>
                <w:color w:val="auto"/>
              </w:rPr>
            </w:pPr>
          </w:p>
        </w:tc>
        <w:tc>
          <w:tcPr>
            <w:tcW w:w="880" w:type="dxa"/>
            <w:vAlign w:val="bottom"/>
            <w:gridSpan w:val="2"/>
            <w:vMerge w:val="continue"/>
            <w:shd w:val="clear" w:color="auto" w:fill="F2F2F2"/>
          </w:tcPr>
          <w:p>
            <w:pPr>
              <w:spacing w:after="0"/>
              <w:rPr>
                <w:sz w:val="17"/>
                <w:szCs w:val="17"/>
                <w:color w:val="auto"/>
              </w:rPr>
            </w:pPr>
          </w:p>
        </w:tc>
        <w:tc>
          <w:tcPr>
            <w:tcW w:w="540" w:type="dxa"/>
            <w:vAlign w:val="bottom"/>
            <w:vMerge w:val="continue"/>
            <w:shd w:val="clear" w:color="auto" w:fill="F2F2F2"/>
          </w:tcPr>
          <w:p>
            <w:pPr>
              <w:spacing w:after="0"/>
              <w:rPr>
                <w:sz w:val="17"/>
                <w:szCs w:val="17"/>
                <w:color w:val="auto"/>
              </w:rPr>
            </w:pPr>
          </w:p>
        </w:tc>
        <w:tc>
          <w:tcPr>
            <w:tcW w:w="320" w:type="dxa"/>
            <w:vAlign w:val="bottom"/>
            <w:vMerge w:val="continue"/>
            <w:shd w:val="clear" w:color="auto" w:fill="F2F2F2"/>
          </w:tcPr>
          <w:p>
            <w:pPr>
              <w:spacing w:after="0"/>
              <w:rPr>
                <w:sz w:val="17"/>
                <w:szCs w:val="17"/>
                <w:color w:val="auto"/>
              </w:rPr>
            </w:pPr>
          </w:p>
        </w:tc>
        <w:tc>
          <w:tcPr>
            <w:tcW w:w="840" w:type="dxa"/>
            <w:vAlign w:val="bottom"/>
            <w:vMerge w:val="continue"/>
            <w:shd w:val="clear" w:color="auto" w:fill="F2F2F2"/>
          </w:tcPr>
          <w:p>
            <w:pPr>
              <w:spacing w:after="0"/>
              <w:rPr>
                <w:sz w:val="17"/>
                <w:szCs w:val="17"/>
                <w:color w:val="auto"/>
              </w:rPr>
            </w:pPr>
          </w:p>
        </w:tc>
        <w:tc>
          <w:tcPr>
            <w:tcW w:w="1000" w:type="dxa"/>
            <w:vAlign w:val="bottom"/>
            <w:gridSpan w:val="2"/>
            <w:vMerge w:val="continue"/>
            <w:shd w:val="clear" w:color="auto" w:fill="F2F2F2"/>
          </w:tcPr>
          <w:p>
            <w:pPr>
              <w:spacing w:after="0"/>
              <w:rPr>
                <w:sz w:val="17"/>
                <w:szCs w:val="17"/>
                <w:color w:val="auto"/>
              </w:rPr>
            </w:pPr>
          </w:p>
        </w:tc>
        <w:tc>
          <w:tcPr>
            <w:tcW w:w="300" w:type="dxa"/>
            <w:vAlign w:val="bottom"/>
            <w:vMerge w:val="continue"/>
            <w:shd w:val="clear" w:color="auto" w:fill="F2F2F2"/>
          </w:tcPr>
          <w:p>
            <w:pPr>
              <w:spacing w:after="0"/>
              <w:rPr>
                <w:sz w:val="17"/>
                <w:szCs w:val="17"/>
                <w:color w:val="auto"/>
              </w:rPr>
            </w:pPr>
          </w:p>
        </w:tc>
        <w:tc>
          <w:tcPr>
            <w:tcW w:w="740" w:type="dxa"/>
            <w:vAlign w:val="bottom"/>
            <w:vMerge w:val="continue"/>
            <w:shd w:val="clear" w:color="auto" w:fill="F2F2F2"/>
          </w:tcPr>
          <w:p>
            <w:pPr>
              <w:spacing w:after="0"/>
              <w:rPr>
                <w:sz w:val="17"/>
                <w:szCs w:val="17"/>
                <w:color w:val="auto"/>
              </w:rPr>
            </w:pPr>
          </w:p>
        </w:tc>
        <w:tc>
          <w:tcPr>
            <w:tcW w:w="102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740" w:type="dxa"/>
            <w:vAlign w:val="bottom"/>
            <w:tcBorders>
              <w:bottom w:val="single" w:sz="8" w:color="CCCCCC"/>
            </w:tcBorders>
            <w:shd w:val="clear" w:color="auto" w:fill="F2F2F2"/>
          </w:tcPr>
          <w:p>
            <w:pPr>
              <w:spacing w:after="0"/>
              <w:rPr>
                <w:sz w:val="8"/>
                <w:szCs w:val="8"/>
                <w:color w:val="auto"/>
              </w:rPr>
            </w:pPr>
          </w:p>
        </w:tc>
        <w:tc>
          <w:tcPr>
            <w:tcW w:w="40" w:type="dxa"/>
            <w:vAlign w:val="bottom"/>
            <w:tcBorders>
              <w:bottom w:val="single" w:sz="8" w:color="CCCCCC"/>
            </w:tcBorders>
            <w:shd w:val="clear" w:color="auto" w:fill="F2F2F2"/>
          </w:tcPr>
          <w:p>
            <w:pPr>
              <w:spacing w:after="0"/>
              <w:rPr>
                <w:sz w:val="8"/>
                <w:szCs w:val="8"/>
                <w:color w:val="auto"/>
              </w:rPr>
            </w:pPr>
          </w:p>
        </w:tc>
        <w:tc>
          <w:tcPr>
            <w:tcW w:w="400" w:type="dxa"/>
            <w:vAlign w:val="bottom"/>
            <w:tcBorders>
              <w:bottom w:val="single" w:sz="8" w:color="CCCCCC"/>
            </w:tcBorders>
            <w:shd w:val="clear" w:color="auto" w:fill="F2F2F2"/>
          </w:tcPr>
          <w:p>
            <w:pPr>
              <w:spacing w:after="0"/>
              <w:rPr>
                <w:sz w:val="8"/>
                <w:szCs w:val="8"/>
                <w:color w:val="auto"/>
              </w:rPr>
            </w:pPr>
          </w:p>
        </w:tc>
        <w:tc>
          <w:tcPr>
            <w:tcW w:w="140" w:type="dxa"/>
            <w:vAlign w:val="bottom"/>
            <w:tcBorders>
              <w:bottom w:val="single" w:sz="8" w:color="CCCCCC"/>
            </w:tcBorders>
            <w:shd w:val="clear" w:color="auto" w:fill="F2F2F2"/>
          </w:tcPr>
          <w:p>
            <w:pPr>
              <w:spacing w:after="0"/>
              <w:rPr>
                <w:sz w:val="8"/>
                <w:szCs w:val="8"/>
                <w:color w:val="auto"/>
              </w:rPr>
            </w:pPr>
          </w:p>
        </w:tc>
        <w:tc>
          <w:tcPr>
            <w:tcW w:w="640" w:type="dxa"/>
            <w:vAlign w:val="bottom"/>
            <w:tcBorders>
              <w:bottom w:val="single" w:sz="8" w:color="CCCCCC"/>
            </w:tcBorders>
            <w:shd w:val="clear" w:color="auto" w:fill="F2F2F2"/>
          </w:tcPr>
          <w:p>
            <w:pPr>
              <w:spacing w:after="0"/>
              <w:rPr>
                <w:sz w:val="8"/>
                <w:szCs w:val="8"/>
                <w:color w:val="auto"/>
              </w:rPr>
            </w:pPr>
          </w:p>
        </w:tc>
        <w:tc>
          <w:tcPr>
            <w:tcW w:w="280" w:type="dxa"/>
            <w:vAlign w:val="bottom"/>
            <w:tcBorders>
              <w:bottom w:val="single" w:sz="8" w:color="CCCCCC"/>
            </w:tcBorders>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spacing w:after="0"/>
              <w:rPr>
                <w:sz w:val="8"/>
                <w:szCs w:val="8"/>
                <w:color w:val="auto"/>
              </w:rPr>
            </w:pPr>
          </w:p>
        </w:tc>
        <w:tc>
          <w:tcPr>
            <w:tcW w:w="140" w:type="dxa"/>
            <w:vAlign w:val="bottom"/>
            <w:tcBorders>
              <w:bottom w:val="single" w:sz="8" w:color="CCCCCC"/>
            </w:tcBorders>
            <w:shd w:val="clear" w:color="auto" w:fill="F2F2F2"/>
          </w:tcPr>
          <w:p>
            <w:pPr>
              <w:spacing w:after="0"/>
              <w:rPr>
                <w:sz w:val="8"/>
                <w:szCs w:val="8"/>
                <w:color w:val="auto"/>
              </w:rPr>
            </w:pPr>
          </w:p>
        </w:tc>
        <w:tc>
          <w:tcPr>
            <w:tcW w:w="740" w:type="dxa"/>
            <w:vAlign w:val="bottom"/>
            <w:tcBorders>
              <w:bottom w:val="single" w:sz="8" w:color="CCCCCC"/>
            </w:tcBorders>
            <w:shd w:val="clear" w:color="auto" w:fill="F2F2F2"/>
          </w:tcPr>
          <w:p>
            <w:pPr>
              <w:spacing w:after="0"/>
              <w:rPr>
                <w:sz w:val="8"/>
                <w:szCs w:val="8"/>
                <w:color w:val="auto"/>
              </w:rPr>
            </w:pPr>
          </w:p>
        </w:tc>
        <w:tc>
          <w:tcPr>
            <w:tcW w:w="540" w:type="dxa"/>
            <w:vAlign w:val="bottom"/>
            <w:tcBorders>
              <w:bottom w:val="single" w:sz="8" w:color="CCCCCC"/>
            </w:tcBorders>
            <w:shd w:val="clear" w:color="auto" w:fill="F2F2F2"/>
          </w:tcPr>
          <w:p>
            <w:pPr>
              <w:spacing w:after="0"/>
              <w:rPr>
                <w:sz w:val="8"/>
                <w:szCs w:val="8"/>
                <w:color w:val="auto"/>
              </w:rPr>
            </w:pPr>
          </w:p>
        </w:tc>
        <w:tc>
          <w:tcPr>
            <w:tcW w:w="320" w:type="dxa"/>
            <w:vAlign w:val="bottom"/>
            <w:tcBorders>
              <w:bottom w:val="single" w:sz="8" w:color="CCCCCC"/>
            </w:tcBorders>
            <w:shd w:val="clear" w:color="auto" w:fill="F2F2F2"/>
          </w:tcPr>
          <w:p>
            <w:pPr>
              <w:spacing w:after="0"/>
              <w:rPr>
                <w:sz w:val="8"/>
                <w:szCs w:val="8"/>
                <w:color w:val="auto"/>
              </w:rPr>
            </w:pPr>
          </w:p>
        </w:tc>
        <w:tc>
          <w:tcPr>
            <w:tcW w:w="840" w:type="dxa"/>
            <w:vAlign w:val="bottom"/>
            <w:tcBorders>
              <w:bottom w:val="single" w:sz="8" w:color="CCCCCC"/>
            </w:tcBorders>
            <w:shd w:val="clear" w:color="auto" w:fill="F2F2F2"/>
          </w:tcPr>
          <w:p>
            <w:pPr>
              <w:spacing w:after="0"/>
              <w:rPr>
                <w:sz w:val="8"/>
                <w:szCs w:val="8"/>
                <w:color w:val="auto"/>
              </w:rPr>
            </w:pPr>
          </w:p>
        </w:tc>
        <w:tc>
          <w:tcPr>
            <w:tcW w:w="420" w:type="dxa"/>
            <w:vAlign w:val="bottom"/>
            <w:tcBorders>
              <w:bottom w:val="single" w:sz="8" w:color="CCCCCC"/>
            </w:tcBorders>
            <w:shd w:val="clear" w:color="auto" w:fill="F2F2F2"/>
          </w:tcPr>
          <w:p>
            <w:pPr>
              <w:spacing w:after="0"/>
              <w:rPr>
                <w:sz w:val="8"/>
                <w:szCs w:val="8"/>
                <w:color w:val="auto"/>
              </w:rPr>
            </w:pPr>
          </w:p>
        </w:tc>
        <w:tc>
          <w:tcPr>
            <w:tcW w:w="580" w:type="dxa"/>
            <w:vAlign w:val="bottom"/>
            <w:tcBorders>
              <w:bottom w:val="single" w:sz="8" w:color="CCCCCC"/>
            </w:tcBorders>
            <w:shd w:val="clear" w:color="auto" w:fill="F2F2F2"/>
          </w:tcPr>
          <w:p>
            <w:pPr>
              <w:spacing w:after="0"/>
              <w:rPr>
                <w:sz w:val="8"/>
                <w:szCs w:val="8"/>
                <w:color w:val="auto"/>
              </w:rPr>
            </w:pPr>
          </w:p>
        </w:tc>
        <w:tc>
          <w:tcPr>
            <w:tcW w:w="300" w:type="dxa"/>
            <w:vAlign w:val="bottom"/>
            <w:tcBorders>
              <w:bottom w:val="single" w:sz="8" w:color="CCCCCC"/>
            </w:tcBorders>
            <w:shd w:val="clear" w:color="auto" w:fill="F2F2F2"/>
          </w:tcPr>
          <w:p>
            <w:pPr>
              <w:spacing w:after="0"/>
              <w:rPr>
                <w:sz w:val="8"/>
                <w:szCs w:val="8"/>
                <w:color w:val="auto"/>
              </w:rPr>
            </w:pPr>
          </w:p>
        </w:tc>
        <w:tc>
          <w:tcPr>
            <w:tcW w:w="740" w:type="dxa"/>
            <w:vAlign w:val="bottom"/>
            <w:tcBorders>
              <w:bottom w:val="single" w:sz="8" w:color="CCCCCC"/>
            </w:tcBorders>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740" w:type="dxa"/>
            <w:vAlign w:val="bottom"/>
          </w:tcPr>
          <w:p>
            <w:pPr>
              <w:ind w:left="100"/>
              <w:spacing w:after="0"/>
              <w:rPr>
                <w:sz w:val="20"/>
                <w:szCs w:val="20"/>
                <w:color w:val="auto"/>
              </w:rPr>
            </w:pPr>
            <w:r>
              <w:rPr>
                <w:rFonts w:ascii="Arial" w:cs="Arial" w:eastAsia="Arial" w:hAnsi="Arial"/>
                <w:sz w:val="15"/>
                <w:szCs w:val="15"/>
                <w:color w:val="auto"/>
              </w:rPr>
              <w:t>Lynne Harkel-Rumford</w:t>
            </w:r>
          </w:p>
        </w:tc>
        <w:tc>
          <w:tcPr>
            <w:tcW w:w="40" w:type="dxa"/>
            <w:vAlign w:val="bottom"/>
          </w:tcPr>
          <w:p>
            <w:pPr>
              <w:spacing w:after="0"/>
              <w:rPr>
                <w:sz w:val="18"/>
                <w:szCs w:val="18"/>
                <w:color w:val="auto"/>
              </w:rPr>
            </w:pPr>
          </w:p>
        </w:tc>
        <w:tc>
          <w:tcPr>
            <w:tcW w:w="400" w:type="dxa"/>
            <w:vAlign w:val="bottom"/>
            <w:vMerge w:val="restart"/>
          </w:tcPr>
          <w:p>
            <w:pPr>
              <w:spacing w:after="0"/>
              <w:rPr>
                <w:sz w:val="20"/>
                <w:szCs w:val="20"/>
                <w:color w:val="auto"/>
              </w:rPr>
            </w:pPr>
            <w:r>
              <w:rPr>
                <w:rFonts w:ascii="Arial" w:cs="Arial" w:eastAsia="Arial" w:hAnsi="Arial"/>
                <w:sz w:val="15"/>
                <w:szCs w:val="15"/>
                <w:color w:val="auto"/>
              </w:rPr>
              <w:t>​2024</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470,962</w:t>
            </w:r>
          </w:p>
        </w:tc>
        <w:tc>
          <w:tcPr>
            <w:tcW w:w="2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949,977</w:t>
            </w:r>
          </w:p>
        </w:tc>
        <w:tc>
          <w:tcPr>
            <w:tcW w:w="5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415,625</w:t>
            </w:r>
          </w:p>
        </w:tc>
        <w:tc>
          <w:tcPr>
            <w:tcW w:w="1000" w:type="dxa"/>
            <w:vAlign w:val="bottom"/>
            <w:gridSpan w:val="2"/>
            <w:vMerge w:val="restart"/>
          </w:tcPr>
          <w:p>
            <w:pPr>
              <w:ind w:left="240"/>
              <w:spacing w:after="0"/>
              <w:rPr>
                <w:sz w:val="20"/>
                <w:szCs w:val="20"/>
                <w:color w:val="auto"/>
              </w:rPr>
            </w:pPr>
            <w:r>
              <w:rPr>
                <w:rFonts w:ascii="Arial" w:cs="Arial" w:eastAsia="Arial" w:hAnsi="Arial"/>
                <w:sz w:val="15"/>
                <w:szCs w:val="15"/>
                <w:color w:val="auto"/>
              </w:rPr>
              <w:t>​27,460</w:t>
            </w:r>
          </w:p>
        </w:tc>
        <w:tc>
          <w:tcPr>
            <w:tcW w:w="30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195,664</w:t>
            </w:r>
          </w:p>
        </w:tc>
        <w:tc>
          <w:tcPr>
            <w:tcW w:w="1020" w:type="dxa"/>
            <w:vAlign w:val="bottom"/>
            <w:vMerge w:val="restart"/>
          </w:tcPr>
          <w:p>
            <w:pPr>
              <w:ind w:left="140"/>
              <w:spacing w:after="0"/>
              <w:rPr>
                <w:sz w:val="20"/>
                <w:szCs w:val="20"/>
                <w:color w:val="auto"/>
              </w:rPr>
            </w:pPr>
            <w:r>
              <w:rPr>
                <w:rFonts w:ascii="Arial" w:cs="Arial" w:eastAsia="Arial" w:hAnsi="Arial"/>
                <w:sz w:val="15"/>
                <w:szCs w:val="15"/>
                <w:color w:val="auto"/>
              </w:rPr>
              <w:t>​ 2,059,688</w:t>
            </w:r>
          </w:p>
        </w:tc>
        <w:tc>
          <w:tcPr>
            <w:tcW w:w="0" w:type="dxa"/>
            <w:vAlign w:val="bottom"/>
          </w:tcPr>
          <w:p>
            <w:pPr>
              <w:spacing w:after="0"/>
              <w:rPr>
                <w:sz w:val="1"/>
                <w:szCs w:val="1"/>
                <w:color w:val="auto"/>
              </w:rPr>
            </w:pPr>
          </w:p>
        </w:tc>
      </w:tr>
      <w:tr>
        <w:trPr>
          <w:trHeight w:val="95"/>
        </w:trPr>
        <w:tc>
          <w:tcPr>
            <w:tcW w:w="1740" w:type="dxa"/>
            <w:vAlign w:val="bottom"/>
            <w:vMerge w:val="restart"/>
          </w:tcPr>
          <w:p>
            <w:pPr>
              <w:ind w:left="100"/>
              <w:spacing w:after="0"/>
              <w:rPr>
                <w:sz w:val="20"/>
                <w:szCs w:val="20"/>
                <w:color w:val="auto"/>
              </w:rPr>
            </w:pPr>
            <w:r>
              <w:rPr>
                <w:rFonts w:ascii="Arial" w:cs="Arial" w:eastAsia="Arial" w:hAnsi="Arial"/>
                <w:sz w:val="13"/>
                <w:szCs w:val="13"/>
                <w:color w:val="auto"/>
              </w:rPr>
              <w:t>Former Executive Vice</w:t>
            </w:r>
          </w:p>
        </w:tc>
        <w:tc>
          <w:tcPr>
            <w:tcW w:w="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740" w:type="dxa"/>
            <w:vAlign w:val="bottom"/>
            <w:vMerge w:val="restart"/>
          </w:tcPr>
          <w:p>
            <w:pPr>
              <w:ind w:left="100"/>
              <w:spacing w:after="0"/>
              <w:rPr>
                <w:sz w:val="20"/>
                <w:szCs w:val="20"/>
                <w:color w:val="auto"/>
              </w:rPr>
            </w:pPr>
            <w:r>
              <w:rPr>
                <w:rFonts w:ascii="Arial" w:cs="Arial" w:eastAsia="Arial" w:hAnsi="Arial"/>
                <w:sz w:val="13"/>
                <w:szCs w:val="13"/>
                <w:color w:val="auto"/>
              </w:rPr>
              <w:t>President and Chief Human</w:t>
            </w:r>
          </w:p>
        </w:tc>
        <w:tc>
          <w:tcPr>
            <w:tcW w:w="40" w:type="dxa"/>
            <w:vAlign w:val="bottom"/>
            <w:tcBorders>
              <w:bottom w:val="single" w:sz="8" w:color="CCCCCC"/>
            </w:tcBorders>
          </w:tcPr>
          <w:p>
            <w:pPr>
              <w:spacing w:after="0"/>
              <w:rPr>
                <w:sz w:val="3"/>
                <w:szCs w:val="3"/>
                <w:color w:val="auto"/>
              </w:rPr>
            </w:pPr>
          </w:p>
        </w:tc>
        <w:tc>
          <w:tcPr>
            <w:tcW w:w="400" w:type="dxa"/>
            <w:vAlign w:val="bottom"/>
            <w:tcBorders>
              <w:bottom w:val="single" w:sz="8" w:color="CCCCCC"/>
            </w:tcBorders>
          </w:tcPr>
          <w:p>
            <w:pPr>
              <w:spacing w:after="0"/>
              <w:rPr>
                <w:sz w:val="3"/>
                <w:szCs w:val="3"/>
                <w:color w:val="auto"/>
              </w:rPr>
            </w:pPr>
          </w:p>
        </w:tc>
        <w:tc>
          <w:tcPr>
            <w:tcW w:w="140" w:type="dxa"/>
            <w:vAlign w:val="bottom"/>
            <w:tcBorders>
              <w:bottom w:val="single" w:sz="8" w:color="CCCCCC"/>
            </w:tcBorders>
          </w:tcPr>
          <w:p>
            <w:pPr>
              <w:spacing w:after="0"/>
              <w:rPr>
                <w:sz w:val="3"/>
                <w:szCs w:val="3"/>
                <w:color w:val="auto"/>
              </w:rPr>
            </w:pPr>
          </w:p>
        </w:tc>
        <w:tc>
          <w:tcPr>
            <w:tcW w:w="640" w:type="dxa"/>
            <w:vAlign w:val="bottom"/>
            <w:tcBorders>
              <w:bottom w:val="single" w:sz="8" w:color="CCCCCC"/>
            </w:tcBorders>
          </w:tcPr>
          <w:p>
            <w:pPr>
              <w:spacing w:after="0"/>
              <w:rPr>
                <w:sz w:val="3"/>
                <w:szCs w:val="3"/>
                <w:color w:val="auto"/>
              </w:rPr>
            </w:pPr>
          </w:p>
        </w:tc>
        <w:tc>
          <w:tcPr>
            <w:tcW w:w="280" w:type="dxa"/>
            <w:vAlign w:val="bottom"/>
            <w:tcBorders>
              <w:bottom w:val="single" w:sz="8" w:color="CCCCCC"/>
            </w:tcBorders>
          </w:tcPr>
          <w:p>
            <w:pPr>
              <w:spacing w:after="0"/>
              <w:rPr>
                <w:sz w:val="3"/>
                <w:szCs w:val="3"/>
                <w:color w:val="auto"/>
              </w:rPr>
            </w:pPr>
          </w:p>
        </w:tc>
        <w:tc>
          <w:tcPr>
            <w:tcW w:w="380" w:type="dxa"/>
            <w:vAlign w:val="bottom"/>
            <w:tcBorders>
              <w:bottom w:val="single" w:sz="8" w:color="CCCCCC"/>
            </w:tcBorders>
          </w:tcPr>
          <w:p>
            <w:pPr>
              <w:spacing w:after="0"/>
              <w:rPr>
                <w:sz w:val="3"/>
                <w:szCs w:val="3"/>
                <w:color w:val="auto"/>
              </w:rPr>
            </w:pPr>
          </w:p>
        </w:tc>
        <w:tc>
          <w:tcPr>
            <w:tcW w:w="140" w:type="dxa"/>
            <w:vAlign w:val="bottom"/>
            <w:tcBorders>
              <w:bottom w:val="single" w:sz="8" w:color="CCCCCC"/>
            </w:tcBorders>
          </w:tcPr>
          <w:p>
            <w:pPr>
              <w:spacing w:after="0"/>
              <w:rPr>
                <w:sz w:val="3"/>
                <w:szCs w:val="3"/>
                <w:color w:val="auto"/>
              </w:rPr>
            </w:pPr>
          </w:p>
        </w:tc>
        <w:tc>
          <w:tcPr>
            <w:tcW w:w="740" w:type="dxa"/>
            <w:vAlign w:val="bottom"/>
            <w:tcBorders>
              <w:bottom w:val="single" w:sz="8" w:color="CCCCCC"/>
            </w:tcBorders>
          </w:tcPr>
          <w:p>
            <w:pPr>
              <w:spacing w:after="0"/>
              <w:rPr>
                <w:sz w:val="3"/>
                <w:szCs w:val="3"/>
                <w:color w:val="auto"/>
              </w:rPr>
            </w:pPr>
          </w:p>
        </w:tc>
        <w:tc>
          <w:tcPr>
            <w:tcW w:w="540" w:type="dxa"/>
            <w:vAlign w:val="bottom"/>
            <w:tcBorders>
              <w:bottom w:val="single" w:sz="8" w:color="CCCCCC"/>
            </w:tcBorders>
          </w:tcPr>
          <w:p>
            <w:pPr>
              <w:spacing w:after="0"/>
              <w:rPr>
                <w:sz w:val="3"/>
                <w:szCs w:val="3"/>
                <w:color w:val="auto"/>
              </w:rPr>
            </w:pPr>
          </w:p>
        </w:tc>
        <w:tc>
          <w:tcPr>
            <w:tcW w:w="320" w:type="dxa"/>
            <w:vAlign w:val="bottom"/>
            <w:tcBorders>
              <w:bottom w:val="single" w:sz="8" w:color="CCCCCC"/>
            </w:tcBorders>
          </w:tcPr>
          <w:p>
            <w:pPr>
              <w:spacing w:after="0"/>
              <w:rPr>
                <w:sz w:val="3"/>
                <w:szCs w:val="3"/>
                <w:color w:val="auto"/>
              </w:rPr>
            </w:pPr>
          </w:p>
        </w:tc>
        <w:tc>
          <w:tcPr>
            <w:tcW w:w="840" w:type="dxa"/>
            <w:vAlign w:val="bottom"/>
            <w:tcBorders>
              <w:bottom w:val="single" w:sz="8" w:color="CCCCCC"/>
            </w:tcBorders>
          </w:tcPr>
          <w:p>
            <w:pPr>
              <w:spacing w:after="0"/>
              <w:rPr>
                <w:sz w:val="3"/>
                <w:szCs w:val="3"/>
                <w:color w:val="auto"/>
              </w:rPr>
            </w:pPr>
          </w:p>
        </w:tc>
        <w:tc>
          <w:tcPr>
            <w:tcW w:w="420" w:type="dxa"/>
            <w:vAlign w:val="bottom"/>
            <w:tcBorders>
              <w:bottom w:val="single" w:sz="8" w:color="CCCCCC"/>
            </w:tcBorders>
          </w:tcPr>
          <w:p>
            <w:pPr>
              <w:spacing w:after="0"/>
              <w:rPr>
                <w:sz w:val="3"/>
                <w:szCs w:val="3"/>
                <w:color w:val="auto"/>
              </w:rPr>
            </w:pPr>
          </w:p>
        </w:tc>
        <w:tc>
          <w:tcPr>
            <w:tcW w:w="580" w:type="dxa"/>
            <w:vAlign w:val="bottom"/>
            <w:tcBorders>
              <w:bottom w:val="single" w:sz="8" w:color="CCCCCC"/>
            </w:tcBorders>
          </w:tcPr>
          <w:p>
            <w:pPr>
              <w:spacing w:after="0"/>
              <w:rPr>
                <w:sz w:val="3"/>
                <w:szCs w:val="3"/>
                <w:color w:val="auto"/>
              </w:rPr>
            </w:pPr>
          </w:p>
        </w:tc>
        <w:tc>
          <w:tcPr>
            <w:tcW w:w="300" w:type="dxa"/>
            <w:vAlign w:val="bottom"/>
            <w:tcBorders>
              <w:bottom w:val="single" w:sz="8" w:color="CCCCCC"/>
            </w:tcBorders>
          </w:tcPr>
          <w:p>
            <w:pPr>
              <w:spacing w:after="0"/>
              <w:rPr>
                <w:sz w:val="3"/>
                <w:szCs w:val="3"/>
                <w:color w:val="auto"/>
              </w:rPr>
            </w:pPr>
          </w:p>
        </w:tc>
        <w:tc>
          <w:tcPr>
            <w:tcW w:w="740" w:type="dxa"/>
            <w:vAlign w:val="bottom"/>
            <w:tcBorders>
              <w:bottom w:val="single" w:sz="8" w:color="CCCCCC"/>
            </w:tcBorders>
          </w:tcPr>
          <w:p>
            <w:pPr>
              <w:spacing w:after="0"/>
              <w:rPr>
                <w:sz w:val="3"/>
                <w:szCs w:val="3"/>
                <w:color w:val="auto"/>
              </w:rPr>
            </w:pPr>
          </w:p>
        </w:tc>
        <w:tc>
          <w:tcPr>
            <w:tcW w:w="102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5"/>
                <w:szCs w:val="15"/>
                <w:color w:val="auto"/>
              </w:rPr>
              <w:t>​2023</w:t>
            </w:r>
          </w:p>
        </w:tc>
        <w:tc>
          <w:tcPr>
            <w:tcW w:w="1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455,961</w:t>
            </w:r>
          </w:p>
        </w:tc>
        <w:tc>
          <w:tcPr>
            <w:tcW w:w="28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920,013</w:t>
            </w:r>
          </w:p>
        </w:tc>
        <w:tc>
          <w:tcPr>
            <w:tcW w:w="5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563,500</w:t>
            </w:r>
          </w:p>
        </w:tc>
        <w:tc>
          <w:tcPr>
            <w:tcW w:w="1000" w:type="dxa"/>
            <w:vAlign w:val="bottom"/>
            <w:gridSpan w:val="2"/>
            <w:vMerge w:val="restart"/>
          </w:tcPr>
          <w:p>
            <w:pPr>
              <w:ind w:left="240"/>
              <w:spacing w:after="0"/>
              <w:rPr>
                <w:sz w:val="20"/>
                <w:szCs w:val="20"/>
                <w:color w:val="auto"/>
              </w:rPr>
            </w:pPr>
            <w:r>
              <w:rPr>
                <w:rFonts w:ascii="Arial" w:cs="Arial" w:eastAsia="Arial" w:hAnsi="Arial"/>
                <w:sz w:val="15"/>
                <w:szCs w:val="15"/>
                <w:color w:val="auto"/>
              </w:rPr>
              <w:t>​91,185</w:t>
            </w:r>
          </w:p>
        </w:tc>
        <w:tc>
          <w:tcPr>
            <w:tcW w:w="30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5"/>
                <w:szCs w:val="15"/>
                <w:color w:val="auto"/>
              </w:rPr>
              <w:t>80,993</w:t>
            </w:r>
          </w:p>
        </w:tc>
        <w:tc>
          <w:tcPr>
            <w:tcW w:w="1020" w:type="dxa"/>
            <w:vAlign w:val="bottom"/>
            <w:vMerge w:val="restart"/>
          </w:tcPr>
          <w:p>
            <w:pPr>
              <w:ind w:left="140"/>
              <w:spacing w:after="0"/>
              <w:rPr>
                <w:sz w:val="20"/>
                <w:szCs w:val="20"/>
                <w:color w:val="auto"/>
              </w:rPr>
            </w:pPr>
            <w:r>
              <w:rPr>
                <w:rFonts w:ascii="Arial" w:cs="Arial" w:eastAsia="Arial" w:hAnsi="Arial"/>
                <w:sz w:val="15"/>
                <w:szCs w:val="15"/>
                <w:color w:val="auto"/>
              </w:rPr>
              <w:t>​ 2,111,652</w:t>
            </w:r>
          </w:p>
        </w:tc>
        <w:tc>
          <w:tcPr>
            <w:tcW w:w="0" w:type="dxa"/>
            <w:vAlign w:val="bottom"/>
          </w:tcPr>
          <w:p>
            <w:pPr>
              <w:spacing w:after="0"/>
              <w:rPr>
                <w:sz w:val="1"/>
                <w:szCs w:val="1"/>
                <w:color w:val="auto"/>
              </w:rPr>
            </w:pPr>
          </w:p>
        </w:tc>
      </w:tr>
      <w:tr>
        <w:trPr>
          <w:trHeight w:val="200"/>
        </w:trPr>
        <w:tc>
          <w:tcPr>
            <w:tcW w:w="1740" w:type="dxa"/>
            <w:vAlign w:val="bottom"/>
          </w:tcPr>
          <w:p>
            <w:pPr>
              <w:ind w:left="100"/>
              <w:spacing w:after="0"/>
              <w:rPr>
                <w:sz w:val="20"/>
                <w:szCs w:val="20"/>
                <w:color w:val="auto"/>
              </w:rPr>
            </w:pPr>
            <w:r>
              <w:rPr>
                <w:rFonts w:ascii="Arial" w:cs="Arial" w:eastAsia="Arial" w:hAnsi="Arial"/>
                <w:sz w:val="13"/>
                <w:szCs w:val="13"/>
                <w:color w:val="auto"/>
              </w:rPr>
              <w:t>Resources Officer</w:t>
            </w: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7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4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6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38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540" w:type="dxa"/>
            <w:vAlign w:val="bottom"/>
            <w:tcBorders>
              <w:bottom w:val="single" w:sz="8" w:color="CCCCCC"/>
            </w:tcBorders>
          </w:tcPr>
          <w:p>
            <w:pPr>
              <w:spacing w:after="0"/>
              <w:rPr>
                <w:sz w:val="8"/>
                <w:szCs w:val="8"/>
                <w:color w:val="auto"/>
              </w:rPr>
            </w:pPr>
          </w:p>
        </w:tc>
        <w:tc>
          <w:tcPr>
            <w:tcW w:w="320" w:type="dxa"/>
            <w:vAlign w:val="bottom"/>
            <w:tcBorders>
              <w:bottom w:val="single" w:sz="8" w:color="CCCCCC"/>
            </w:tcBorders>
          </w:tcPr>
          <w:p>
            <w:pPr>
              <w:spacing w:after="0"/>
              <w:rPr>
                <w:sz w:val="8"/>
                <w:szCs w:val="8"/>
                <w:color w:val="auto"/>
              </w:rPr>
            </w:pPr>
          </w:p>
        </w:tc>
        <w:tc>
          <w:tcPr>
            <w:tcW w:w="840" w:type="dxa"/>
            <w:vAlign w:val="bottom"/>
            <w:tcBorders>
              <w:bottom w:val="single" w:sz="8" w:color="CCCCCC"/>
            </w:tcBorders>
          </w:tcPr>
          <w:p>
            <w:pPr>
              <w:spacing w:after="0"/>
              <w:rPr>
                <w:sz w:val="8"/>
                <w:szCs w:val="8"/>
                <w:color w:val="auto"/>
              </w:rPr>
            </w:pPr>
          </w:p>
        </w:tc>
        <w:tc>
          <w:tcPr>
            <w:tcW w:w="420" w:type="dxa"/>
            <w:vAlign w:val="bottom"/>
            <w:tcBorders>
              <w:bottom w:val="single" w:sz="8" w:color="CCCCCC"/>
            </w:tcBorders>
          </w:tcPr>
          <w:p>
            <w:pPr>
              <w:spacing w:after="0"/>
              <w:rPr>
                <w:sz w:val="8"/>
                <w:szCs w:val="8"/>
                <w:color w:val="auto"/>
              </w:rPr>
            </w:pPr>
          </w:p>
        </w:tc>
        <w:tc>
          <w:tcPr>
            <w:tcW w:w="580" w:type="dxa"/>
            <w:vAlign w:val="bottom"/>
            <w:tcBorders>
              <w:bottom w:val="single" w:sz="8" w:color="CCCCCC"/>
            </w:tcBorders>
          </w:tcPr>
          <w:p>
            <w:pPr>
              <w:spacing w:after="0"/>
              <w:rPr>
                <w:sz w:val="8"/>
                <w:szCs w:val="8"/>
                <w:color w:val="auto"/>
              </w:rPr>
            </w:pPr>
          </w:p>
        </w:tc>
        <w:tc>
          <w:tcPr>
            <w:tcW w:w="30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F2F2F2"/>
          </w:tcPr>
          <w:p>
            <w:pPr>
              <w:ind w:left="100"/>
              <w:spacing w:after="0"/>
              <w:rPr>
                <w:sz w:val="20"/>
                <w:szCs w:val="20"/>
                <w:color w:val="auto"/>
              </w:rPr>
            </w:pPr>
            <w:r>
              <w:rPr>
                <w:rFonts w:ascii="Arial" w:cs="Arial" w:eastAsia="Arial" w:hAnsi="Arial"/>
                <w:sz w:val="15"/>
                <w:szCs w:val="15"/>
                <w:color w:val="auto"/>
              </w:rPr>
              <w:t>David J. Lesar</w:t>
            </w:r>
          </w:p>
        </w:tc>
        <w:tc>
          <w:tcPr>
            <w:tcW w:w="4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F2F2F2"/>
          </w:tcPr>
          <w:p>
            <w:pPr>
              <w:jc w:val="right"/>
              <w:spacing w:after="0"/>
              <w:rPr>
                <w:sz w:val="20"/>
                <w:szCs w:val="20"/>
                <w:color w:val="auto"/>
              </w:rPr>
            </w:pPr>
            <w:r>
              <w:rPr>
                <w:rFonts w:ascii="Arial" w:cs="Arial" w:eastAsia="Arial" w:hAnsi="Arial"/>
                <w:sz w:val="15"/>
                <w:szCs w:val="15"/>
                <w:color w:val="auto"/>
              </w:rPr>
              <w:t>230,768</w:t>
            </w:r>
          </w:p>
        </w:tc>
        <w:tc>
          <w:tcPr>
            <w:tcW w:w="28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F2F2F2"/>
          </w:tcPr>
          <w:p>
            <w:pPr>
              <w:jc w:val="right"/>
              <w:ind w:right="64"/>
              <w:spacing w:after="0"/>
              <w:rPr>
                <w:sz w:val="20"/>
                <w:szCs w:val="20"/>
                <w:color w:val="auto"/>
              </w:rPr>
            </w:pPr>
            <w:r>
              <w:rPr>
                <w:rFonts w:ascii="Arial" w:cs="Arial" w:eastAsia="Arial" w:hAnsi="Arial"/>
                <w:sz w:val="15"/>
                <w:szCs w:val="15"/>
                <w:color w:val="auto"/>
              </w:rPr>
              <w:t>—</w:t>
            </w:r>
          </w:p>
        </w:tc>
        <w:tc>
          <w:tcPr>
            <w:tcW w:w="54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840" w:type="dxa"/>
            <w:vAlign w:val="bottom"/>
            <w:shd w:val="clear" w:color="auto" w:fill="F2F2F2"/>
          </w:tcPr>
          <w:p>
            <w:pPr>
              <w:jc w:val="right"/>
              <w:ind w:right="164"/>
              <w:spacing w:after="0"/>
              <w:rPr>
                <w:sz w:val="20"/>
                <w:szCs w:val="20"/>
                <w:color w:val="auto"/>
              </w:rPr>
            </w:pPr>
            <w:r>
              <w:rPr>
                <w:rFonts w:ascii="Arial" w:cs="Arial" w:eastAsia="Arial" w:hAnsi="Arial"/>
                <w:sz w:val="15"/>
                <w:szCs w:val="15"/>
                <w:color w:val="auto"/>
              </w:rPr>
              <w:t>—</w:t>
            </w:r>
          </w:p>
        </w:tc>
        <w:tc>
          <w:tcPr>
            <w:tcW w:w="420" w:type="dxa"/>
            <w:vAlign w:val="bottom"/>
            <w:shd w:val="clear" w:color="auto" w:fill="F2F2F2"/>
          </w:tcPr>
          <w:p>
            <w:pPr>
              <w:ind w:left="240"/>
              <w:spacing w:after="0"/>
              <w:rPr>
                <w:sz w:val="20"/>
                <w:szCs w:val="20"/>
                <w:color w:val="auto"/>
              </w:rPr>
            </w:pPr>
            <w:r>
              <w:rPr>
                <w:rFonts w:ascii="Arial" w:cs="Arial" w:eastAsia="Arial" w:hAnsi="Arial"/>
                <w:sz w:val="15"/>
                <w:szCs w:val="15"/>
                <w:color w:val="auto"/>
              </w:rPr>
              <w:t>​</w:t>
            </w:r>
          </w:p>
        </w:tc>
        <w:tc>
          <w:tcPr>
            <w:tcW w:w="580" w:type="dxa"/>
            <w:vAlign w:val="bottom"/>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00" w:type="dxa"/>
            <w:vAlign w:val="bottom"/>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F2F2F2"/>
          </w:tcPr>
          <w:p>
            <w:pPr>
              <w:jc w:val="right"/>
              <w:ind w:right="64"/>
              <w:spacing w:after="0"/>
              <w:rPr>
                <w:sz w:val="20"/>
                <w:szCs w:val="20"/>
                <w:color w:val="auto"/>
              </w:rPr>
            </w:pPr>
            <w:r>
              <w:rPr>
                <w:rFonts w:ascii="Arial" w:cs="Arial" w:eastAsia="Arial" w:hAnsi="Arial"/>
                <w:sz w:val="15"/>
                <w:szCs w:val="15"/>
                <w:color w:val="auto"/>
              </w:rPr>
              <w:t>130,030</w:t>
            </w:r>
          </w:p>
        </w:tc>
        <w:tc>
          <w:tcPr>
            <w:tcW w:w="1020" w:type="dxa"/>
            <w:vAlign w:val="bottom"/>
            <w:shd w:val="clear" w:color="auto" w:fill="F2F2F2"/>
          </w:tcPr>
          <w:p>
            <w:pPr>
              <w:ind w:left="140"/>
              <w:spacing w:after="0"/>
              <w:rPr>
                <w:sz w:val="20"/>
                <w:szCs w:val="20"/>
                <w:color w:val="auto"/>
              </w:rPr>
            </w:pPr>
            <w:r>
              <w:rPr>
                <w:rFonts w:ascii="Arial" w:cs="Arial" w:eastAsia="Arial" w:hAnsi="Arial"/>
                <w:sz w:val="15"/>
                <w:szCs w:val="15"/>
                <w:color w:val="auto"/>
              </w:rPr>
              <w:t>​  360,798</w:t>
            </w:r>
          </w:p>
        </w:tc>
        <w:tc>
          <w:tcPr>
            <w:tcW w:w="0" w:type="dxa"/>
            <w:vAlign w:val="bottom"/>
          </w:tcPr>
          <w:p>
            <w:pPr>
              <w:spacing w:after="0"/>
              <w:rPr>
                <w:sz w:val="1"/>
                <w:szCs w:val="1"/>
                <w:color w:val="auto"/>
              </w:rPr>
            </w:pPr>
          </w:p>
        </w:tc>
      </w:tr>
      <w:tr>
        <w:trPr>
          <w:trHeight w:val="85"/>
        </w:trPr>
        <w:tc>
          <w:tcPr>
            <w:tcW w:w="1740" w:type="dxa"/>
            <w:vAlign w:val="bottom"/>
            <w:tcBorders>
              <w:bottom w:val="single" w:sz="8" w:color="F2F2F2"/>
            </w:tcBorders>
            <w:vMerge w:val="restart"/>
            <w:shd w:val="clear" w:color="auto" w:fill="F2F2F2"/>
          </w:tcPr>
          <w:p>
            <w:pPr>
              <w:ind w:left="100"/>
              <w:spacing w:after="0"/>
              <w:rPr>
                <w:sz w:val="20"/>
                <w:szCs w:val="20"/>
                <w:color w:val="auto"/>
              </w:rPr>
            </w:pPr>
            <w:r>
              <w:rPr>
                <w:rFonts w:ascii="Arial" w:cs="Arial" w:eastAsia="Arial" w:hAnsi="Arial"/>
                <w:sz w:val="13"/>
                <w:szCs w:val="13"/>
                <w:color w:val="auto"/>
              </w:rPr>
              <w:t>Former Chief Executive</w:t>
            </w:r>
          </w:p>
        </w:tc>
        <w:tc>
          <w:tcPr>
            <w:tcW w:w="40" w:type="dxa"/>
            <w:vAlign w:val="bottom"/>
            <w:tcBorders>
              <w:bottom w:val="single" w:sz="8" w:color="CCCCCC"/>
            </w:tcBorders>
            <w:shd w:val="clear" w:color="auto" w:fill="F2F2F2"/>
          </w:tcPr>
          <w:p>
            <w:pPr>
              <w:spacing w:after="0"/>
              <w:rPr>
                <w:sz w:val="7"/>
                <w:szCs w:val="7"/>
                <w:color w:val="auto"/>
              </w:rPr>
            </w:pPr>
          </w:p>
        </w:tc>
        <w:tc>
          <w:tcPr>
            <w:tcW w:w="400" w:type="dxa"/>
            <w:vAlign w:val="bottom"/>
            <w:tcBorders>
              <w:bottom w:val="single" w:sz="8" w:color="CCCCCC"/>
            </w:tcBorders>
            <w:shd w:val="clear" w:color="auto" w:fill="F2F2F2"/>
          </w:tcPr>
          <w:p>
            <w:pPr>
              <w:spacing w:after="0"/>
              <w:rPr>
                <w:sz w:val="7"/>
                <w:szCs w:val="7"/>
                <w:color w:val="auto"/>
              </w:rPr>
            </w:pPr>
          </w:p>
        </w:tc>
        <w:tc>
          <w:tcPr>
            <w:tcW w:w="140" w:type="dxa"/>
            <w:vAlign w:val="bottom"/>
            <w:tcBorders>
              <w:bottom w:val="single" w:sz="8" w:color="CCCCCC"/>
            </w:tcBorders>
            <w:shd w:val="clear" w:color="auto" w:fill="F2F2F2"/>
          </w:tcPr>
          <w:p>
            <w:pPr>
              <w:spacing w:after="0"/>
              <w:rPr>
                <w:sz w:val="7"/>
                <w:szCs w:val="7"/>
                <w:color w:val="auto"/>
              </w:rPr>
            </w:pPr>
          </w:p>
        </w:tc>
        <w:tc>
          <w:tcPr>
            <w:tcW w:w="640" w:type="dxa"/>
            <w:vAlign w:val="bottom"/>
            <w:tcBorders>
              <w:bottom w:val="single" w:sz="8" w:color="CCCCCC"/>
            </w:tcBorders>
            <w:shd w:val="clear" w:color="auto" w:fill="F2F2F2"/>
          </w:tcPr>
          <w:p>
            <w:pPr>
              <w:spacing w:after="0"/>
              <w:rPr>
                <w:sz w:val="7"/>
                <w:szCs w:val="7"/>
                <w:color w:val="auto"/>
              </w:rPr>
            </w:pPr>
          </w:p>
        </w:tc>
        <w:tc>
          <w:tcPr>
            <w:tcW w:w="280" w:type="dxa"/>
            <w:vAlign w:val="bottom"/>
            <w:tcBorders>
              <w:bottom w:val="single" w:sz="8" w:color="CCCCCC"/>
            </w:tcBorders>
            <w:shd w:val="clear" w:color="auto" w:fill="F2F2F2"/>
          </w:tcPr>
          <w:p>
            <w:pPr>
              <w:spacing w:after="0"/>
              <w:rPr>
                <w:sz w:val="7"/>
                <w:szCs w:val="7"/>
                <w:color w:val="auto"/>
              </w:rPr>
            </w:pPr>
          </w:p>
        </w:tc>
        <w:tc>
          <w:tcPr>
            <w:tcW w:w="380" w:type="dxa"/>
            <w:vAlign w:val="bottom"/>
            <w:tcBorders>
              <w:bottom w:val="single" w:sz="8" w:color="CCCCCC"/>
            </w:tcBorders>
            <w:shd w:val="clear" w:color="auto" w:fill="F2F2F2"/>
          </w:tcPr>
          <w:p>
            <w:pPr>
              <w:spacing w:after="0"/>
              <w:rPr>
                <w:sz w:val="7"/>
                <w:szCs w:val="7"/>
                <w:color w:val="auto"/>
              </w:rPr>
            </w:pPr>
          </w:p>
        </w:tc>
        <w:tc>
          <w:tcPr>
            <w:tcW w:w="140" w:type="dxa"/>
            <w:vAlign w:val="bottom"/>
            <w:tcBorders>
              <w:bottom w:val="single" w:sz="8" w:color="CCCCCC"/>
            </w:tcBorders>
            <w:shd w:val="clear" w:color="auto" w:fill="F2F2F2"/>
          </w:tcPr>
          <w:p>
            <w:pPr>
              <w:spacing w:after="0"/>
              <w:rPr>
                <w:sz w:val="7"/>
                <w:szCs w:val="7"/>
                <w:color w:val="auto"/>
              </w:rPr>
            </w:pPr>
          </w:p>
        </w:tc>
        <w:tc>
          <w:tcPr>
            <w:tcW w:w="740" w:type="dxa"/>
            <w:vAlign w:val="bottom"/>
            <w:tcBorders>
              <w:bottom w:val="single" w:sz="8" w:color="CCCCCC"/>
            </w:tcBorders>
            <w:shd w:val="clear" w:color="auto" w:fill="F2F2F2"/>
          </w:tcPr>
          <w:p>
            <w:pPr>
              <w:spacing w:after="0"/>
              <w:rPr>
                <w:sz w:val="7"/>
                <w:szCs w:val="7"/>
                <w:color w:val="auto"/>
              </w:rPr>
            </w:pPr>
          </w:p>
        </w:tc>
        <w:tc>
          <w:tcPr>
            <w:tcW w:w="540" w:type="dxa"/>
            <w:vAlign w:val="bottom"/>
            <w:tcBorders>
              <w:bottom w:val="single" w:sz="8" w:color="CCCCCC"/>
            </w:tcBorders>
            <w:shd w:val="clear" w:color="auto" w:fill="F2F2F2"/>
          </w:tcPr>
          <w:p>
            <w:pPr>
              <w:spacing w:after="0"/>
              <w:rPr>
                <w:sz w:val="7"/>
                <w:szCs w:val="7"/>
                <w:color w:val="auto"/>
              </w:rPr>
            </w:pPr>
          </w:p>
        </w:tc>
        <w:tc>
          <w:tcPr>
            <w:tcW w:w="320" w:type="dxa"/>
            <w:vAlign w:val="bottom"/>
            <w:tcBorders>
              <w:bottom w:val="single" w:sz="8" w:color="CCCCCC"/>
            </w:tcBorders>
            <w:shd w:val="clear" w:color="auto" w:fill="F2F2F2"/>
          </w:tcPr>
          <w:p>
            <w:pPr>
              <w:spacing w:after="0"/>
              <w:rPr>
                <w:sz w:val="7"/>
                <w:szCs w:val="7"/>
                <w:color w:val="auto"/>
              </w:rPr>
            </w:pPr>
          </w:p>
        </w:tc>
        <w:tc>
          <w:tcPr>
            <w:tcW w:w="840" w:type="dxa"/>
            <w:vAlign w:val="bottom"/>
            <w:tcBorders>
              <w:bottom w:val="single" w:sz="8" w:color="CCCCCC"/>
            </w:tcBorders>
            <w:shd w:val="clear" w:color="auto" w:fill="F2F2F2"/>
          </w:tcPr>
          <w:p>
            <w:pPr>
              <w:spacing w:after="0"/>
              <w:rPr>
                <w:sz w:val="7"/>
                <w:szCs w:val="7"/>
                <w:color w:val="auto"/>
              </w:rPr>
            </w:pPr>
          </w:p>
        </w:tc>
        <w:tc>
          <w:tcPr>
            <w:tcW w:w="420" w:type="dxa"/>
            <w:vAlign w:val="bottom"/>
            <w:tcBorders>
              <w:bottom w:val="single" w:sz="8" w:color="CCCCCC"/>
            </w:tcBorders>
            <w:shd w:val="clear" w:color="auto" w:fill="F2F2F2"/>
          </w:tcPr>
          <w:p>
            <w:pPr>
              <w:spacing w:after="0"/>
              <w:rPr>
                <w:sz w:val="7"/>
                <w:szCs w:val="7"/>
                <w:color w:val="auto"/>
              </w:rPr>
            </w:pPr>
          </w:p>
        </w:tc>
        <w:tc>
          <w:tcPr>
            <w:tcW w:w="580" w:type="dxa"/>
            <w:vAlign w:val="bottom"/>
            <w:tcBorders>
              <w:bottom w:val="single" w:sz="8" w:color="CCCCCC"/>
            </w:tcBorders>
            <w:shd w:val="clear" w:color="auto" w:fill="F2F2F2"/>
          </w:tcPr>
          <w:p>
            <w:pPr>
              <w:spacing w:after="0"/>
              <w:rPr>
                <w:sz w:val="7"/>
                <w:szCs w:val="7"/>
                <w:color w:val="auto"/>
              </w:rPr>
            </w:pPr>
          </w:p>
        </w:tc>
        <w:tc>
          <w:tcPr>
            <w:tcW w:w="300" w:type="dxa"/>
            <w:vAlign w:val="bottom"/>
            <w:tcBorders>
              <w:bottom w:val="single" w:sz="8" w:color="CCCCCC"/>
            </w:tcBorders>
            <w:shd w:val="clear" w:color="auto" w:fill="F2F2F2"/>
          </w:tcPr>
          <w:p>
            <w:pPr>
              <w:spacing w:after="0"/>
              <w:rPr>
                <w:sz w:val="7"/>
                <w:szCs w:val="7"/>
                <w:color w:val="auto"/>
              </w:rPr>
            </w:pPr>
          </w:p>
        </w:tc>
        <w:tc>
          <w:tcPr>
            <w:tcW w:w="740" w:type="dxa"/>
            <w:vAlign w:val="bottom"/>
            <w:tcBorders>
              <w:bottom w:val="single" w:sz="8" w:color="CCCCCC"/>
            </w:tcBorders>
            <w:shd w:val="clear" w:color="auto" w:fill="F2F2F2"/>
          </w:tcPr>
          <w:p>
            <w:pPr>
              <w:spacing w:after="0"/>
              <w:rPr>
                <w:sz w:val="7"/>
                <w:szCs w:val="7"/>
                <w:color w:val="auto"/>
              </w:rPr>
            </w:pPr>
          </w:p>
        </w:tc>
        <w:tc>
          <w:tcPr>
            <w:tcW w:w="1020" w:type="dxa"/>
            <w:vAlign w:val="bottom"/>
            <w:tcBorders>
              <w:bottom w:val="single" w:sz="8" w:color="CCCCCC"/>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740" w:type="dxa"/>
            <w:vAlign w:val="bottom"/>
            <w:vMerge w:val="continue"/>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40" w:type="dxa"/>
            <w:vAlign w:val="bottom"/>
            <w:shd w:val="clear" w:color="auto" w:fill="F2F2F2"/>
          </w:tcPr>
          <w:p>
            <w:pPr>
              <w:spacing w:after="0"/>
              <w:rPr>
                <w:sz w:val="4"/>
                <w:szCs w:val="4"/>
                <w:color w:val="auto"/>
              </w:rPr>
            </w:pPr>
          </w:p>
        </w:tc>
        <w:tc>
          <w:tcPr>
            <w:tcW w:w="640" w:type="dxa"/>
            <w:vAlign w:val="bottom"/>
            <w:shd w:val="clear" w:color="auto" w:fill="F2F2F2"/>
          </w:tcPr>
          <w:p>
            <w:pPr>
              <w:spacing w:after="0"/>
              <w:rPr>
                <w:sz w:val="4"/>
                <w:szCs w:val="4"/>
                <w:color w:val="auto"/>
              </w:rPr>
            </w:pPr>
          </w:p>
        </w:tc>
        <w:tc>
          <w:tcPr>
            <w:tcW w:w="28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40" w:type="dxa"/>
            <w:vAlign w:val="bottom"/>
            <w:shd w:val="clear" w:color="auto" w:fill="F2F2F2"/>
          </w:tcPr>
          <w:p>
            <w:pPr>
              <w:spacing w:after="0"/>
              <w:rPr>
                <w:sz w:val="4"/>
                <w:szCs w:val="4"/>
                <w:color w:val="auto"/>
              </w:rPr>
            </w:pPr>
          </w:p>
        </w:tc>
        <w:tc>
          <w:tcPr>
            <w:tcW w:w="740" w:type="dxa"/>
            <w:vAlign w:val="bottom"/>
            <w:shd w:val="clear" w:color="auto" w:fill="F2F2F2"/>
          </w:tcPr>
          <w:p>
            <w:pPr>
              <w:spacing w:after="0"/>
              <w:rPr>
                <w:sz w:val="4"/>
                <w:szCs w:val="4"/>
                <w:color w:val="auto"/>
              </w:rPr>
            </w:pPr>
          </w:p>
        </w:tc>
        <w:tc>
          <w:tcPr>
            <w:tcW w:w="540" w:type="dxa"/>
            <w:vAlign w:val="bottom"/>
            <w:shd w:val="clear" w:color="auto" w:fill="F2F2F2"/>
          </w:tcPr>
          <w:p>
            <w:pPr>
              <w:spacing w:after="0"/>
              <w:rPr>
                <w:sz w:val="4"/>
                <w:szCs w:val="4"/>
                <w:color w:val="auto"/>
              </w:rPr>
            </w:pPr>
          </w:p>
        </w:tc>
        <w:tc>
          <w:tcPr>
            <w:tcW w:w="320" w:type="dxa"/>
            <w:vAlign w:val="bottom"/>
            <w:shd w:val="clear" w:color="auto" w:fill="F2F2F2"/>
          </w:tcPr>
          <w:p>
            <w:pPr>
              <w:spacing w:after="0"/>
              <w:rPr>
                <w:sz w:val="4"/>
                <w:szCs w:val="4"/>
                <w:color w:val="auto"/>
              </w:rPr>
            </w:pPr>
          </w:p>
        </w:tc>
        <w:tc>
          <w:tcPr>
            <w:tcW w:w="840" w:type="dxa"/>
            <w:vAlign w:val="bottom"/>
            <w:shd w:val="clear" w:color="auto" w:fill="F2F2F2"/>
          </w:tcPr>
          <w:p>
            <w:pPr>
              <w:spacing w:after="0"/>
              <w:rPr>
                <w:sz w:val="4"/>
                <w:szCs w:val="4"/>
                <w:color w:val="auto"/>
              </w:rPr>
            </w:pPr>
          </w:p>
        </w:tc>
        <w:tc>
          <w:tcPr>
            <w:tcW w:w="420" w:type="dxa"/>
            <w:vAlign w:val="bottom"/>
            <w:shd w:val="clear" w:color="auto" w:fill="F2F2F2"/>
          </w:tcPr>
          <w:p>
            <w:pPr>
              <w:spacing w:after="0"/>
              <w:rPr>
                <w:sz w:val="4"/>
                <w:szCs w:val="4"/>
                <w:color w:val="auto"/>
              </w:rPr>
            </w:pPr>
          </w:p>
        </w:tc>
        <w:tc>
          <w:tcPr>
            <w:tcW w:w="580" w:type="dxa"/>
            <w:vAlign w:val="bottom"/>
            <w:shd w:val="clear" w:color="auto" w:fill="F2F2F2"/>
          </w:tcPr>
          <w:p>
            <w:pPr>
              <w:spacing w:after="0"/>
              <w:rPr>
                <w:sz w:val="4"/>
                <w:szCs w:val="4"/>
                <w:color w:val="auto"/>
              </w:rPr>
            </w:pPr>
          </w:p>
        </w:tc>
        <w:tc>
          <w:tcPr>
            <w:tcW w:w="300" w:type="dxa"/>
            <w:vAlign w:val="bottom"/>
            <w:shd w:val="clear" w:color="auto" w:fill="F2F2F2"/>
          </w:tcPr>
          <w:p>
            <w:pPr>
              <w:spacing w:after="0"/>
              <w:rPr>
                <w:sz w:val="4"/>
                <w:szCs w:val="4"/>
                <w:color w:val="auto"/>
              </w:rPr>
            </w:pPr>
          </w:p>
        </w:tc>
        <w:tc>
          <w:tcPr>
            <w:tcW w:w="740" w:type="dxa"/>
            <w:vAlign w:val="bottom"/>
            <w:shd w:val="clear" w:color="auto" w:fill="F2F2F2"/>
          </w:tcPr>
          <w:p>
            <w:pPr>
              <w:spacing w:after="0"/>
              <w:rPr>
                <w:sz w:val="4"/>
                <w:szCs w:val="4"/>
                <w:color w:val="auto"/>
              </w:rPr>
            </w:pPr>
          </w:p>
        </w:tc>
        <w:tc>
          <w:tcPr>
            <w:tcW w:w="10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17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color w:val="auto"/>
              </w:rPr>
              <w:t>Officer</w:t>
            </w:r>
          </w:p>
        </w:tc>
        <w:tc>
          <w:tcPr>
            <w:tcW w:w="40" w:type="dxa"/>
            <w:vAlign w:val="bottom"/>
            <w:tcBorders>
              <w:bottom w:val="single" w:sz="8" w:color="F2F2F2"/>
            </w:tcBorders>
            <w:shd w:val="clear" w:color="auto" w:fill="F2F2F2"/>
          </w:tcPr>
          <w:p>
            <w:pPr>
              <w:spacing w:after="0"/>
              <w:rPr>
                <w:sz w:val="22"/>
                <w:szCs w:val="22"/>
                <w:color w:val="auto"/>
              </w:rPr>
            </w:pPr>
          </w:p>
        </w:tc>
        <w:tc>
          <w:tcPr>
            <w:tcW w:w="4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5"/>
                <w:szCs w:val="15"/>
                <w:color w:val="auto"/>
              </w:rPr>
              <w:t>​2023</w:t>
            </w:r>
          </w:p>
        </w:tc>
        <w:tc>
          <w:tcPr>
            <w:tcW w:w="7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5"/>
                <w:szCs w:val="15"/>
                <w:color w:val="auto"/>
              </w:rPr>
              <w:t>​1,493,269</w:t>
            </w:r>
          </w:p>
        </w:tc>
        <w:tc>
          <w:tcPr>
            <w:tcW w:w="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2F2F2"/>
            </w:tcBorders>
            <w:gridSpan w:val="2"/>
            <w:shd w:val="clear" w:color="auto" w:fill="F2F2F2"/>
          </w:tcPr>
          <w:p>
            <w:pPr>
              <w:jc w:val="right"/>
              <w:ind w:right="64"/>
              <w:spacing w:after="0"/>
              <w:rPr>
                <w:sz w:val="20"/>
                <w:szCs w:val="20"/>
                <w:color w:val="auto"/>
              </w:rPr>
            </w:pPr>
            <w:r>
              <w:rPr>
                <w:rFonts w:ascii="Arial" w:cs="Arial" w:eastAsia="Arial" w:hAnsi="Arial"/>
                <w:sz w:val="15"/>
                <w:szCs w:val="15"/>
                <w:color w:val="auto"/>
              </w:rPr>
              <w:t>​9,900,034</w:t>
            </w:r>
          </w:p>
        </w:tc>
        <w:tc>
          <w:tcPr>
            <w:tcW w:w="54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2F2F2"/>
            </w:tcBorders>
            <w:gridSpan w:val="2"/>
            <w:shd w:val="clear" w:color="auto" w:fill="F2F2F2"/>
          </w:tcPr>
          <w:p>
            <w:pPr>
              <w:jc w:val="right"/>
              <w:ind w:right="164"/>
              <w:spacing w:after="0"/>
              <w:rPr>
                <w:sz w:val="20"/>
                <w:szCs w:val="20"/>
                <w:color w:val="auto"/>
              </w:rPr>
            </w:pPr>
            <w:r>
              <w:rPr>
                <w:rFonts w:ascii="Arial" w:cs="Arial" w:eastAsia="Arial" w:hAnsi="Arial"/>
                <w:sz w:val="15"/>
                <w:szCs w:val="15"/>
                <w:color w:val="auto"/>
              </w:rPr>
              <w:t>​4,068,750</w:t>
            </w:r>
          </w:p>
        </w:tc>
        <w:tc>
          <w:tcPr>
            <w:tcW w:w="42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F2F2F2"/>
            </w:tcBorders>
            <w:shd w:val="clear" w:color="auto" w:fill="F2F2F2"/>
          </w:tcPr>
          <w:p>
            <w:pPr>
              <w:jc w:val="right"/>
              <w:ind w:right="64"/>
              <w:spacing w:after="0"/>
              <w:rPr>
                <w:sz w:val="20"/>
                <w:szCs w:val="20"/>
                <w:color w:val="auto"/>
              </w:rPr>
            </w:pPr>
            <w:r>
              <w:rPr>
                <w:rFonts w:ascii="Arial" w:cs="Arial" w:eastAsia="Arial" w:hAnsi="Arial"/>
                <w:sz w:val="15"/>
                <w:szCs w:val="15"/>
                <w:color w:val="auto"/>
              </w:rPr>
              <w:t>742,421</w:t>
            </w:r>
          </w:p>
        </w:tc>
        <w:tc>
          <w:tcPr>
            <w:tcW w:w="10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​16,204,475</w:t>
            </w:r>
          </w:p>
        </w:tc>
        <w:tc>
          <w:tcPr>
            <w:tcW w:w="0" w:type="dxa"/>
            <w:vAlign w:val="bottom"/>
          </w:tcPr>
          <w:p>
            <w:pPr>
              <w:spacing w:after="0"/>
              <w:rPr>
                <w:sz w:val="1"/>
                <w:szCs w:val="1"/>
                <w:color w:val="auto"/>
              </w:rPr>
            </w:pPr>
          </w:p>
        </w:tc>
      </w:tr>
      <w:tr>
        <w:trPr>
          <w:trHeight w:val="309"/>
        </w:trPr>
        <w:tc>
          <w:tcPr>
            <w:tcW w:w="1740" w:type="dxa"/>
            <w:vAlign w:val="bottom"/>
            <w:tcBorders>
              <w:top w:val="single" w:sz="8" w:color="F2F2F2"/>
              <w:bottom w:val="single" w:sz="8" w:color="F2F2F2"/>
            </w:tcBorders>
            <w:shd w:val="clear" w:color="auto" w:fill="F2F2F2"/>
          </w:tcPr>
          <w:p>
            <w:pPr>
              <w:spacing w:after="0"/>
              <w:rPr>
                <w:sz w:val="24"/>
                <w:szCs w:val="24"/>
                <w:color w:val="auto"/>
              </w:rPr>
            </w:pPr>
          </w:p>
        </w:tc>
        <w:tc>
          <w:tcPr>
            <w:tcW w:w="40" w:type="dxa"/>
            <w:vAlign w:val="bottom"/>
            <w:tcBorders>
              <w:top w:val="single" w:sz="8" w:color="CCCCCC"/>
              <w:bottom w:val="single" w:sz="8" w:color="F2F2F2"/>
            </w:tcBorders>
            <w:shd w:val="clear" w:color="auto" w:fill="F2F2F2"/>
          </w:tcPr>
          <w:p>
            <w:pPr>
              <w:spacing w:after="0"/>
              <w:rPr>
                <w:sz w:val="24"/>
                <w:szCs w:val="24"/>
                <w:color w:val="auto"/>
              </w:rPr>
            </w:pPr>
          </w:p>
        </w:tc>
        <w:tc>
          <w:tcPr>
            <w:tcW w:w="400" w:type="dxa"/>
            <w:vAlign w:val="bottom"/>
            <w:tcBorders>
              <w:top w:val="single" w:sz="8" w:color="CCCCCC"/>
              <w:bottom w:val="single" w:sz="8" w:color="F2F2F2"/>
            </w:tcBorders>
            <w:shd w:val="clear" w:color="auto" w:fill="F2F2F2"/>
          </w:tcPr>
          <w:p>
            <w:pPr>
              <w:spacing w:after="0"/>
              <w:rPr>
                <w:sz w:val="20"/>
                <w:szCs w:val="20"/>
                <w:color w:val="auto"/>
              </w:rPr>
            </w:pPr>
            <w:r>
              <w:rPr>
                <w:rFonts w:ascii="Arial" w:cs="Arial" w:eastAsia="Arial" w:hAnsi="Arial"/>
                <w:sz w:val="15"/>
                <w:szCs w:val="15"/>
                <w:color w:val="auto"/>
              </w:rPr>
              <w:t>​2022</w:t>
            </w:r>
          </w:p>
        </w:tc>
        <w:tc>
          <w:tcPr>
            <w:tcW w:w="780" w:type="dxa"/>
            <w:vAlign w:val="bottom"/>
            <w:tcBorders>
              <w:top w:val="single" w:sz="8" w:color="CCCCCC"/>
              <w:bottom w:val="single" w:sz="8" w:color="F2F2F2"/>
            </w:tcBorders>
            <w:gridSpan w:val="2"/>
            <w:shd w:val="clear" w:color="auto" w:fill="F2F2F2"/>
          </w:tcPr>
          <w:p>
            <w:pPr>
              <w:jc w:val="right"/>
              <w:spacing w:after="0"/>
              <w:rPr>
                <w:sz w:val="20"/>
                <w:szCs w:val="20"/>
                <w:color w:val="auto"/>
              </w:rPr>
            </w:pPr>
            <w:r>
              <w:rPr>
                <w:rFonts w:ascii="Arial" w:cs="Arial" w:eastAsia="Arial" w:hAnsi="Arial"/>
                <w:sz w:val="15"/>
                <w:szCs w:val="15"/>
                <w:color w:val="auto"/>
              </w:rPr>
              <w:t>​1,423,241</w:t>
            </w:r>
          </w:p>
        </w:tc>
        <w:tc>
          <w:tcPr>
            <w:tcW w:w="28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CCCCCC"/>
              <w:bottom w:val="single" w:sz="8" w:color="F2F2F2"/>
            </w:tcBorders>
            <w:gridSpan w:val="2"/>
            <w:shd w:val="clear" w:color="auto" w:fill="F2F2F2"/>
          </w:tcPr>
          <w:p>
            <w:pPr>
              <w:jc w:val="right"/>
              <w:ind w:right="64"/>
              <w:spacing w:after="0"/>
              <w:rPr>
                <w:sz w:val="20"/>
                <w:szCs w:val="20"/>
                <w:color w:val="auto"/>
              </w:rPr>
            </w:pPr>
            <w:r>
              <w:rPr>
                <w:rFonts w:ascii="Arial" w:cs="Arial" w:eastAsia="Arial" w:hAnsi="Arial"/>
                <w:sz w:val="15"/>
                <w:szCs w:val="15"/>
                <w:color w:val="auto"/>
              </w:rPr>
              <w:t>​8,481,240</w:t>
            </w:r>
          </w:p>
        </w:tc>
        <w:tc>
          <w:tcPr>
            <w:tcW w:w="540" w:type="dxa"/>
            <w:vAlign w:val="bottom"/>
            <w:tcBorders>
              <w:top w:val="single" w:sz="8" w:color="CCCCCC"/>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CCCCCC"/>
              <w:bottom w:val="single" w:sz="8" w:color="F2F2F2"/>
            </w:tcBorders>
            <w:gridSpan w:val="2"/>
            <w:shd w:val="clear" w:color="auto" w:fill="F2F2F2"/>
          </w:tcPr>
          <w:p>
            <w:pPr>
              <w:jc w:val="right"/>
              <w:ind w:right="164"/>
              <w:spacing w:after="0"/>
              <w:rPr>
                <w:sz w:val="20"/>
                <w:szCs w:val="20"/>
                <w:color w:val="auto"/>
              </w:rPr>
            </w:pPr>
            <w:r>
              <w:rPr>
                <w:rFonts w:ascii="Arial" w:cs="Arial" w:eastAsia="Arial" w:hAnsi="Arial"/>
                <w:sz w:val="15"/>
                <w:szCs w:val="15"/>
                <w:color w:val="auto"/>
              </w:rPr>
              <w:t>​3,407,250</w:t>
            </w:r>
          </w:p>
        </w:tc>
        <w:tc>
          <w:tcPr>
            <w:tcW w:w="420" w:type="dxa"/>
            <w:vAlign w:val="bottom"/>
            <w:tcBorders>
              <w:top w:val="single" w:sz="8" w:color="CCCCCC"/>
              <w:bottom w:val="single" w:sz="8" w:color="F2F2F2"/>
            </w:tcBorders>
            <w:shd w:val="clear" w:color="auto" w:fill="F2F2F2"/>
          </w:tcPr>
          <w:p>
            <w:pPr>
              <w:ind w:left="24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CCCCCC"/>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CCCCCC"/>
              <w:bottom w:val="single" w:sz="8" w:color="F2F2F2"/>
            </w:tcBorders>
            <w:shd w:val="clear" w:color="auto" w:fill="F2F2F2"/>
          </w:tcPr>
          <w:p>
            <w:pPr>
              <w:ind w:left="220"/>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CCCCCC"/>
              <w:bottom w:val="single" w:sz="8" w:color="F2F2F2"/>
            </w:tcBorders>
            <w:shd w:val="clear" w:color="auto" w:fill="F2F2F2"/>
          </w:tcPr>
          <w:p>
            <w:pPr>
              <w:jc w:val="right"/>
              <w:ind w:right="64"/>
              <w:spacing w:after="0"/>
              <w:rPr>
                <w:sz w:val="20"/>
                <w:szCs w:val="20"/>
                <w:color w:val="auto"/>
              </w:rPr>
            </w:pPr>
            <w:r>
              <w:rPr>
                <w:rFonts w:ascii="Arial" w:cs="Arial" w:eastAsia="Arial" w:hAnsi="Arial"/>
                <w:sz w:val="15"/>
                <w:szCs w:val="15"/>
                <w:color w:val="auto"/>
              </w:rPr>
              <w:t>632,243</w:t>
            </w:r>
          </w:p>
        </w:tc>
        <w:tc>
          <w:tcPr>
            <w:tcW w:w="1020" w:type="dxa"/>
            <w:vAlign w:val="bottom"/>
            <w:tcBorders>
              <w:top w:val="single" w:sz="8" w:color="CCCCCC"/>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​13,943,974</w:t>
            </w:r>
          </w:p>
        </w:tc>
        <w:tc>
          <w:tcPr>
            <w:tcW w:w="0" w:type="dxa"/>
            <w:vAlign w:val="bottom"/>
          </w:tcPr>
          <w:p>
            <w:pPr>
              <w:spacing w:after="0"/>
              <w:rPr>
                <w:sz w:val="1"/>
                <w:szCs w:val="1"/>
                <w:color w:val="auto"/>
              </w:rPr>
            </w:pPr>
          </w:p>
        </w:tc>
      </w:tr>
      <w:tr>
        <w:trPr>
          <w:trHeight w:val="219"/>
        </w:trPr>
        <w:tc>
          <w:tcPr>
            <w:tcW w:w="1740" w:type="dxa"/>
            <w:vAlign w:val="bottom"/>
            <w:tcBorders>
              <w:top w:val="single" w:sz="8" w:color="CCCCCC"/>
            </w:tcBorders>
          </w:tcPr>
          <w:p>
            <w:pPr>
              <w:ind w:left="100"/>
              <w:spacing w:after="0"/>
              <w:rPr>
                <w:sz w:val="20"/>
                <w:szCs w:val="20"/>
                <w:color w:val="auto"/>
              </w:rPr>
            </w:pPr>
            <w:r>
              <w:rPr>
                <w:rFonts w:ascii="Arial" w:cs="Arial" w:eastAsia="Arial" w:hAnsi="Arial"/>
                <w:sz w:val="15"/>
                <w:szCs w:val="15"/>
                <w:color w:val="auto"/>
              </w:rPr>
              <w:t>Lynnae K. Wilson</w:t>
            </w:r>
            <w:r>
              <w:rPr>
                <w:rFonts w:ascii="Arial" w:cs="Arial" w:eastAsia="Arial" w:hAnsi="Arial"/>
                <w:sz w:val="19"/>
                <w:szCs w:val="19"/>
                <w:color w:val="auto"/>
                <w:vertAlign w:val="superscript"/>
              </w:rPr>
              <w:t>(7)</w:t>
            </w:r>
          </w:p>
        </w:tc>
        <w:tc>
          <w:tcPr>
            <w:tcW w:w="40" w:type="dxa"/>
            <w:vAlign w:val="bottom"/>
            <w:tcBorders>
              <w:top w:val="single" w:sz="8" w:color="CCCCCC"/>
            </w:tcBorders>
          </w:tcPr>
          <w:p>
            <w:pPr>
              <w:spacing w:after="0"/>
              <w:rPr>
                <w:sz w:val="19"/>
                <w:szCs w:val="19"/>
                <w:color w:val="auto"/>
              </w:rPr>
            </w:pPr>
          </w:p>
        </w:tc>
        <w:tc>
          <w:tcPr>
            <w:tcW w:w="400" w:type="dxa"/>
            <w:vAlign w:val="bottom"/>
            <w:tcBorders>
              <w:top w:val="single" w:sz="8" w:color="CCCCCC"/>
            </w:tcBorders>
          </w:tcPr>
          <w:p>
            <w:pPr>
              <w:spacing w:after="0"/>
              <w:rPr>
                <w:sz w:val="19"/>
                <w:szCs w:val="19"/>
                <w:color w:val="auto"/>
              </w:rPr>
            </w:pPr>
          </w:p>
        </w:tc>
        <w:tc>
          <w:tcPr>
            <w:tcW w:w="140" w:type="dxa"/>
            <w:vAlign w:val="bottom"/>
            <w:tcBorders>
              <w:top w:val="single" w:sz="8" w:color="CCCCCC"/>
            </w:tcBorders>
          </w:tcPr>
          <w:p>
            <w:pPr>
              <w:spacing w:after="0"/>
              <w:rPr>
                <w:sz w:val="19"/>
                <w:szCs w:val="19"/>
                <w:color w:val="auto"/>
              </w:rPr>
            </w:pPr>
          </w:p>
        </w:tc>
        <w:tc>
          <w:tcPr>
            <w:tcW w:w="640" w:type="dxa"/>
            <w:vAlign w:val="bottom"/>
            <w:tcBorders>
              <w:top w:val="single" w:sz="8" w:color="CCCCCC"/>
            </w:tcBorders>
          </w:tcPr>
          <w:p>
            <w:pPr>
              <w:spacing w:after="0"/>
              <w:rPr>
                <w:sz w:val="19"/>
                <w:szCs w:val="19"/>
                <w:color w:val="auto"/>
              </w:rPr>
            </w:pPr>
          </w:p>
        </w:tc>
        <w:tc>
          <w:tcPr>
            <w:tcW w:w="280" w:type="dxa"/>
            <w:vAlign w:val="bottom"/>
            <w:tcBorders>
              <w:top w:val="single" w:sz="8" w:color="CCCCCC"/>
            </w:tcBorders>
          </w:tcPr>
          <w:p>
            <w:pPr>
              <w:spacing w:after="0"/>
              <w:rPr>
                <w:sz w:val="19"/>
                <w:szCs w:val="19"/>
                <w:color w:val="auto"/>
              </w:rPr>
            </w:pPr>
          </w:p>
        </w:tc>
        <w:tc>
          <w:tcPr>
            <w:tcW w:w="380" w:type="dxa"/>
            <w:vAlign w:val="bottom"/>
            <w:tcBorders>
              <w:top w:val="single" w:sz="8" w:color="CCCCCC"/>
            </w:tcBorders>
          </w:tcPr>
          <w:p>
            <w:pPr>
              <w:spacing w:after="0"/>
              <w:rPr>
                <w:sz w:val="19"/>
                <w:szCs w:val="19"/>
                <w:color w:val="auto"/>
              </w:rPr>
            </w:pPr>
          </w:p>
        </w:tc>
        <w:tc>
          <w:tcPr>
            <w:tcW w:w="140" w:type="dxa"/>
            <w:vAlign w:val="bottom"/>
            <w:tcBorders>
              <w:top w:val="single" w:sz="8" w:color="CCCCCC"/>
            </w:tcBorders>
          </w:tcPr>
          <w:p>
            <w:pPr>
              <w:spacing w:after="0"/>
              <w:rPr>
                <w:sz w:val="19"/>
                <w:szCs w:val="19"/>
                <w:color w:val="auto"/>
              </w:rPr>
            </w:pPr>
          </w:p>
        </w:tc>
        <w:tc>
          <w:tcPr>
            <w:tcW w:w="740" w:type="dxa"/>
            <w:vAlign w:val="bottom"/>
            <w:tcBorders>
              <w:top w:val="single" w:sz="8" w:color="CCCCCC"/>
            </w:tcBorders>
          </w:tcPr>
          <w:p>
            <w:pPr>
              <w:spacing w:after="0"/>
              <w:rPr>
                <w:sz w:val="19"/>
                <w:szCs w:val="19"/>
                <w:color w:val="auto"/>
              </w:rPr>
            </w:pPr>
          </w:p>
        </w:tc>
        <w:tc>
          <w:tcPr>
            <w:tcW w:w="540" w:type="dxa"/>
            <w:vAlign w:val="bottom"/>
            <w:tcBorders>
              <w:top w:val="single" w:sz="8" w:color="CCCCCC"/>
            </w:tcBorders>
          </w:tcPr>
          <w:p>
            <w:pPr>
              <w:spacing w:after="0"/>
              <w:rPr>
                <w:sz w:val="19"/>
                <w:szCs w:val="19"/>
                <w:color w:val="auto"/>
              </w:rPr>
            </w:pPr>
          </w:p>
        </w:tc>
        <w:tc>
          <w:tcPr>
            <w:tcW w:w="320" w:type="dxa"/>
            <w:vAlign w:val="bottom"/>
            <w:tcBorders>
              <w:top w:val="single" w:sz="8" w:color="CCCCCC"/>
            </w:tcBorders>
          </w:tcPr>
          <w:p>
            <w:pPr>
              <w:spacing w:after="0"/>
              <w:rPr>
                <w:sz w:val="19"/>
                <w:szCs w:val="19"/>
                <w:color w:val="auto"/>
              </w:rPr>
            </w:pPr>
          </w:p>
        </w:tc>
        <w:tc>
          <w:tcPr>
            <w:tcW w:w="840" w:type="dxa"/>
            <w:vAlign w:val="bottom"/>
            <w:tcBorders>
              <w:top w:val="single" w:sz="8" w:color="CCCCCC"/>
            </w:tcBorders>
          </w:tcPr>
          <w:p>
            <w:pPr>
              <w:spacing w:after="0"/>
              <w:rPr>
                <w:sz w:val="19"/>
                <w:szCs w:val="19"/>
                <w:color w:val="auto"/>
              </w:rPr>
            </w:pPr>
          </w:p>
        </w:tc>
        <w:tc>
          <w:tcPr>
            <w:tcW w:w="420" w:type="dxa"/>
            <w:vAlign w:val="bottom"/>
            <w:tcBorders>
              <w:top w:val="single" w:sz="8" w:color="CCCCCC"/>
            </w:tcBorders>
          </w:tcPr>
          <w:p>
            <w:pPr>
              <w:spacing w:after="0"/>
              <w:rPr>
                <w:sz w:val="19"/>
                <w:szCs w:val="19"/>
                <w:color w:val="auto"/>
              </w:rPr>
            </w:pPr>
          </w:p>
        </w:tc>
        <w:tc>
          <w:tcPr>
            <w:tcW w:w="580" w:type="dxa"/>
            <w:vAlign w:val="bottom"/>
            <w:tcBorders>
              <w:top w:val="single" w:sz="8" w:color="CCCCCC"/>
            </w:tcBorders>
          </w:tcPr>
          <w:p>
            <w:pPr>
              <w:spacing w:after="0"/>
              <w:rPr>
                <w:sz w:val="19"/>
                <w:szCs w:val="19"/>
                <w:color w:val="auto"/>
              </w:rPr>
            </w:pPr>
          </w:p>
        </w:tc>
        <w:tc>
          <w:tcPr>
            <w:tcW w:w="300" w:type="dxa"/>
            <w:vAlign w:val="bottom"/>
            <w:tcBorders>
              <w:top w:val="single" w:sz="8" w:color="CCCCCC"/>
            </w:tcBorders>
          </w:tcPr>
          <w:p>
            <w:pPr>
              <w:spacing w:after="0"/>
              <w:rPr>
                <w:sz w:val="19"/>
                <w:szCs w:val="19"/>
                <w:color w:val="auto"/>
              </w:rPr>
            </w:pPr>
          </w:p>
        </w:tc>
        <w:tc>
          <w:tcPr>
            <w:tcW w:w="740" w:type="dxa"/>
            <w:vAlign w:val="bottom"/>
            <w:tcBorders>
              <w:top w:val="single" w:sz="8" w:color="CCCCCC"/>
            </w:tcBorders>
          </w:tcPr>
          <w:p>
            <w:pPr>
              <w:spacing w:after="0"/>
              <w:rPr>
                <w:sz w:val="19"/>
                <w:szCs w:val="19"/>
                <w:color w:val="auto"/>
              </w:rPr>
            </w:pPr>
          </w:p>
        </w:tc>
        <w:tc>
          <w:tcPr>
            <w:tcW w:w="1020" w:type="dxa"/>
            <w:vAlign w:val="bottom"/>
            <w:tcBorders>
              <w:top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40" w:type="dxa"/>
            <w:vAlign w:val="bottom"/>
          </w:tcPr>
          <w:p>
            <w:pPr>
              <w:ind w:left="100"/>
              <w:spacing w:after="0"/>
              <w:rPr>
                <w:sz w:val="20"/>
                <w:szCs w:val="20"/>
                <w:color w:val="auto"/>
              </w:rPr>
            </w:pPr>
            <w:r>
              <w:rPr>
                <w:rFonts w:ascii="Arial" w:cs="Arial" w:eastAsia="Arial" w:hAnsi="Arial"/>
                <w:sz w:val="13"/>
                <w:szCs w:val="13"/>
                <w:color w:val="auto"/>
              </w:rPr>
              <w:t>Former Senior Vice</w:t>
            </w:r>
          </w:p>
        </w:tc>
        <w:tc>
          <w:tcPr>
            <w:tcW w:w="4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​2024</w:t>
            </w:r>
          </w:p>
        </w:tc>
        <w:tc>
          <w:tcPr>
            <w:tcW w:w="14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326,827</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743,990</w:t>
            </w:r>
          </w:p>
        </w:tc>
        <w:tc>
          <w:tcPr>
            <w:tcW w:w="540" w:type="dxa"/>
            <w:vAlign w:val="bottom"/>
          </w:tcPr>
          <w:p>
            <w:pPr>
              <w:ind w:left="140"/>
              <w:spacing w:after="0"/>
              <w:rPr>
                <w:sz w:val="20"/>
                <w:szCs w:val="20"/>
                <w:color w:val="auto"/>
              </w:rPr>
            </w:pPr>
            <w:r>
              <w:rPr>
                <w:rFonts w:ascii="Arial" w:cs="Arial" w:eastAsia="Arial" w:hAnsi="Arial"/>
                <w:sz w:val="15"/>
                <w:szCs w:val="15"/>
                <w:color w:val="auto"/>
              </w:rPr>
              <w:t>​—</w:t>
            </w:r>
          </w:p>
        </w:tc>
        <w:tc>
          <w:tcPr>
            <w:tcW w:w="320" w:type="dxa"/>
            <w:vAlign w:val="bottom"/>
          </w:tcPr>
          <w:p>
            <w:pPr>
              <w:ind w:left="2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240"/>
              <w:spacing w:after="0"/>
              <w:rPr>
                <w:sz w:val="20"/>
                <w:szCs w:val="20"/>
                <w:color w:val="auto"/>
              </w:rPr>
            </w:pPr>
            <w:r>
              <w:rPr>
                <w:rFonts w:ascii="Arial" w:cs="Arial" w:eastAsia="Arial" w:hAnsi="Arial"/>
                <w:sz w:val="15"/>
                <w:szCs w:val="15"/>
                <w:color w:val="auto"/>
              </w:rPr>
              <w:t>​(3,354)</w:t>
            </w:r>
          </w:p>
        </w:tc>
        <w:tc>
          <w:tcPr>
            <w:tcW w:w="1040" w:type="dxa"/>
            <w:vAlign w:val="bottom"/>
            <w:gridSpan w:val="2"/>
          </w:tcPr>
          <w:p>
            <w:pPr>
              <w:jc w:val="right"/>
              <w:ind w:right="64"/>
              <w:spacing w:after="0"/>
              <w:rPr>
                <w:sz w:val="20"/>
                <w:szCs w:val="20"/>
                <w:color w:val="auto"/>
              </w:rPr>
            </w:pPr>
            <w:r>
              <w:rPr>
                <w:rFonts w:ascii="Arial" w:cs="Arial" w:eastAsia="Arial" w:hAnsi="Arial"/>
                <w:sz w:val="15"/>
                <w:szCs w:val="15"/>
                <w:color w:val="auto"/>
              </w:rPr>
              <w:t>​1,030,800</w:t>
            </w:r>
          </w:p>
        </w:tc>
        <w:tc>
          <w:tcPr>
            <w:tcW w:w="1020" w:type="dxa"/>
            <w:vAlign w:val="bottom"/>
          </w:tcPr>
          <w:p>
            <w:pPr>
              <w:ind w:left="140"/>
              <w:spacing w:after="0"/>
              <w:rPr>
                <w:sz w:val="20"/>
                <w:szCs w:val="20"/>
                <w:color w:val="auto"/>
              </w:rPr>
            </w:pPr>
            <w:r>
              <w:rPr>
                <w:rFonts w:ascii="Arial" w:cs="Arial" w:eastAsia="Arial" w:hAnsi="Arial"/>
                <w:sz w:val="15"/>
                <w:szCs w:val="15"/>
                <w:color w:val="auto"/>
              </w:rPr>
              <w:t>​ 2,098,263</w:t>
            </w:r>
          </w:p>
        </w:tc>
        <w:tc>
          <w:tcPr>
            <w:tcW w:w="0" w:type="dxa"/>
            <w:vAlign w:val="bottom"/>
          </w:tcPr>
          <w:p>
            <w:pPr>
              <w:spacing w:after="0"/>
              <w:rPr>
                <w:sz w:val="1"/>
                <w:szCs w:val="1"/>
                <w:color w:val="auto"/>
              </w:rPr>
            </w:pPr>
          </w:p>
        </w:tc>
      </w:tr>
      <w:tr>
        <w:trPr>
          <w:trHeight w:val="200"/>
        </w:trPr>
        <w:tc>
          <w:tcPr>
            <w:tcW w:w="1740" w:type="dxa"/>
            <w:vAlign w:val="bottom"/>
          </w:tcPr>
          <w:p>
            <w:pPr>
              <w:ind w:left="100"/>
              <w:spacing w:after="0"/>
              <w:rPr>
                <w:sz w:val="20"/>
                <w:szCs w:val="20"/>
                <w:color w:val="auto"/>
              </w:rPr>
            </w:pPr>
            <w:r>
              <w:rPr>
                <w:rFonts w:ascii="Arial" w:cs="Arial" w:eastAsia="Arial" w:hAnsi="Arial"/>
                <w:sz w:val="13"/>
                <w:szCs w:val="13"/>
                <w:color w:val="auto"/>
              </w:rPr>
              <w:t>President, Electric Business</w:t>
            </w: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69850</wp:posOffset>
            </wp:positionV>
            <wp:extent cx="58807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61" w:lineRule="exact"/>
        <w:rPr>
          <w:sz w:val="20"/>
          <w:szCs w:val="20"/>
          <w:color w:val="auto"/>
        </w:rPr>
      </w:pPr>
    </w:p>
    <w:p>
      <w:pPr>
        <w:ind w:left="920" w:right="300" w:hanging="189"/>
        <w:spacing w:after="0" w:line="198" w:lineRule="auto"/>
        <w:tabs>
          <w:tab w:leader="none" w:pos="920" w:val="left"/>
        </w:tabs>
        <w:numPr>
          <w:ilvl w:val="0"/>
          <w:numId w:val="103"/>
        </w:numPr>
        <w:rPr>
          <w:rFonts w:ascii="Arial" w:cs="Arial" w:eastAsia="Arial" w:hAnsi="Arial"/>
          <w:sz w:val="20"/>
          <w:szCs w:val="20"/>
          <w:color w:val="auto"/>
          <w:vertAlign w:val="superscript"/>
        </w:rPr>
      </w:pPr>
      <w:r>
        <w:rPr>
          <w:rFonts w:ascii="Arial" w:cs="Arial" w:eastAsia="Arial" w:hAnsi="Arial"/>
          <w:sz w:val="13"/>
          <w:szCs w:val="13"/>
          <w:color w:val="auto"/>
        </w:rPr>
        <w:t>For 2022, amounts for Ms. Karuturi include a cash bonus of $100,000. For 2023, amounts for Mr. Ryan include a cash bonus of $200,000. For 2024, amounts for Ms. Karuturi include a cash bonus of $100,000.</w:t>
      </w:r>
    </w:p>
    <w:p>
      <w:pPr>
        <w:spacing w:after="0" w:line="64" w:lineRule="exact"/>
        <w:rPr>
          <w:rFonts w:ascii="Arial" w:cs="Arial" w:eastAsia="Arial" w:hAnsi="Arial"/>
          <w:sz w:val="20"/>
          <w:szCs w:val="20"/>
          <w:color w:val="auto"/>
          <w:vertAlign w:val="superscript"/>
        </w:rPr>
      </w:pPr>
    </w:p>
    <w:p>
      <w:pPr>
        <w:ind w:left="920" w:right="180" w:hanging="189"/>
        <w:spacing w:after="0" w:line="224" w:lineRule="auto"/>
        <w:tabs>
          <w:tab w:leader="none" w:pos="920" w:val="left"/>
        </w:tabs>
        <w:numPr>
          <w:ilvl w:val="0"/>
          <w:numId w:val="103"/>
        </w:numPr>
        <w:rPr>
          <w:rFonts w:ascii="Arial" w:cs="Arial" w:eastAsia="Arial" w:hAnsi="Arial"/>
          <w:sz w:val="20"/>
          <w:szCs w:val="20"/>
          <w:color w:val="auto"/>
          <w:vertAlign w:val="superscript"/>
        </w:rPr>
      </w:pPr>
      <w:r>
        <w:rPr>
          <w:rFonts w:ascii="Arial" w:cs="Arial" w:eastAsia="Arial" w:hAnsi="Arial"/>
          <w:sz w:val="13"/>
          <w:szCs w:val="13"/>
          <w:color w:val="auto"/>
        </w:rPr>
        <w:t>Reported amounts for our named executive officers represent the aggregate grant date fair value of awards computed in accordance with FASB ASC Topic 718 based on the probable achievement level of the underlying performance conditions as of the grant date. Assumptions, where applicable, are the same assumptions disclosed in “Stock-Based Incentive Compensation Plans and Employee Benefit Plans” in Note 8 to our consolidated financial statements included in our annual report on Form 10-K for the year ended December 31, 2024. For purposes of the tables above and below, the effects of estimated forfeitures are excluded. Please also refer to the Grants of Plan-Based Awards for Fiscal Year 2024 table and the accompanying footnotes.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40"/>
        <w:spacing w:after="0" w:line="264" w:lineRule="auto"/>
        <w:rPr>
          <w:sz w:val="20"/>
          <w:szCs w:val="20"/>
          <w:color w:val="auto"/>
        </w:rPr>
      </w:pPr>
      <w:r>
        <w:rPr>
          <w:rFonts w:ascii="Arial" w:cs="Arial" w:eastAsia="Arial" w:hAnsi="Arial"/>
          <w:sz w:val="13"/>
          <w:szCs w:val="13"/>
          <w:color w:val="auto"/>
        </w:rPr>
        <w:t>The maximum value at the grant date of stock awards for each of our named executive officers assuming the highest level of performance conditions is achieved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102870</wp:posOffset>
            </wp:positionV>
            <wp:extent cx="5768975" cy="3429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8975" cy="34290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6000" w:hanging="56"/>
        <w:spacing w:after="0" w:line="254" w:lineRule="auto"/>
        <w:tabs>
          <w:tab w:leader="none" w:pos="1020" w:val="left"/>
        </w:tabs>
        <w:numPr>
          <w:ilvl w:val="0"/>
          <w:numId w:val="104"/>
        </w:numPr>
        <w:rPr>
          <w:rFonts w:ascii="Arial" w:cs="Arial" w:eastAsia="Arial" w:hAnsi="Arial"/>
          <w:sz w:val="24"/>
          <w:szCs w:val="24"/>
          <w:b w:val="1"/>
          <w:bCs w:val="1"/>
          <w:color w:val="FFFFFF"/>
          <w:vertAlign w:val="subscript"/>
        </w:rPr>
      </w:pPr>
      <w:r>
        <w:rPr>
          <w:rFonts w:ascii="Arial" w:cs="Arial" w:eastAsia="Arial" w:hAnsi="Arial"/>
          <w:sz w:val="12"/>
          <w:szCs w:val="12"/>
          <w:b w:val="1"/>
          <w:bCs w:val="1"/>
          <w:color w:val="FFFFFF"/>
        </w:rPr>
        <w:t xml:space="preserve">Name </w:t>
      </w:r>
      <w:r>
        <w:rPr>
          <w:rFonts w:ascii="Arial" w:cs="Arial" w:eastAsia="Arial" w:hAnsi="Arial"/>
          <w:sz w:val="12"/>
          <w:szCs w:val="12"/>
          <w:color w:val="000000"/>
        </w:rPr>
        <w:t>Wells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7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Foster</w:t>
      </w:r>
    </w:p>
    <w:p>
      <w:pPr>
        <w:spacing w:after="0" w:line="1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p>
    <w:p>
      <w:pPr>
        <w:spacing w:after="0" w:line="31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Karuturi</w:t>
      </w:r>
    </w:p>
    <w:p>
      <w:pPr>
        <w:spacing w:after="0" w:line="14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Ryan</w:t>
      </w:r>
    </w:p>
    <w:p>
      <w:pPr>
        <w:spacing w:after="0" w:line="1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p>
    <w:p>
      <w:pPr>
        <w:spacing w:after="0" w:line="31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Harkel-Rumford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6"/>
              </w:rPr>
              <w:t>Maximum Value of</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FFFFFF"/>
                <w:w w:val="95"/>
              </w:rPr>
              <w:t>Stock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520" w:type="dxa"/>
            <w:vAlign w:val="bottom"/>
            <w:gridSpan w:val="2"/>
          </w:tcPr>
          <w:p>
            <w:pPr>
              <w:ind w:left="40"/>
              <w:spacing w:after="0" w:line="270"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Year </w:t>
            </w:r>
            <w:r>
              <w:rPr>
                <w:rFonts w:ascii="Arial" w:cs="Arial" w:eastAsia="Arial" w:hAnsi="Arial"/>
                <w:sz w:val="25"/>
                <w:szCs w:val="25"/>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FFFFFF"/>
              </w:rPr>
              <w:t>​</w:t>
            </w:r>
          </w:p>
        </w:tc>
        <w:tc>
          <w:tcPr>
            <w:tcW w:w="1120" w:type="dxa"/>
            <w:vAlign w:val="bottom"/>
          </w:tcPr>
          <w:p>
            <w:pPr>
              <w:jc w:val="right"/>
              <w:ind w:right="397"/>
              <w:spacing w:after="0"/>
              <w:rPr>
                <w:sz w:val="20"/>
                <w:szCs w:val="20"/>
                <w:color w:val="auto"/>
              </w:rPr>
            </w:pPr>
            <w:r>
              <w:rPr>
                <w:rFonts w:ascii="Arial" w:cs="Arial" w:eastAsia="Arial" w:hAnsi="Arial"/>
                <w:sz w:val="13"/>
                <w:szCs w:val="13"/>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w:t>
            </w:r>
            <w:r>
              <w:rPr>
                <w:rFonts w:ascii="Arial" w:cs="Arial" w:eastAsia="Arial" w:hAnsi="Arial"/>
                <w:sz w:val="13"/>
                <w:szCs w:val="13"/>
                <w:color w:val="auto"/>
                <w:w w:val="98"/>
              </w:rPr>
              <w:t>10,062,491</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20" w:type="dxa"/>
            <w:vAlign w:val="bottom"/>
            <w:tcBorders>
              <w:bottom w:val="single" w:sz="8" w:color="CCCCCC"/>
            </w:tcBorders>
            <w:gridSpan w:val="2"/>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1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6,859,940</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20" w:type="dxa"/>
            <w:vAlign w:val="bottom"/>
            <w:tcBorders>
              <w:bottom w:val="single" w:sz="8" w:color="CCCCCC"/>
            </w:tcBorders>
            <w:gridSpan w:val="2"/>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1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2022​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3,040,614</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8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3,298,721</w:t>
            </w:r>
          </w:p>
        </w:tc>
        <w:tc>
          <w:tcPr>
            <w:tcW w:w="1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2"/>
        </w:trPr>
        <w:tc>
          <w:tcPr>
            <w:tcW w:w="60" w:type="dxa"/>
            <w:vAlign w:val="bottom"/>
            <w:vMerge w:val="continue"/>
          </w:tcPr>
          <w:p>
            <w:pPr>
              <w:spacing w:after="0"/>
              <w:rPr>
                <w:sz w:val="7"/>
                <w:szCs w:val="7"/>
                <w:color w:val="auto"/>
              </w:rPr>
            </w:pPr>
          </w:p>
        </w:tc>
        <w:tc>
          <w:tcPr>
            <w:tcW w:w="100" w:type="dxa"/>
            <w:vAlign w:val="bottom"/>
            <w:tcBorders>
              <w:bottom w:val="single" w:sz="8" w:color="CCCCCC"/>
            </w:tcBorders>
            <w:shd w:val="clear" w:color="auto" w:fill="F2F2F2"/>
          </w:tcPr>
          <w:p>
            <w:pPr>
              <w:spacing w:after="0"/>
              <w:rPr>
                <w:sz w:val="7"/>
                <w:szCs w:val="7"/>
                <w:color w:val="auto"/>
              </w:rPr>
            </w:pPr>
          </w:p>
        </w:tc>
        <w:tc>
          <w:tcPr>
            <w:tcW w:w="420" w:type="dxa"/>
            <w:vAlign w:val="bottom"/>
            <w:tcBorders>
              <w:bottom w:val="single" w:sz="8" w:color="CCCCCC"/>
            </w:tcBorders>
            <w:shd w:val="clear" w:color="auto" w:fill="F2F2F2"/>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1120" w:type="dxa"/>
            <w:vAlign w:val="bottom"/>
            <w:tcBorders>
              <w:bottom w:val="single" w:sz="8" w:color="CCCCCC"/>
            </w:tcBorders>
            <w:shd w:val="clear" w:color="auto" w:fill="F2F2F2"/>
          </w:tcPr>
          <w:p>
            <w:pPr>
              <w:spacing w:after="0"/>
              <w:rPr>
                <w:sz w:val="7"/>
                <w:szCs w:val="7"/>
                <w:color w:val="auto"/>
              </w:rPr>
            </w:pPr>
          </w:p>
        </w:tc>
        <w:tc>
          <w:tcPr>
            <w:tcW w:w="140" w:type="dxa"/>
            <w:vAlign w:val="bottom"/>
            <w:tcBorders>
              <w:bottom w:val="single" w:sz="8" w:color="CCCCCC"/>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0" w:type="dxa"/>
            <w:vAlign w:val="bottom"/>
            <w:vMerge w:val="continue"/>
          </w:tcPr>
          <w:p>
            <w:pPr>
              <w:spacing w:after="0"/>
              <w:rPr>
                <w:sz w:val="5"/>
                <w:szCs w:val="5"/>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80" w:type="dxa"/>
            <w:vAlign w:val="bottom"/>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7,085,065</w:t>
            </w:r>
          </w:p>
        </w:tc>
        <w:tc>
          <w:tcPr>
            <w:tcW w:w="14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vMerge w:val="continue"/>
            <w:shd w:val="clear" w:color="auto" w:fill="F2F2F2"/>
          </w:tcPr>
          <w:p>
            <w:pPr>
              <w:spacing w:after="0"/>
              <w:rPr>
                <w:sz w:val="12"/>
                <w:szCs w:val="12"/>
                <w:color w:val="auto"/>
              </w:rPr>
            </w:pPr>
          </w:p>
        </w:tc>
        <w:tc>
          <w:tcPr>
            <w:tcW w:w="80" w:type="dxa"/>
            <w:vAlign w:val="bottom"/>
            <w:vMerge w:val="continue"/>
            <w:shd w:val="clear" w:color="auto" w:fill="F2F2F2"/>
          </w:tcPr>
          <w:p>
            <w:pPr>
              <w:spacing w:after="0"/>
              <w:rPr>
                <w:sz w:val="12"/>
                <w:szCs w:val="12"/>
                <w:color w:val="auto"/>
              </w:rPr>
            </w:pPr>
          </w:p>
        </w:tc>
        <w:tc>
          <w:tcPr>
            <w:tcW w:w="1120" w:type="dxa"/>
            <w:vAlign w:val="bottom"/>
            <w:vMerge w:val="continue"/>
            <w:shd w:val="clear" w:color="auto" w:fill="F2F2F2"/>
          </w:tcPr>
          <w:p>
            <w:pPr>
              <w:spacing w:after="0"/>
              <w:rPr>
                <w:sz w:val="12"/>
                <w:szCs w:val="12"/>
                <w:color w:val="auto"/>
              </w:rPr>
            </w:pPr>
          </w:p>
        </w:tc>
        <w:tc>
          <w:tcPr>
            <w:tcW w:w="14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3,298,721</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1"/>
        </w:trPr>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CCCC"/>
            </w:tcBorders>
            <w:gridSpan w:val="2"/>
          </w:tcPr>
          <w:p>
            <w:pPr>
              <w:spacing w:after="0"/>
              <w:rPr>
                <w:sz w:val="7"/>
                <w:szCs w:val="7"/>
                <w:color w:val="auto"/>
              </w:rPr>
            </w:pPr>
          </w:p>
        </w:tc>
        <w:tc>
          <w:tcPr>
            <w:tcW w:w="8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3,184,958</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20" w:type="dxa"/>
            <w:vAlign w:val="bottom"/>
            <w:tcBorders>
              <w:bottom w:val="single" w:sz="8" w:color="CCCCCC"/>
            </w:tcBorders>
            <w:gridSpan w:val="2"/>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1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2022​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1,928,524</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8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1,837,497</w:t>
            </w:r>
          </w:p>
        </w:tc>
        <w:tc>
          <w:tcPr>
            <w:tcW w:w="1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2"/>
        </w:trPr>
        <w:tc>
          <w:tcPr>
            <w:tcW w:w="60" w:type="dxa"/>
            <w:vAlign w:val="bottom"/>
            <w:vMerge w:val="continue"/>
          </w:tcPr>
          <w:p>
            <w:pPr>
              <w:spacing w:after="0"/>
              <w:rPr>
                <w:sz w:val="7"/>
                <w:szCs w:val="7"/>
                <w:color w:val="auto"/>
              </w:rPr>
            </w:pPr>
          </w:p>
        </w:tc>
        <w:tc>
          <w:tcPr>
            <w:tcW w:w="100" w:type="dxa"/>
            <w:vAlign w:val="bottom"/>
            <w:tcBorders>
              <w:bottom w:val="single" w:sz="8" w:color="CCCCCC"/>
            </w:tcBorders>
            <w:shd w:val="clear" w:color="auto" w:fill="F2F2F2"/>
          </w:tcPr>
          <w:p>
            <w:pPr>
              <w:spacing w:after="0"/>
              <w:rPr>
                <w:sz w:val="7"/>
                <w:szCs w:val="7"/>
                <w:color w:val="auto"/>
              </w:rPr>
            </w:pPr>
          </w:p>
        </w:tc>
        <w:tc>
          <w:tcPr>
            <w:tcW w:w="420" w:type="dxa"/>
            <w:vAlign w:val="bottom"/>
            <w:tcBorders>
              <w:bottom w:val="single" w:sz="8" w:color="CCCCCC"/>
            </w:tcBorders>
            <w:shd w:val="clear" w:color="auto" w:fill="F2F2F2"/>
          </w:tcPr>
          <w:p>
            <w:pPr>
              <w:spacing w:after="0"/>
              <w:rPr>
                <w:sz w:val="7"/>
                <w:szCs w:val="7"/>
                <w:color w:val="auto"/>
              </w:rPr>
            </w:pPr>
          </w:p>
        </w:tc>
        <w:tc>
          <w:tcPr>
            <w:tcW w:w="80" w:type="dxa"/>
            <w:vAlign w:val="bottom"/>
            <w:tcBorders>
              <w:bottom w:val="single" w:sz="8" w:color="CCCCCC"/>
            </w:tcBorders>
            <w:shd w:val="clear" w:color="auto" w:fill="F2F2F2"/>
          </w:tcPr>
          <w:p>
            <w:pPr>
              <w:spacing w:after="0"/>
              <w:rPr>
                <w:sz w:val="7"/>
                <w:szCs w:val="7"/>
                <w:color w:val="auto"/>
              </w:rPr>
            </w:pPr>
          </w:p>
        </w:tc>
        <w:tc>
          <w:tcPr>
            <w:tcW w:w="1120" w:type="dxa"/>
            <w:vAlign w:val="bottom"/>
            <w:tcBorders>
              <w:bottom w:val="single" w:sz="8" w:color="CCCCCC"/>
            </w:tcBorders>
            <w:shd w:val="clear" w:color="auto" w:fill="F2F2F2"/>
          </w:tcPr>
          <w:p>
            <w:pPr>
              <w:spacing w:after="0"/>
              <w:rPr>
                <w:sz w:val="7"/>
                <w:szCs w:val="7"/>
                <w:color w:val="auto"/>
              </w:rPr>
            </w:pPr>
          </w:p>
        </w:tc>
        <w:tc>
          <w:tcPr>
            <w:tcW w:w="140" w:type="dxa"/>
            <w:vAlign w:val="bottom"/>
            <w:tcBorders>
              <w:bottom w:val="single" w:sz="8" w:color="CCCCCC"/>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0" w:type="dxa"/>
            <w:vAlign w:val="bottom"/>
            <w:vMerge w:val="continue"/>
          </w:tcPr>
          <w:p>
            <w:pPr>
              <w:spacing w:after="0"/>
              <w:rPr>
                <w:sz w:val="5"/>
                <w:szCs w:val="5"/>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80" w:type="dxa"/>
            <w:vAlign w:val="bottom"/>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2,747,511</w:t>
            </w:r>
          </w:p>
        </w:tc>
        <w:tc>
          <w:tcPr>
            <w:tcW w:w="14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vMerge w:val="continue"/>
            <w:shd w:val="clear" w:color="auto" w:fill="F2F2F2"/>
          </w:tcPr>
          <w:p>
            <w:pPr>
              <w:spacing w:after="0"/>
              <w:rPr>
                <w:sz w:val="12"/>
                <w:szCs w:val="12"/>
                <w:color w:val="auto"/>
              </w:rPr>
            </w:pPr>
          </w:p>
        </w:tc>
        <w:tc>
          <w:tcPr>
            <w:tcW w:w="80" w:type="dxa"/>
            <w:vAlign w:val="bottom"/>
            <w:vMerge w:val="continue"/>
            <w:shd w:val="clear" w:color="auto" w:fill="F2F2F2"/>
          </w:tcPr>
          <w:p>
            <w:pPr>
              <w:spacing w:after="0"/>
              <w:rPr>
                <w:sz w:val="12"/>
                <w:szCs w:val="12"/>
                <w:color w:val="auto"/>
              </w:rPr>
            </w:pPr>
          </w:p>
        </w:tc>
        <w:tc>
          <w:tcPr>
            <w:tcW w:w="1120" w:type="dxa"/>
            <w:vAlign w:val="bottom"/>
            <w:vMerge w:val="continue"/>
            <w:shd w:val="clear" w:color="auto" w:fill="F2F2F2"/>
          </w:tcPr>
          <w:p>
            <w:pPr>
              <w:spacing w:after="0"/>
              <w:rPr>
                <w:sz w:val="12"/>
                <w:szCs w:val="12"/>
                <w:color w:val="auto"/>
              </w:rPr>
            </w:pPr>
          </w:p>
        </w:tc>
        <w:tc>
          <w:tcPr>
            <w:tcW w:w="14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80" w:type="dxa"/>
            <w:vAlign w:val="bottom"/>
            <w:shd w:val="clear" w:color="auto" w:fill="F2F2F2"/>
          </w:tcPr>
          <w:p>
            <w:pPr>
              <w:spacing w:after="0"/>
              <w:rPr>
                <w:sz w:val="7"/>
                <w:szCs w:val="7"/>
                <w:color w:val="auto"/>
              </w:rPr>
            </w:pPr>
          </w:p>
        </w:tc>
        <w:tc>
          <w:tcPr>
            <w:tcW w:w="112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1,662,446</w:t>
            </w:r>
          </w:p>
        </w:tc>
        <w:tc>
          <w:tcPr>
            <w:tcW w:w="1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2"/>
        </w:trPr>
        <w:tc>
          <w:tcPr>
            <w:tcW w:w="60" w:type="dxa"/>
            <w:vAlign w:val="bottom"/>
            <w:vMerge w:val="continue"/>
          </w:tcPr>
          <w:p>
            <w:pPr>
              <w:spacing w:after="0"/>
              <w:rPr>
                <w:sz w:val="7"/>
                <w:szCs w:val="7"/>
                <w:color w:val="auto"/>
              </w:rPr>
            </w:pPr>
          </w:p>
        </w:tc>
        <w:tc>
          <w:tcPr>
            <w:tcW w:w="100" w:type="dxa"/>
            <w:vAlign w:val="bottom"/>
            <w:tcBorders>
              <w:bottom w:val="single" w:sz="8" w:color="CCCCCC"/>
            </w:tcBorders>
          </w:tcPr>
          <w:p>
            <w:pPr>
              <w:spacing w:after="0"/>
              <w:rPr>
                <w:sz w:val="7"/>
                <w:szCs w:val="7"/>
                <w:color w:val="auto"/>
              </w:rPr>
            </w:pPr>
          </w:p>
        </w:tc>
        <w:tc>
          <w:tcPr>
            <w:tcW w:w="42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tcPr>
          <w:p>
            <w:pPr>
              <w:spacing w:after="0"/>
              <w:rPr>
                <w:sz w:val="7"/>
                <w:szCs w:val="7"/>
                <w:color w:val="auto"/>
              </w:rPr>
            </w:pPr>
          </w:p>
        </w:tc>
        <w:tc>
          <w:tcPr>
            <w:tcW w:w="1120" w:type="dxa"/>
            <w:vAlign w:val="bottom"/>
            <w:tcBorders>
              <w:bottom w:val="single" w:sz="8" w:color="CCCCCC"/>
            </w:tcBorders>
          </w:tcPr>
          <w:p>
            <w:pPr>
              <w:spacing w:after="0"/>
              <w:rPr>
                <w:sz w:val="7"/>
                <w:szCs w:val="7"/>
                <w:color w:val="auto"/>
              </w:rPr>
            </w:pPr>
          </w:p>
        </w:tc>
        <w:tc>
          <w:tcPr>
            <w:tcW w:w="140" w:type="dxa"/>
            <w:vAlign w:val="bottom"/>
            <w:tcBorders>
              <w:bottom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0" w:type="dxa"/>
            <w:vAlign w:val="bottom"/>
            <w:vMerge w:val="continue"/>
          </w:tcPr>
          <w:p>
            <w:pPr>
              <w:spacing w:after="0"/>
              <w:rPr>
                <w:sz w:val="5"/>
                <w:szCs w:val="5"/>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1,610,015</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-735965</wp:posOffset>
            </wp:positionV>
            <wp:extent cx="5768975" cy="402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68975" cy="40259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-1722120</wp:posOffset>
            </wp:positionV>
            <wp:extent cx="5768975" cy="402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8975" cy="40259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-2296795</wp:posOffset>
            </wp:positionV>
            <wp:extent cx="57689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7360" w:space="720"/>
            <w:col w:w="1940"/>
          </w:cols>
          <w:pgMar w:left="580" w:top="97" w:right="1299" w:bottom="1440" w:gutter="0" w:footer="0" w:header="0"/>
          <w:type w:val="continuous"/>
        </w:sectPr>
      </w:pPr>
    </w:p>
    <w:tbl>
      <w:tblPr>
        <w:tblLayout w:type="fixed"/>
        <w:tblInd w:w="900" w:type="dxa"/>
        <w:tblCellMar>
          <w:top w:w="0" w:type="dxa"/>
          <w:left w:w="0" w:type="dxa"/>
          <w:bottom w:w="0" w:type="dxa"/>
          <w:right w:w="0" w:type="dxa"/>
        </w:tblCellMar>
      </w:tblPr>
      <w:tr>
        <w:trPr>
          <w:trHeight w:val="243"/>
        </w:trPr>
        <w:tc>
          <w:tcPr>
            <w:tcW w:w="3880" w:type="dxa"/>
            <w:vAlign w:val="bottom"/>
            <w:tcBorders>
              <w:top w:val="single" w:sz="8" w:color="CCCCCC"/>
            </w:tcBorders>
            <w:shd w:val="clear" w:color="auto" w:fill="F2F2F2"/>
          </w:tcPr>
          <w:p>
            <w:pPr>
              <w:ind w:left="120"/>
              <w:spacing w:after="0"/>
              <w:rPr>
                <w:sz w:val="20"/>
                <w:szCs w:val="20"/>
                <w:color w:val="auto"/>
              </w:rPr>
            </w:pPr>
            <w:r>
              <w:rPr>
                <w:rFonts w:ascii="Arial" w:cs="Arial" w:eastAsia="Arial" w:hAnsi="Arial"/>
                <w:sz w:val="13"/>
                <w:szCs w:val="13"/>
                <w:color w:val="auto"/>
              </w:rPr>
              <w:t>Lesar</w:t>
            </w:r>
          </w:p>
        </w:tc>
        <w:tc>
          <w:tcPr>
            <w:tcW w:w="3360" w:type="dxa"/>
            <w:vAlign w:val="bottom"/>
            <w:tcBorders>
              <w:top w:val="single" w:sz="8" w:color="CCCCCC"/>
            </w:tcBorders>
            <w:shd w:val="clear" w:color="auto" w:fill="F2F2F2"/>
          </w:tcPr>
          <w:p>
            <w:pPr>
              <w:spacing w:after="0"/>
              <w:rPr>
                <w:sz w:val="21"/>
                <w:szCs w:val="21"/>
                <w:color w:val="auto"/>
              </w:rPr>
            </w:pPr>
          </w:p>
        </w:tc>
        <w:tc>
          <w:tcPr>
            <w:tcW w:w="100" w:type="dxa"/>
            <w:vAlign w:val="bottom"/>
            <w:tcBorders>
              <w:top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CCCCCC"/>
            </w:tcBorders>
            <w:shd w:val="clear" w:color="auto" w:fill="F2F2F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200" w:type="dxa"/>
            <w:vAlign w:val="bottom"/>
            <w:tcBorders>
              <w:top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CCCC"/>
            </w:tcBorders>
            <w:shd w:val="clear" w:color="auto" w:fill="F2F2F2"/>
          </w:tcPr>
          <w:p>
            <w:pPr>
              <w:ind w:left="140"/>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CCCCCC"/>
            </w:tcBorders>
            <w:shd w:val="clear" w:color="auto" w:fill="F2F2F2"/>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CCCCCC"/>
            </w:tcBorders>
            <w:shd w:val="clear" w:color="auto" w:fill="F2F2F2"/>
          </w:tcPr>
          <w:p>
            <w:pPr>
              <w:ind w:left="12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68"/>
        </w:trPr>
        <w:tc>
          <w:tcPr>
            <w:tcW w:w="3880" w:type="dxa"/>
            <w:vAlign w:val="bottom"/>
            <w:tcBorders>
              <w:bottom w:val="single" w:sz="8" w:color="F2F2F2"/>
            </w:tcBorders>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3360" w:type="dxa"/>
            <w:vAlign w:val="bottom"/>
            <w:tcBorders>
              <w:bottom w:val="single" w:sz="8" w:color="F2F2F2"/>
            </w:tcBorders>
            <w:vMerge w:val="restart"/>
            <w:shd w:val="clear" w:color="auto" w:fill="F2F2F2"/>
          </w:tcPr>
          <w:p>
            <w:pPr>
              <w:ind w:left="33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spacing w:after="0"/>
              <w:rPr>
                <w:sz w:val="5"/>
                <w:szCs w:val="5"/>
                <w:color w:val="auto"/>
              </w:rPr>
            </w:pPr>
          </w:p>
        </w:tc>
        <w:tc>
          <w:tcPr>
            <w:tcW w:w="420" w:type="dxa"/>
            <w:vAlign w:val="bottom"/>
            <w:tcBorders>
              <w:bottom w:val="single" w:sz="8" w:color="CCCCCC"/>
            </w:tcBorders>
            <w:shd w:val="clear" w:color="auto" w:fill="F2F2F2"/>
          </w:tcPr>
          <w:p>
            <w:pPr>
              <w:spacing w:after="0"/>
              <w:rPr>
                <w:sz w:val="5"/>
                <w:szCs w:val="5"/>
                <w:color w:val="auto"/>
              </w:rPr>
            </w:pPr>
          </w:p>
        </w:tc>
        <w:tc>
          <w:tcPr>
            <w:tcW w:w="200" w:type="dxa"/>
            <w:vAlign w:val="bottom"/>
            <w:tcBorders>
              <w:bottom w:val="single" w:sz="8" w:color="CCCCCC"/>
            </w:tcBorders>
            <w:shd w:val="clear" w:color="auto" w:fill="F2F2F2"/>
          </w:tcPr>
          <w:p>
            <w:pPr>
              <w:spacing w:after="0"/>
              <w:rPr>
                <w:sz w:val="5"/>
                <w:szCs w:val="5"/>
                <w:color w:val="auto"/>
              </w:rPr>
            </w:pPr>
          </w:p>
        </w:tc>
        <w:tc>
          <w:tcPr>
            <w:tcW w:w="900" w:type="dxa"/>
            <w:vAlign w:val="bottom"/>
            <w:tcBorders>
              <w:bottom w:val="single" w:sz="8" w:color="CCCCCC"/>
            </w:tcBorders>
            <w:gridSpan w:val="2"/>
            <w:shd w:val="clear" w:color="auto" w:fill="F2F2F2"/>
          </w:tcPr>
          <w:p>
            <w:pPr>
              <w:spacing w:after="0"/>
              <w:rPr>
                <w:sz w:val="5"/>
                <w:szCs w:val="5"/>
                <w:color w:val="auto"/>
              </w:rPr>
            </w:pPr>
          </w:p>
        </w:tc>
        <w:tc>
          <w:tcPr>
            <w:tcW w:w="240" w:type="dxa"/>
            <w:vAlign w:val="bottom"/>
            <w:tcBorders>
              <w:bottom w:val="single" w:sz="8" w:color="CCCCCC"/>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shd w:val="clear" w:color="auto" w:fill="F2F2F2"/>
          </w:tcPr>
          <w:p>
            <w:pPr>
              <w:spacing w:after="0"/>
              <w:rPr>
                <w:sz w:val="19"/>
                <w:szCs w:val="19"/>
                <w:color w:val="auto"/>
              </w:rPr>
            </w:pPr>
          </w:p>
        </w:tc>
        <w:tc>
          <w:tcPr>
            <w:tcW w:w="3360" w:type="dxa"/>
            <w:vAlign w:val="bottom"/>
            <w:vMerge w:val="continue"/>
            <w:shd w:val="clear" w:color="auto" w:fill="F2F2F2"/>
          </w:tcPr>
          <w:p>
            <w:pPr>
              <w:spacing w:after="0"/>
              <w:rPr>
                <w:sz w:val="19"/>
                <w:szCs w:val="19"/>
                <w:color w:val="auto"/>
              </w:rPr>
            </w:pPr>
          </w:p>
        </w:tc>
        <w:tc>
          <w:tcPr>
            <w:tcW w:w="10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2023​ ​</w:t>
            </w:r>
          </w:p>
        </w:tc>
        <w:tc>
          <w:tcPr>
            <w:tcW w:w="20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F2F2F2"/>
          </w:tcPr>
          <w:p>
            <w:pPr>
              <w:jc w:val="right"/>
              <w:ind w:right="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17,325,068</w:t>
            </w:r>
          </w:p>
        </w:tc>
        <w:tc>
          <w:tcPr>
            <w:tcW w:w="240" w:type="dxa"/>
            <w:vAlign w:val="bottom"/>
            <w:shd w:val="clear" w:color="auto" w:fill="F2F2F2"/>
          </w:tcPr>
          <w:p>
            <w:pPr>
              <w:ind w:left="12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68"/>
        </w:trPr>
        <w:tc>
          <w:tcPr>
            <w:tcW w:w="3880" w:type="dxa"/>
            <w:vAlign w:val="bottom"/>
            <w:tcBorders>
              <w:bottom w:val="single" w:sz="8" w:color="F2F2F2"/>
            </w:tcBorders>
            <w:shd w:val="clear" w:color="auto" w:fill="F2F2F2"/>
          </w:tcPr>
          <w:p>
            <w:pPr>
              <w:spacing w:after="0"/>
              <w:rPr>
                <w:sz w:val="5"/>
                <w:szCs w:val="5"/>
                <w:color w:val="auto"/>
              </w:rPr>
            </w:pPr>
          </w:p>
        </w:tc>
        <w:tc>
          <w:tcPr>
            <w:tcW w:w="3360" w:type="dxa"/>
            <w:vAlign w:val="bottom"/>
            <w:tcBorders>
              <w:bottom w:val="single" w:sz="8" w:color="F2F2F2"/>
            </w:tcBorders>
            <w:shd w:val="clear" w:color="auto" w:fill="F2F2F2"/>
          </w:tcPr>
          <w:p>
            <w:pPr>
              <w:spacing w:after="0"/>
              <w:rPr>
                <w:sz w:val="5"/>
                <w:szCs w:val="5"/>
                <w:color w:val="auto"/>
              </w:rPr>
            </w:pPr>
          </w:p>
        </w:tc>
        <w:tc>
          <w:tcPr>
            <w:tcW w:w="100" w:type="dxa"/>
            <w:vAlign w:val="bottom"/>
            <w:tcBorders>
              <w:bottom w:val="single" w:sz="8" w:color="CCCCCC"/>
            </w:tcBorders>
            <w:shd w:val="clear" w:color="auto" w:fill="F2F2F2"/>
          </w:tcPr>
          <w:p>
            <w:pPr>
              <w:spacing w:after="0"/>
              <w:rPr>
                <w:sz w:val="5"/>
                <w:szCs w:val="5"/>
                <w:color w:val="auto"/>
              </w:rPr>
            </w:pPr>
          </w:p>
        </w:tc>
        <w:tc>
          <w:tcPr>
            <w:tcW w:w="420" w:type="dxa"/>
            <w:vAlign w:val="bottom"/>
            <w:tcBorders>
              <w:bottom w:val="single" w:sz="8" w:color="CCCCCC"/>
            </w:tcBorders>
            <w:shd w:val="clear" w:color="auto" w:fill="F2F2F2"/>
          </w:tcPr>
          <w:p>
            <w:pPr>
              <w:spacing w:after="0"/>
              <w:rPr>
                <w:sz w:val="5"/>
                <w:szCs w:val="5"/>
                <w:color w:val="auto"/>
              </w:rPr>
            </w:pPr>
          </w:p>
        </w:tc>
        <w:tc>
          <w:tcPr>
            <w:tcW w:w="200" w:type="dxa"/>
            <w:vAlign w:val="bottom"/>
            <w:tcBorders>
              <w:bottom w:val="single" w:sz="8" w:color="CCCCCC"/>
            </w:tcBorders>
            <w:shd w:val="clear" w:color="auto" w:fill="F2F2F2"/>
          </w:tcPr>
          <w:p>
            <w:pPr>
              <w:spacing w:after="0"/>
              <w:rPr>
                <w:sz w:val="5"/>
                <w:szCs w:val="5"/>
                <w:color w:val="auto"/>
              </w:rPr>
            </w:pPr>
          </w:p>
        </w:tc>
        <w:tc>
          <w:tcPr>
            <w:tcW w:w="900" w:type="dxa"/>
            <w:vAlign w:val="bottom"/>
            <w:tcBorders>
              <w:bottom w:val="single" w:sz="8" w:color="CCCCCC"/>
            </w:tcBorders>
            <w:gridSpan w:val="2"/>
            <w:shd w:val="clear" w:color="auto" w:fill="F2F2F2"/>
          </w:tcPr>
          <w:p>
            <w:pPr>
              <w:spacing w:after="0"/>
              <w:rPr>
                <w:sz w:val="5"/>
                <w:szCs w:val="5"/>
                <w:color w:val="auto"/>
              </w:rPr>
            </w:pPr>
          </w:p>
        </w:tc>
        <w:tc>
          <w:tcPr>
            <w:tcW w:w="240" w:type="dxa"/>
            <w:vAlign w:val="bottom"/>
            <w:tcBorders>
              <w:bottom w:val="single" w:sz="8" w:color="CCCCCC"/>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F2F2F2"/>
          </w:tcPr>
          <w:p>
            <w:pPr>
              <w:spacing w:after="0"/>
              <w:rPr>
                <w:sz w:val="18"/>
                <w:szCs w:val="18"/>
                <w:color w:val="auto"/>
              </w:rPr>
            </w:pPr>
          </w:p>
        </w:tc>
        <w:tc>
          <w:tcPr>
            <w:tcW w:w="3360" w:type="dxa"/>
            <w:vAlign w:val="bottom"/>
            <w:shd w:val="clear" w:color="auto" w:fill="F2F2F2"/>
          </w:tcPr>
          <w:p>
            <w:pPr>
              <w:spacing w:after="0"/>
              <w:rPr>
                <w:sz w:val="18"/>
                <w:szCs w:val="18"/>
                <w:color w:val="auto"/>
              </w:rPr>
            </w:pPr>
          </w:p>
        </w:tc>
        <w:tc>
          <w:tcPr>
            <w:tcW w:w="10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2022​ ​</w:t>
            </w:r>
          </w:p>
        </w:tc>
        <w:tc>
          <w:tcPr>
            <w:tcW w:w="200" w:type="dxa"/>
            <w:vAlign w:val="bottom"/>
            <w:shd w:val="clear" w:color="auto" w:fill="F2F2F2"/>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F2F2F2"/>
          </w:tcPr>
          <w:p>
            <w:pPr>
              <w:jc w:val="right"/>
              <w:ind w:right="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14,842,178</w:t>
            </w:r>
          </w:p>
        </w:tc>
        <w:tc>
          <w:tcPr>
            <w:tcW w:w="240" w:type="dxa"/>
            <w:vAlign w:val="bottom"/>
            <w:shd w:val="clear" w:color="auto" w:fill="F2F2F2"/>
          </w:tcPr>
          <w:p>
            <w:pPr>
              <w:ind w:left="12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1"/>
        </w:trPr>
        <w:tc>
          <w:tcPr>
            <w:tcW w:w="3880" w:type="dxa"/>
            <w:vAlign w:val="bottom"/>
            <w:tcBorders>
              <w:bottom w:val="single" w:sz="8" w:color="CCCCCC"/>
            </w:tcBorders>
            <w:shd w:val="clear" w:color="auto" w:fill="F2F2F2"/>
          </w:tcPr>
          <w:p>
            <w:pPr>
              <w:spacing w:after="0"/>
              <w:rPr>
                <w:sz w:val="7"/>
                <w:szCs w:val="7"/>
                <w:color w:val="auto"/>
              </w:rPr>
            </w:pPr>
          </w:p>
        </w:tc>
        <w:tc>
          <w:tcPr>
            <w:tcW w:w="3360" w:type="dxa"/>
            <w:vAlign w:val="bottom"/>
            <w:tcBorders>
              <w:bottom w:val="single" w:sz="8" w:color="CCCCCC"/>
            </w:tcBorders>
            <w:shd w:val="clear" w:color="auto" w:fill="F2F2F2"/>
          </w:tcPr>
          <w:p>
            <w:pPr>
              <w:spacing w:after="0"/>
              <w:rPr>
                <w:sz w:val="7"/>
                <w:szCs w:val="7"/>
                <w:color w:val="auto"/>
              </w:rPr>
            </w:pPr>
          </w:p>
        </w:tc>
        <w:tc>
          <w:tcPr>
            <w:tcW w:w="100" w:type="dxa"/>
            <w:vAlign w:val="bottom"/>
            <w:tcBorders>
              <w:bottom w:val="single" w:sz="8" w:color="CCCCCC"/>
            </w:tcBorders>
            <w:shd w:val="clear" w:color="auto" w:fill="F2F2F2"/>
          </w:tcPr>
          <w:p>
            <w:pPr>
              <w:spacing w:after="0"/>
              <w:rPr>
                <w:sz w:val="7"/>
                <w:szCs w:val="7"/>
                <w:color w:val="auto"/>
              </w:rPr>
            </w:pPr>
          </w:p>
        </w:tc>
        <w:tc>
          <w:tcPr>
            <w:tcW w:w="420" w:type="dxa"/>
            <w:vAlign w:val="bottom"/>
            <w:tcBorders>
              <w:bottom w:val="single" w:sz="8" w:color="CCCCCC"/>
            </w:tcBorders>
            <w:shd w:val="clear" w:color="auto" w:fill="F2F2F2"/>
          </w:tcPr>
          <w:p>
            <w:pPr>
              <w:spacing w:after="0"/>
              <w:rPr>
                <w:sz w:val="7"/>
                <w:szCs w:val="7"/>
                <w:color w:val="auto"/>
              </w:rPr>
            </w:pPr>
          </w:p>
        </w:tc>
        <w:tc>
          <w:tcPr>
            <w:tcW w:w="200" w:type="dxa"/>
            <w:vAlign w:val="bottom"/>
            <w:tcBorders>
              <w:bottom w:val="single" w:sz="8" w:color="CCCCCC"/>
            </w:tcBorders>
            <w:shd w:val="clear" w:color="auto" w:fill="F2F2F2"/>
          </w:tcPr>
          <w:p>
            <w:pPr>
              <w:spacing w:after="0"/>
              <w:rPr>
                <w:sz w:val="7"/>
                <w:szCs w:val="7"/>
                <w:color w:val="auto"/>
              </w:rPr>
            </w:pPr>
          </w:p>
        </w:tc>
        <w:tc>
          <w:tcPr>
            <w:tcW w:w="200" w:type="dxa"/>
            <w:vAlign w:val="bottom"/>
            <w:tcBorders>
              <w:bottom w:val="single" w:sz="8" w:color="CCCCCC"/>
            </w:tcBorders>
            <w:shd w:val="clear" w:color="auto" w:fill="F2F2F2"/>
          </w:tcPr>
          <w:p>
            <w:pPr>
              <w:spacing w:after="0"/>
              <w:rPr>
                <w:sz w:val="7"/>
                <w:szCs w:val="7"/>
                <w:color w:val="auto"/>
              </w:rPr>
            </w:pPr>
          </w:p>
        </w:tc>
        <w:tc>
          <w:tcPr>
            <w:tcW w:w="700" w:type="dxa"/>
            <w:vAlign w:val="bottom"/>
            <w:tcBorders>
              <w:bottom w:val="single" w:sz="8" w:color="CCCCCC"/>
            </w:tcBorders>
            <w:shd w:val="clear" w:color="auto" w:fill="F2F2F2"/>
          </w:tcPr>
          <w:p>
            <w:pPr>
              <w:spacing w:after="0"/>
              <w:rPr>
                <w:sz w:val="7"/>
                <w:szCs w:val="7"/>
                <w:color w:val="auto"/>
              </w:rPr>
            </w:pPr>
          </w:p>
        </w:tc>
        <w:tc>
          <w:tcPr>
            <w:tcW w:w="240" w:type="dxa"/>
            <w:vAlign w:val="bottom"/>
            <w:tcBorders>
              <w:bottom w:val="single" w:sz="8" w:color="CCCCCC"/>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60"/>
              <w:spacing w:after="0"/>
              <w:rPr>
                <w:sz w:val="20"/>
                <w:szCs w:val="20"/>
                <w:color w:val="auto"/>
              </w:rPr>
            </w:pPr>
            <w:r>
              <w:rPr>
                <w:rFonts w:ascii="Arial" w:cs="Arial" w:eastAsia="Arial" w:hAnsi="Arial"/>
                <w:sz w:val="13"/>
                <w:szCs w:val="13"/>
                <w:color w:val="auto"/>
              </w:rPr>
              <w:t>​ Wilson</w:t>
            </w:r>
            <w:r>
              <w:rPr>
                <w:rFonts w:ascii="Arial" w:cs="Arial" w:eastAsia="Arial" w:hAnsi="Arial"/>
                <w:sz w:val="16"/>
                <w:szCs w:val="16"/>
                <w:color w:val="auto"/>
                <w:vertAlign w:val="superscript"/>
              </w:rPr>
              <w:t>(a)</w:t>
            </w:r>
          </w:p>
        </w:tc>
        <w:tc>
          <w:tcPr>
            <w:tcW w:w="3360" w:type="dxa"/>
            <w:vAlign w:val="bottom"/>
          </w:tcPr>
          <w:p>
            <w:pPr>
              <w:ind w:left="33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2024​ ​</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200" w:type="dxa"/>
            <w:vAlign w:val="bottom"/>
          </w:tcPr>
          <w:p>
            <w:pPr>
              <w:ind w:left="1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1,301,975</w:t>
            </w:r>
          </w:p>
        </w:tc>
        <w:tc>
          <w:tcPr>
            <w:tcW w:w="240" w:type="dxa"/>
            <w:vAlign w:val="bottom"/>
          </w:tcPr>
          <w:p>
            <w:pPr>
              <w:ind w:left="12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40"/>
        </w:trPr>
        <w:tc>
          <w:tcPr>
            <w:tcW w:w="3880" w:type="dxa"/>
            <w:vAlign w:val="bottom"/>
            <w:tcBorders>
              <w:bottom w:val="single" w:sz="8" w:color="CCCCCC"/>
            </w:tcBorders>
          </w:tcPr>
          <w:p>
            <w:pPr>
              <w:spacing w:after="0"/>
              <w:rPr>
                <w:sz w:val="3"/>
                <w:szCs w:val="3"/>
                <w:color w:val="auto"/>
              </w:rPr>
            </w:pPr>
          </w:p>
        </w:tc>
        <w:tc>
          <w:tcPr>
            <w:tcW w:w="3360" w:type="dxa"/>
            <w:vAlign w:val="bottom"/>
            <w:tcBorders>
              <w:bottom w:val="single" w:sz="8" w:color="CCCCCC"/>
            </w:tcBorders>
          </w:tcPr>
          <w:p>
            <w:pPr>
              <w:spacing w:after="0"/>
              <w:rPr>
                <w:sz w:val="3"/>
                <w:szCs w:val="3"/>
                <w:color w:val="auto"/>
              </w:rPr>
            </w:pPr>
          </w:p>
        </w:tc>
        <w:tc>
          <w:tcPr>
            <w:tcW w:w="100" w:type="dxa"/>
            <w:vAlign w:val="bottom"/>
            <w:tcBorders>
              <w:bottom w:val="single" w:sz="8" w:color="CCCCCC"/>
            </w:tcBorders>
          </w:tcPr>
          <w:p>
            <w:pPr>
              <w:spacing w:after="0"/>
              <w:rPr>
                <w:sz w:val="3"/>
                <w:szCs w:val="3"/>
                <w:color w:val="auto"/>
              </w:rPr>
            </w:pPr>
          </w:p>
        </w:tc>
        <w:tc>
          <w:tcPr>
            <w:tcW w:w="420" w:type="dxa"/>
            <w:vAlign w:val="bottom"/>
            <w:tcBorders>
              <w:bottom w:val="single" w:sz="8" w:color="CCCCCC"/>
            </w:tcBorders>
          </w:tcPr>
          <w:p>
            <w:pPr>
              <w:spacing w:after="0"/>
              <w:rPr>
                <w:sz w:val="3"/>
                <w:szCs w:val="3"/>
                <w:color w:val="auto"/>
              </w:rPr>
            </w:pPr>
          </w:p>
        </w:tc>
        <w:tc>
          <w:tcPr>
            <w:tcW w:w="200" w:type="dxa"/>
            <w:vAlign w:val="bottom"/>
            <w:tcBorders>
              <w:bottom w:val="single" w:sz="8" w:color="CCCCCC"/>
            </w:tcBorders>
          </w:tcPr>
          <w:p>
            <w:pPr>
              <w:spacing w:after="0"/>
              <w:rPr>
                <w:sz w:val="3"/>
                <w:szCs w:val="3"/>
                <w:color w:val="auto"/>
              </w:rPr>
            </w:pPr>
          </w:p>
        </w:tc>
        <w:tc>
          <w:tcPr>
            <w:tcW w:w="200" w:type="dxa"/>
            <w:vAlign w:val="bottom"/>
            <w:tcBorders>
              <w:bottom w:val="single" w:sz="8" w:color="CCCCCC"/>
            </w:tcBorders>
          </w:tcPr>
          <w:p>
            <w:pPr>
              <w:spacing w:after="0"/>
              <w:rPr>
                <w:sz w:val="3"/>
                <w:szCs w:val="3"/>
                <w:color w:val="auto"/>
              </w:rPr>
            </w:pPr>
          </w:p>
        </w:tc>
        <w:tc>
          <w:tcPr>
            <w:tcW w:w="700" w:type="dxa"/>
            <w:vAlign w:val="bottom"/>
            <w:tcBorders>
              <w:bottom w:val="single" w:sz="8" w:color="CCCCCC"/>
            </w:tcBorders>
          </w:tcPr>
          <w:p>
            <w:pPr>
              <w:spacing w:after="0"/>
              <w:rPr>
                <w:sz w:val="3"/>
                <w:szCs w:val="3"/>
                <w:color w:val="auto"/>
              </w:rPr>
            </w:pPr>
          </w:p>
        </w:tc>
        <w:tc>
          <w:tcPr>
            <w:tcW w:w="24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00" w:hanging="190"/>
        <w:spacing w:after="0"/>
        <w:tabs>
          <w:tab w:leader="none" w:pos="1100" w:val="left"/>
        </w:tabs>
        <w:numPr>
          <w:ilvl w:val="1"/>
          <w:numId w:val="105"/>
        </w:numPr>
        <w:rPr>
          <w:rFonts w:ascii="Arial" w:cs="Arial" w:eastAsia="Arial" w:hAnsi="Arial"/>
          <w:sz w:val="20"/>
          <w:szCs w:val="20"/>
          <w:color w:val="auto"/>
          <w:vertAlign w:val="superscript"/>
        </w:rPr>
      </w:pPr>
      <w:r>
        <w:rPr>
          <w:rFonts w:ascii="Arial" w:cs="Arial" w:eastAsia="Arial" w:hAnsi="Arial"/>
          <w:sz w:val="13"/>
          <w:szCs w:val="13"/>
          <w:color w:val="auto"/>
        </w:rPr>
        <w:t>Ms. Wilson’s stock awards granted in 2024 were forfeited upon her departure from the Company.</w:t>
      </w:r>
    </w:p>
    <w:p>
      <w:pPr>
        <w:spacing w:after="0" w:line="75" w:lineRule="exact"/>
        <w:rPr>
          <w:rFonts w:ascii="Arial" w:cs="Arial" w:eastAsia="Arial" w:hAnsi="Arial"/>
          <w:sz w:val="20"/>
          <w:szCs w:val="20"/>
          <w:color w:val="auto"/>
          <w:vertAlign w:val="superscript"/>
        </w:rPr>
      </w:pPr>
    </w:p>
    <w:p>
      <w:pPr>
        <w:ind w:left="920" w:hanging="189"/>
        <w:spacing w:after="0" w:line="200" w:lineRule="auto"/>
        <w:tabs>
          <w:tab w:leader="none" w:pos="920" w:val="left"/>
        </w:tabs>
        <w:numPr>
          <w:ilvl w:val="0"/>
          <w:numId w:val="106"/>
        </w:numPr>
        <w:rPr>
          <w:rFonts w:ascii="Arial" w:cs="Arial" w:eastAsia="Arial" w:hAnsi="Arial"/>
          <w:sz w:val="16"/>
          <w:szCs w:val="16"/>
          <w:color w:val="auto"/>
          <w:vertAlign w:val="superscript"/>
        </w:rPr>
      </w:pPr>
      <w:r>
        <w:rPr>
          <w:rFonts w:ascii="Arial" w:cs="Arial" w:eastAsia="Arial" w:hAnsi="Arial"/>
          <w:sz w:val="11"/>
          <w:szCs w:val="11"/>
          <w:color w:val="auto"/>
        </w:rPr>
        <w:t>CenterPoint Energy has not granted stock options since 2004.</w:t>
      </w:r>
    </w:p>
    <w:p>
      <w:pPr>
        <w:spacing w:after="0" w:line="62" w:lineRule="exact"/>
        <w:rPr>
          <w:rFonts w:ascii="Arial" w:cs="Arial" w:eastAsia="Arial" w:hAnsi="Arial"/>
          <w:sz w:val="16"/>
          <w:szCs w:val="16"/>
          <w:color w:val="auto"/>
          <w:vertAlign w:val="superscript"/>
        </w:rPr>
      </w:pPr>
    </w:p>
    <w:p>
      <w:pPr>
        <w:ind w:left="920" w:right="80" w:hanging="189"/>
        <w:spacing w:after="0" w:line="224" w:lineRule="auto"/>
        <w:tabs>
          <w:tab w:leader="none" w:pos="920" w:val="left"/>
        </w:tabs>
        <w:numPr>
          <w:ilvl w:val="0"/>
          <w:numId w:val="106"/>
        </w:numPr>
        <w:rPr>
          <w:rFonts w:ascii="Arial" w:cs="Arial" w:eastAsia="Arial" w:hAnsi="Arial"/>
          <w:sz w:val="20"/>
          <w:szCs w:val="20"/>
          <w:color w:val="auto"/>
          <w:vertAlign w:val="superscript"/>
        </w:rPr>
      </w:pPr>
      <w:r>
        <w:rPr>
          <w:rFonts w:ascii="Arial" w:cs="Arial" w:eastAsia="Arial" w:hAnsi="Arial"/>
          <w:sz w:val="13"/>
          <w:szCs w:val="13"/>
          <w:color w:val="auto"/>
        </w:rPr>
        <w:t>Non-Equity Incentive Plan Compensation represents short-term incentive awards earned with respect to performance in the designated year and paid in the following year. For more information on the 2024 short-term incentive awards, refer to the Grants of Plan-Based Awards for Fiscal Year 2024 table and the accompanying footnotes. Under the terms of our short-term incentive plan, an individual age 55 or older with at least five years of service satisfies certain retirement vesting provisions under the plan, and if the individual terminates employment during the plan year, he or she is eligible for a pro rata payment at the target level of achievement.</w:t>
      </w:r>
    </w:p>
    <w:p>
      <w:pPr>
        <w:spacing w:after="0" w:line="2" w:lineRule="exact"/>
        <w:rPr>
          <w:rFonts w:ascii="Arial" w:cs="Arial" w:eastAsia="Arial" w:hAnsi="Arial"/>
          <w:sz w:val="20"/>
          <w:szCs w:val="20"/>
          <w:color w:val="auto"/>
          <w:vertAlign w:val="superscript"/>
        </w:rPr>
      </w:pPr>
    </w:p>
    <w:p>
      <w:pPr>
        <w:ind w:left="920" w:hanging="189"/>
        <w:spacing w:after="0" w:line="225" w:lineRule="auto"/>
        <w:tabs>
          <w:tab w:leader="none" w:pos="920" w:val="left"/>
        </w:tabs>
        <w:numPr>
          <w:ilvl w:val="0"/>
          <w:numId w:val="106"/>
        </w:numPr>
        <w:rPr>
          <w:rFonts w:ascii="Arial" w:cs="Arial" w:eastAsia="Arial" w:hAnsi="Arial"/>
          <w:sz w:val="20"/>
          <w:szCs w:val="20"/>
          <w:color w:val="auto"/>
          <w:vertAlign w:val="superscript"/>
        </w:rPr>
      </w:pPr>
      <w:r>
        <w:rPr>
          <w:rFonts w:ascii="Arial" w:cs="Arial" w:eastAsia="Arial" w:hAnsi="Arial"/>
          <w:sz w:val="13"/>
          <w:szCs w:val="13"/>
          <w:color w:val="auto"/>
        </w:rPr>
        <w:t>The two components of the 2024 Change in Pension Value and Nonqualified Deferred Compensation Earnings are as follows:</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85"/>
        </w:trPr>
        <w:tc>
          <w:tcPr>
            <w:tcW w:w="80" w:type="dxa"/>
            <w:vAlign w:val="bottom"/>
            <w:shd w:val="clear" w:color="auto" w:fill="003763"/>
          </w:tcPr>
          <w:p>
            <w:pPr>
              <w:spacing w:after="0"/>
              <w:rPr>
                <w:sz w:val="16"/>
                <w:szCs w:val="16"/>
                <w:color w:val="auto"/>
              </w:rPr>
            </w:pPr>
          </w:p>
        </w:tc>
        <w:tc>
          <w:tcPr>
            <w:tcW w:w="3120" w:type="dxa"/>
            <w:vAlign w:val="bottom"/>
            <w:shd w:val="clear" w:color="auto" w:fill="003763"/>
          </w:tcPr>
          <w:p>
            <w:pPr>
              <w:spacing w:after="0"/>
              <w:rPr>
                <w:sz w:val="16"/>
                <w:szCs w:val="16"/>
                <w:color w:val="auto"/>
              </w:rPr>
            </w:pPr>
          </w:p>
        </w:tc>
        <w:tc>
          <w:tcPr>
            <w:tcW w:w="2380" w:type="dxa"/>
            <w:vAlign w:val="bottom"/>
            <w:shd w:val="clear" w:color="auto" w:fill="003763"/>
          </w:tcPr>
          <w:p>
            <w:pPr>
              <w:spacing w:after="0"/>
              <w:rPr>
                <w:sz w:val="16"/>
                <w:szCs w:val="16"/>
                <w:color w:val="auto"/>
              </w:rPr>
            </w:pPr>
          </w:p>
        </w:tc>
        <w:tc>
          <w:tcPr>
            <w:tcW w:w="980" w:type="dxa"/>
            <w:vAlign w:val="bottom"/>
            <w:gridSpan w:val="2"/>
            <w:vMerge w:val="restart"/>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220" w:type="dxa"/>
            <w:vAlign w:val="bottom"/>
            <w:shd w:val="clear" w:color="auto" w:fill="003763"/>
          </w:tcPr>
          <w:p>
            <w:pPr>
              <w:spacing w:after="0"/>
              <w:rPr>
                <w:sz w:val="16"/>
                <w:szCs w:val="16"/>
                <w:color w:val="auto"/>
              </w:rPr>
            </w:pPr>
          </w:p>
        </w:tc>
        <w:tc>
          <w:tcPr>
            <w:tcW w:w="16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Above Market Earnings on</w:t>
            </w:r>
          </w:p>
        </w:tc>
        <w:tc>
          <w:tcPr>
            <w:tcW w:w="160" w:type="dxa"/>
            <w:vAlign w:val="bottom"/>
            <w:shd w:val="clear" w:color="auto" w:fill="003763"/>
          </w:tcPr>
          <w:p>
            <w:pPr>
              <w:spacing w:after="0"/>
              <w:rPr>
                <w:sz w:val="16"/>
                <w:szCs w:val="16"/>
                <w:color w:val="auto"/>
              </w:rPr>
            </w:pPr>
          </w:p>
        </w:tc>
        <w:tc>
          <w:tcPr>
            <w:tcW w:w="360" w:type="dxa"/>
            <w:vAlign w:val="bottom"/>
            <w:shd w:val="clear" w:color="auto" w:fill="003763"/>
          </w:tcPr>
          <w:p>
            <w:pPr>
              <w:spacing w:after="0"/>
              <w:rPr>
                <w:sz w:val="16"/>
                <w:szCs w:val="16"/>
                <w:color w:val="auto"/>
              </w:rPr>
            </w:pPr>
          </w:p>
        </w:tc>
        <w:tc>
          <w:tcPr>
            <w:tcW w:w="20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shd w:val="clear" w:color="auto" w:fill="003763"/>
          </w:tcPr>
          <w:p>
            <w:pPr>
              <w:spacing w:after="0"/>
              <w:rPr>
                <w:sz w:val="12"/>
                <w:szCs w:val="12"/>
                <w:color w:val="auto"/>
              </w:rPr>
            </w:pPr>
          </w:p>
        </w:tc>
        <w:tc>
          <w:tcPr>
            <w:tcW w:w="3120" w:type="dxa"/>
            <w:vAlign w:val="bottom"/>
            <w:shd w:val="clear" w:color="auto" w:fill="003763"/>
          </w:tcPr>
          <w:p>
            <w:pPr>
              <w:spacing w:after="0"/>
              <w:rPr>
                <w:sz w:val="12"/>
                <w:szCs w:val="12"/>
                <w:color w:val="auto"/>
              </w:rPr>
            </w:pPr>
          </w:p>
        </w:tc>
        <w:tc>
          <w:tcPr>
            <w:tcW w:w="2380" w:type="dxa"/>
            <w:vAlign w:val="bottom"/>
            <w:shd w:val="clear" w:color="auto" w:fill="003763"/>
          </w:tcPr>
          <w:p>
            <w:pPr>
              <w:spacing w:after="0"/>
              <w:rPr>
                <w:sz w:val="12"/>
                <w:szCs w:val="12"/>
                <w:color w:val="auto"/>
              </w:rPr>
            </w:pPr>
          </w:p>
        </w:tc>
        <w:tc>
          <w:tcPr>
            <w:tcW w:w="980" w:type="dxa"/>
            <w:vAlign w:val="bottom"/>
            <w:gridSpan w:val="2"/>
            <w:vMerge w:val="continue"/>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1600" w:type="dxa"/>
            <w:vAlign w:val="bottom"/>
            <w:shd w:val="clear" w:color="auto" w:fill="003763"/>
          </w:tcPr>
          <w:p>
            <w:pPr>
              <w:jc w:val="center"/>
              <w:spacing w:after="0" w:line="139" w:lineRule="exact"/>
              <w:rPr>
                <w:sz w:val="20"/>
                <w:szCs w:val="20"/>
                <w:color w:val="auto"/>
              </w:rPr>
            </w:pPr>
            <w:r>
              <w:rPr>
                <w:rFonts w:ascii="Arial" w:cs="Arial" w:eastAsia="Arial" w:hAnsi="Arial"/>
                <w:sz w:val="13"/>
                <w:szCs w:val="13"/>
                <w:b w:val="1"/>
                <w:bCs w:val="1"/>
                <w:color w:val="FFFFFF"/>
                <w:w w:val="97"/>
              </w:rPr>
              <w:t>Nonqualified Deferred</w:t>
            </w:r>
          </w:p>
        </w:tc>
        <w:tc>
          <w:tcPr>
            <w:tcW w:w="160" w:type="dxa"/>
            <w:vAlign w:val="bottom"/>
            <w:shd w:val="clear" w:color="auto" w:fill="003763"/>
          </w:tcPr>
          <w:p>
            <w:pPr>
              <w:spacing w:after="0"/>
              <w:rPr>
                <w:sz w:val="12"/>
                <w:szCs w:val="12"/>
                <w:color w:val="auto"/>
              </w:rPr>
            </w:pPr>
          </w:p>
        </w:tc>
        <w:tc>
          <w:tcPr>
            <w:tcW w:w="560" w:type="dxa"/>
            <w:vAlign w:val="bottom"/>
            <w:gridSpan w:val="2"/>
            <w:vMerge w:val="restart"/>
            <w:shd w:val="clear" w:color="auto" w:fill="003763"/>
          </w:tcPr>
          <w:p>
            <w:pPr>
              <w:jc w:val="right"/>
              <w:ind w:right="8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58"/>
        </w:trPr>
        <w:tc>
          <w:tcPr>
            <w:tcW w:w="80" w:type="dxa"/>
            <w:vAlign w:val="bottom"/>
            <w:shd w:val="clear" w:color="auto" w:fill="003763"/>
          </w:tcPr>
          <w:p>
            <w:pPr>
              <w:spacing w:after="0"/>
              <w:rPr>
                <w:sz w:val="13"/>
                <w:szCs w:val="13"/>
                <w:color w:val="auto"/>
              </w:rPr>
            </w:pPr>
          </w:p>
        </w:tc>
        <w:tc>
          <w:tcPr>
            <w:tcW w:w="3120" w:type="dxa"/>
            <w:vAlign w:val="bottom"/>
            <w:shd w:val="clear" w:color="auto" w:fill="003763"/>
          </w:tcPr>
          <w:p>
            <w:pPr>
              <w:spacing w:after="0"/>
              <w:rPr>
                <w:sz w:val="13"/>
                <w:szCs w:val="13"/>
                <w:color w:val="auto"/>
              </w:rPr>
            </w:pPr>
          </w:p>
        </w:tc>
        <w:tc>
          <w:tcPr>
            <w:tcW w:w="2380" w:type="dxa"/>
            <w:vAlign w:val="bottom"/>
            <w:shd w:val="clear" w:color="auto" w:fill="003763"/>
          </w:tcPr>
          <w:p>
            <w:pPr>
              <w:spacing w:after="0"/>
              <w:rPr>
                <w:sz w:val="13"/>
                <w:szCs w:val="13"/>
                <w:color w:val="auto"/>
              </w:rPr>
            </w:pPr>
          </w:p>
        </w:tc>
        <w:tc>
          <w:tcPr>
            <w:tcW w:w="980" w:type="dxa"/>
            <w:vAlign w:val="bottom"/>
            <w:gridSpan w:val="2"/>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4"/>
              </w:rPr>
              <w:t>Pension Value</w:t>
            </w:r>
            <w:r>
              <w:rPr>
                <w:rFonts w:ascii="Arial" w:cs="Arial" w:eastAsia="Arial" w:hAnsi="Arial"/>
                <w:sz w:val="16"/>
                <w:szCs w:val="16"/>
                <w:b w:val="1"/>
                <w:bCs w:val="1"/>
                <w:color w:val="FFFFFF"/>
                <w:w w:val="94"/>
                <w:vertAlign w:val="superscript"/>
              </w:rPr>
              <w:t>(a)</w:t>
            </w:r>
          </w:p>
        </w:tc>
        <w:tc>
          <w:tcPr>
            <w:tcW w:w="220" w:type="dxa"/>
            <w:vAlign w:val="bottom"/>
            <w:shd w:val="clear" w:color="auto" w:fill="003763"/>
          </w:tcPr>
          <w:p>
            <w:pPr>
              <w:spacing w:after="0"/>
              <w:rPr>
                <w:sz w:val="13"/>
                <w:szCs w:val="13"/>
                <w:color w:val="auto"/>
              </w:rPr>
            </w:pPr>
          </w:p>
        </w:tc>
        <w:tc>
          <w:tcPr>
            <w:tcW w:w="1600" w:type="dxa"/>
            <w:vAlign w:val="bottom"/>
            <w:shd w:val="clear" w:color="auto" w:fill="003763"/>
          </w:tcPr>
          <w:p>
            <w:pPr>
              <w:jc w:val="center"/>
              <w:spacing w:after="0" w:line="158" w:lineRule="exact"/>
              <w:rPr>
                <w:sz w:val="20"/>
                <w:szCs w:val="20"/>
                <w:color w:val="auto"/>
              </w:rPr>
            </w:pPr>
            <w:r>
              <w:rPr>
                <w:rFonts w:ascii="Arial" w:cs="Arial" w:eastAsia="Arial" w:hAnsi="Arial"/>
                <w:sz w:val="13"/>
                <w:szCs w:val="13"/>
                <w:b w:val="1"/>
                <w:bCs w:val="1"/>
                <w:color w:val="FFFFFF"/>
                <w:w w:val="92"/>
              </w:rPr>
              <w:t>Compensation</w:t>
            </w:r>
            <w:r>
              <w:rPr>
                <w:rFonts w:ascii="Arial" w:cs="Arial" w:eastAsia="Arial" w:hAnsi="Arial"/>
                <w:sz w:val="16"/>
                <w:szCs w:val="16"/>
                <w:b w:val="1"/>
                <w:bCs w:val="1"/>
                <w:color w:val="FFFFFF"/>
                <w:w w:val="92"/>
                <w:vertAlign w:val="superscript"/>
              </w:rPr>
              <w:t>(b)</w:t>
            </w:r>
          </w:p>
        </w:tc>
        <w:tc>
          <w:tcPr>
            <w:tcW w:w="160" w:type="dxa"/>
            <w:vAlign w:val="bottom"/>
            <w:shd w:val="clear" w:color="auto" w:fill="003763"/>
          </w:tcPr>
          <w:p>
            <w:pPr>
              <w:spacing w:after="0"/>
              <w:rPr>
                <w:sz w:val="13"/>
                <w:szCs w:val="13"/>
                <w:color w:val="auto"/>
              </w:rPr>
            </w:pPr>
          </w:p>
        </w:tc>
        <w:tc>
          <w:tcPr>
            <w:tcW w:w="560" w:type="dxa"/>
            <w:vAlign w:val="bottom"/>
            <w:gridSpan w:val="2"/>
            <w:vMerge w:val="continue"/>
            <w:shd w:val="clear" w:color="auto" w:fill="00376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00" w:type="dxa"/>
            <w:vAlign w:val="bottom"/>
            <w:gridSpan w:val="2"/>
            <w:shd w:val="clear" w:color="auto" w:fill="003763"/>
          </w:tcPr>
          <w:p>
            <w:pPr>
              <w:ind w:left="6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Name</w:t>
            </w:r>
          </w:p>
        </w:tc>
        <w:tc>
          <w:tcPr>
            <w:tcW w:w="2380" w:type="dxa"/>
            <w:vAlign w:val="bottom"/>
            <w:shd w:val="clear" w:color="auto" w:fill="003763"/>
          </w:tcPr>
          <w:p>
            <w:pPr>
              <w:ind w:left="2220"/>
              <w:spacing w:after="0"/>
              <w:rPr>
                <w:sz w:val="20"/>
                <w:szCs w:val="20"/>
                <w:color w:val="auto"/>
              </w:rPr>
            </w:pPr>
            <w:r>
              <w:rPr>
                <w:rFonts w:ascii="Arial" w:cs="Arial" w:eastAsia="Arial" w:hAnsi="Arial"/>
                <w:sz w:val="13"/>
                <w:szCs w:val="13"/>
                <w:b w:val="1"/>
                <w:bCs w:val="1"/>
                <w:color w:val="FFFFFF"/>
              </w:rPr>
              <w:t>​ ​</w:t>
            </w:r>
          </w:p>
        </w:tc>
        <w:tc>
          <w:tcPr>
            <w:tcW w:w="380" w:type="dxa"/>
            <w:vAlign w:val="bottom"/>
            <w:shd w:val="clear" w:color="auto" w:fill="003763"/>
          </w:tcPr>
          <w:p>
            <w:pPr>
              <w:spacing w:after="0"/>
              <w:rPr>
                <w:sz w:val="19"/>
                <w:szCs w:val="19"/>
                <w:color w:val="auto"/>
              </w:rPr>
            </w:pPr>
          </w:p>
        </w:tc>
        <w:tc>
          <w:tcPr>
            <w:tcW w:w="600" w:type="dxa"/>
            <w:vAlign w:val="bottom"/>
            <w:shd w:val="clear" w:color="auto" w:fill="003763"/>
          </w:tcPr>
          <w:p>
            <w:pPr>
              <w:jc w:val="center"/>
              <w:ind w:right="297"/>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6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360" w:type="dxa"/>
            <w:vAlign w:val="bottom"/>
            <w:shd w:val="clear" w:color="auto" w:fill="003763"/>
          </w:tcPr>
          <w:p>
            <w:pPr>
              <w:jc w:val="right"/>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tcPr>
          <w:p>
            <w:pPr>
              <w:ind w:left="20"/>
              <w:spacing w:after="0"/>
              <w:rPr>
                <w:sz w:val="20"/>
                <w:szCs w:val="20"/>
                <w:color w:val="auto"/>
              </w:rPr>
            </w:pPr>
            <w:r>
              <w:rPr>
                <w:rFonts w:ascii="Arial" w:cs="Arial" w:eastAsia="Arial" w:hAnsi="Arial"/>
                <w:sz w:val="13"/>
                <w:szCs w:val="13"/>
                <w:color w:val="auto"/>
              </w:rPr>
              <w:t>Wells</w:t>
            </w:r>
          </w:p>
        </w:tc>
        <w:tc>
          <w:tcPr>
            <w:tcW w:w="2380" w:type="dxa"/>
            <w:vAlign w:val="bottom"/>
            <w:vMerge w:val="restart"/>
          </w:tcPr>
          <w:p>
            <w:pPr>
              <w:ind w:left="2220"/>
              <w:spacing w:after="0"/>
              <w:rPr>
                <w:sz w:val="20"/>
                <w:szCs w:val="20"/>
                <w:color w:val="auto"/>
              </w:rPr>
            </w:pPr>
            <w:r>
              <w:rPr>
                <w:rFonts w:ascii="Arial" w:cs="Arial" w:eastAsia="Arial" w:hAnsi="Arial"/>
                <w:sz w:val="13"/>
                <w:szCs w:val="13"/>
                <w:color w:val="auto"/>
              </w:rPr>
              <w:t>​ ​</w:t>
            </w:r>
          </w:p>
        </w:tc>
        <w:tc>
          <w:tcPr>
            <w:tcW w:w="380" w:type="dxa"/>
            <w:vAlign w:val="bottom"/>
          </w:tcPr>
          <w:p>
            <w:pPr>
              <w:ind w:left="300"/>
              <w:spacing w:after="0"/>
              <w:rPr>
                <w:sz w:val="20"/>
                <w:szCs w:val="20"/>
                <w:color w:val="auto"/>
              </w:rPr>
            </w:pPr>
            <w:r>
              <w:rPr>
                <w:rFonts w:ascii="Arial" w:cs="Arial" w:eastAsia="Arial" w:hAnsi="Arial"/>
                <w:sz w:val="13"/>
                <w:szCs w:val="13"/>
                <w:color w:val="auto"/>
              </w:rPr>
              <w:t>​</w:t>
            </w:r>
          </w:p>
        </w:tc>
        <w:tc>
          <w:tcPr>
            <w:tcW w:w="600" w:type="dxa"/>
            <w:vAlign w:val="bottom"/>
          </w:tcPr>
          <w:p>
            <w:pPr>
              <w:ind w:left="18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1600" w:type="dxa"/>
            <w:vAlign w:val="bottom"/>
          </w:tcPr>
          <w:p>
            <w:pPr>
              <w:ind w:left="700"/>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24"/>
              <w:spacing w:after="0"/>
              <w:rPr>
                <w:sz w:val="20"/>
                <w:szCs w:val="20"/>
                <w:color w:val="auto"/>
              </w:rPr>
            </w:pPr>
            <w:r>
              <w:rPr>
                <w:rFonts w:ascii="Arial" w:cs="Arial" w:eastAsia="Arial" w:hAnsi="Arial"/>
                <w:sz w:val="13"/>
                <w:szCs w:val="13"/>
                <w:color w:val="auto"/>
                <w:w w:val="76"/>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312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0" w:type="dxa"/>
            <w:vAlign w:val="bottom"/>
            <w:tcBorders>
              <w:bottom w:val="single" w:sz="8" w:color="CCCCCC"/>
            </w:tcBorders>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shd w:val="clear" w:color="auto" w:fill="F2F2F2"/>
          </w:tcPr>
          <w:p>
            <w:pPr>
              <w:ind w:left="20"/>
              <w:spacing w:after="0"/>
              <w:rPr>
                <w:sz w:val="20"/>
                <w:szCs w:val="20"/>
                <w:color w:val="auto"/>
              </w:rPr>
            </w:pPr>
            <w:r>
              <w:rPr>
                <w:rFonts w:ascii="Arial" w:cs="Arial" w:eastAsia="Arial" w:hAnsi="Arial"/>
                <w:sz w:val="13"/>
                <w:szCs w:val="13"/>
                <w:color w:val="auto"/>
              </w:rPr>
              <w:t>Foster</w:t>
            </w:r>
          </w:p>
        </w:tc>
        <w:tc>
          <w:tcPr>
            <w:tcW w:w="2380" w:type="dxa"/>
            <w:vAlign w:val="bottom"/>
            <w:vMerge w:val="restart"/>
            <w:shd w:val="clear" w:color="auto" w:fill="F2F2F2"/>
          </w:tcPr>
          <w:p>
            <w:pPr>
              <w:ind w:left="22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F2F2F2"/>
          </w:tcPr>
          <w:p>
            <w:pPr>
              <w:ind w:lef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F2F2F2"/>
          </w:tcPr>
          <w:p>
            <w:pPr>
              <w:ind w:left="18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600" w:type="dxa"/>
            <w:vAlign w:val="bottom"/>
            <w:shd w:val="clear" w:color="auto" w:fill="F2F2F2"/>
          </w:tcPr>
          <w:p>
            <w:pPr>
              <w:ind w:left="700"/>
              <w:spacing w:after="0"/>
              <w:rPr>
                <w:sz w:val="20"/>
                <w:szCs w:val="20"/>
                <w:color w:val="auto"/>
              </w:rPr>
            </w:pPr>
            <w:r>
              <w:rPr>
                <w:rFonts w:ascii="Arial" w:cs="Arial" w:eastAsia="Arial" w:hAnsi="Arial"/>
                <w:sz w:val="13"/>
                <w:szCs w:val="13"/>
                <w:color w:val="auto"/>
              </w:rPr>
              <w:t>​ —</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F2F2F2"/>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2F2"/>
          </w:tcPr>
          <w:p>
            <w:pPr>
              <w:jc w:val="right"/>
              <w:ind w:right="24"/>
              <w:spacing w:after="0"/>
              <w:rPr>
                <w:sz w:val="20"/>
                <w:szCs w:val="20"/>
                <w:color w:val="auto"/>
              </w:rPr>
            </w:pPr>
            <w:r>
              <w:rPr>
                <w:rFonts w:ascii="Arial" w:cs="Arial" w:eastAsia="Arial" w:hAnsi="Arial"/>
                <w:sz w:val="13"/>
                <w:szCs w:val="13"/>
                <w:color w:val="auto"/>
                <w:w w:val="76"/>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3120" w:type="dxa"/>
            <w:vAlign w:val="bottom"/>
            <w:tcBorders>
              <w:bottom w:val="single" w:sz="8" w:color="CCCCCC"/>
            </w:tcBorders>
            <w:shd w:val="clear" w:color="auto" w:fill="F2F2F2"/>
          </w:tcPr>
          <w:p>
            <w:pPr>
              <w:spacing w:after="0"/>
              <w:rPr>
                <w:sz w:val="8"/>
                <w:szCs w:val="8"/>
                <w:color w:val="auto"/>
              </w:rPr>
            </w:pPr>
          </w:p>
        </w:tc>
        <w:tc>
          <w:tcPr>
            <w:tcW w:w="238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1600" w:type="dxa"/>
            <w:vAlign w:val="bottom"/>
            <w:tcBorders>
              <w:bottom w:val="single" w:sz="8" w:color="CCCCCC"/>
            </w:tcBorders>
            <w:shd w:val="clear" w:color="auto" w:fill="F2F2F2"/>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tcPr>
          <w:p>
            <w:pPr>
              <w:ind w:left="20"/>
              <w:spacing w:after="0"/>
              <w:rPr>
                <w:sz w:val="20"/>
                <w:szCs w:val="20"/>
                <w:color w:val="auto"/>
              </w:rPr>
            </w:pPr>
            <w:r>
              <w:rPr>
                <w:rFonts w:ascii="Arial" w:cs="Arial" w:eastAsia="Arial" w:hAnsi="Arial"/>
                <w:sz w:val="13"/>
                <w:szCs w:val="13"/>
                <w:color w:val="auto"/>
              </w:rPr>
              <w:t>Karuturi</w:t>
            </w:r>
          </w:p>
        </w:tc>
        <w:tc>
          <w:tcPr>
            <w:tcW w:w="2380" w:type="dxa"/>
            <w:vAlign w:val="bottom"/>
            <w:vMerge w:val="restart"/>
          </w:tcPr>
          <w:p>
            <w:pPr>
              <w:ind w:left="22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ind w:left="300"/>
              <w:spacing w:after="0"/>
              <w:rPr>
                <w:sz w:val="20"/>
                <w:szCs w:val="20"/>
                <w:color w:val="auto"/>
              </w:rPr>
            </w:pPr>
            <w:r>
              <w:rPr>
                <w:rFonts w:ascii="Arial" w:cs="Arial" w:eastAsia="Arial" w:hAnsi="Arial"/>
                <w:sz w:val="13"/>
                <w:szCs w:val="13"/>
                <w:color w:val="auto"/>
              </w:rPr>
              <w:t>​42,968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1600" w:type="dxa"/>
            <w:vAlign w:val="bottom"/>
          </w:tcPr>
          <w:p>
            <w:pPr>
              <w:ind w:left="700"/>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tcPr>
          <w:p>
            <w:pPr>
              <w:jc w:val="right"/>
              <w:ind w:right="24"/>
              <w:spacing w:after="0"/>
              <w:rPr>
                <w:sz w:val="20"/>
                <w:szCs w:val="20"/>
                <w:color w:val="auto"/>
              </w:rPr>
            </w:pPr>
            <w:r>
              <w:rPr>
                <w:rFonts w:ascii="Arial" w:cs="Arial" w:eastAsia="Arial" w:hAnsi="Arial"/>
                <w:sz w:val="13"/>
                <w:szCs w:val="13"/>
                <w:color w:val="auto"/>
              </w:rPr>
              <w:t>​42,968</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tcPr>
          <w:p>
            <w:pPr>
              <w:spacing w:after="0"/>
              <w:rPr>
                <w:sz w:val="8"/>
                <w:szCs w:val="8"/>
                <w:color w:val="auto"/>
              </w:rPr>
            </w:pPr>
          </w:p>
        </w:tc>
        <w:tc>
          <w:tcPr>
            <w:tcW w:w="312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0" w:type="dxa"/>
            <w:vAlign w:val="bottom"/>
            <w:tcBorders>
              <w:bottom w:val="single" w:sz="8" w:color="CCCCCC"/>
            </w:tcBorders>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shd w:val="clear" w:color="auto" w:fill="F2F2F2"/>
          </w:tcPr>
          <w:p>
            <w:pPr>
              <w:ind w:left="20"/>
              <w:spacing w:after="0"/>
              <w:rPr>
                <w:sz w:val="20"/>
                <w:szCs w:val="20"/>
                <w:color w:val="auto"/>
              </w:rPr>
            </w:pPr>
            <w:r>
              <w:rPr>
                <w:rFonts w:ascii="Arial" w:cs="Arial" w:eastAsia="Arial" w:hAnsi="Arial"/>
                <w:sz w:val="13"/>
                <w:szCs w:val="13"/>
                <w:color w:val="auto"/>
              </w:rPr>
              <w:t>Ryan</w:t>
            </w:r>
          </w:p>
        </w:tc>
        <w:tc>
          <w:tcPr>
            <w:tcW w:w="2380" w:type="dxa"/>
            <w:vAlign w:val="bottom"/>
            <w:vMerge w:val="restart"/>
            <w:shd w:val="clear" w:color="auto" w:fill="F2F2F2"/>
          </w:tcPr>
          <w:p>
            <w:pPr>
              <w:ind w:left="2220"/>
              <w:spacing w:after="0"/>
              <w:rPr>
                <w:sz w:val="20"/>
                <w:szCs w:val="20"/>
                <w:color w:val="auto"/>
              </w:rPr>
            </w:pPr>
            <w:r>
              <w:rPr>
                <w:rFonts w:ascii="Arial" w:cs="Arial" w:eastAsia="Arial" w:hAnsi="Arial"/>
                <w:sz w:val="13"/>
                <w:szCs w:val="13"/>
                <w:color w:val="auto"/>
              </w:rPr>
              <w:t>​ ​</w:t>
            </w:r>
          </w:p>
        </w:tc>
        <w:tc>
          <w:tcPr>
            <w:tcW w:w="980" w:type="dxa"/>
            <w:vAlign w:val="bottom"/>
            <w:gridSpan w:val="2"/>
            <w:shd w:val="clear" w:color="auto" w:fill="F2F2F2"/>
          </w:tcPr>
          <w:p>
            <w:pPr>
              <w:ind w:left="300"/>
              <w:spacing w:after="0"/>
              <w:rPr>
                <w:sz w:val="20"/>
                <w:szCs w:val="20"/>
                <w:color w:val="auto"/>
              </w:rPr>
            </w:pPr>
            <w:r>
              <w:rPr>
                <w:rFonts w:ascii="Arial" w:cs="Arial" w:eastAsia="Arial" w:hAnsi="Arial"/>
                <w:sz w:val="13"/>
                <w:szCs w:val="13"/>
                <w:color w:val="auto"/>
              </w:rPr>
              <w:t>​37,467</w:t>
            </w:r>
          </w:p>
        </w:tc>
        <w:tc>
          <w:tcPr>
            <w:tcW w:w="2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600" w:type="dxa"/>
            <w:vAlign w:val="bottom"/>
            <w:shd w:val="clear" w:color="auto" w:fill="F2F2F2"/>
          </w:tcPr>
          <w:p>
            <w:pPr>
              <w:ind w:left="700"/>
              <w:spacing w:after="0"/>
              <w:rPr>
                <w:sz w:val="20"/>
                <w:szCs w:val="20"/>
                <w:color w:val="auto"/>
              </w:rPr>
            </w:pPr>
            <w:r>
              <w:rPr>
                <w:rFonts w:ascii="Arial" w:cs="Arial" w:eastAsia="Arial" w:hAnsi="Arial"/>
                <w:sz w:val="13"/>
                <w:szCs w:val="13"/>
                <w:color w:val="auto"/>
              </w:rPr>
              <w:t>​288</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shd w:val="clear" w:color="auto" w:fill="F2F2F2"/>
          </w:tcPr>
          <w:p>
            <w:pPr>
              <w:jc w:val="right"/>
              <w:ind w:right="24"/>
              <w:spacing w:after="0"/>
              <w:rPr>
                <w:sz w:val="20"/>
                <w:szCs w:val="20"/>
                <w:color w:val="auto"/>
              </w:rPr>
            </w:pPr>
            <w:r>
              <w:rPr>
                <w:rFonts w:ascii="Arial" w:cs="Arial" w:eastAsia="Arial" w:hAnsi="Arial"/>
                <w:sz w:val="13"/>
                <w:szCs w:val="13"/>
                <w:color w:val="auto"/>
              </w:rPr>
              <w:t>​37,755</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3120" w:type="dxa"/>
            <w:vAlign w:val="bottom"/>
            <w:tcBorders>
              <w:bottom w:val="single" w:sz="8" w:color="CCCCCC"/>
            </w:tcBorders>
            <w:shd w:val="clear" w:color="auto" w:fill="F2F2F2"/>
          </w:tcPr>
          <w:p>
            <w:pPr>
              <w:spacing w:after="0"/>
              <w:rPr>
                <w:sz w:val="8"/>
                <w:szCs w:val="8"/>
                <w:color w:val="auto"/>
              </w:rPr>
            </w:pPr>
          </w:p>
        </w:tc>
        <w:tc>
          <w:tcPr>
            <w:tcW w:w="238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1600" w:type="dxa"/>
            <w:vAlign w:val="bottom"/>
            <w:tcBorders>
              <w:bottom w:val="single" w:sz="8" w:color="CCCCCC"/>
            </w:tcBorders>
            <w:shd w:val="clear" w:color="auto" w:fill="F2F2F2"/>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tcPr>
          <w:p>
            <w:pPr>
              <w:ind w:left="20"/>
              <w:spacing w:after="0"/>
              <w:rPr>
                <w:sz w:val="20"/>
                <w:szCs w:val="20"/>
                <w:color w:val="auto"/>
              </w:rPr>
            </w:pPr>
            <w:r>
              <w:rPr>
                <w:rFonts w:ascii="Arial" w:cs="Arial" w:eastAsia="Arial" w:hAnsi="Arial"/>
                <w:sz w:val="13"/>
                <w:szCs w:val="13"/>
                <w:color w:val="auto"/>
              </w:rPr>
              <w:t>Harkel-Rumford</w:t>
            </w:r>
          </w:p>
        </w:tc>
        <w:tc>
          <w:tcPr>
            <w:tcW w:w="2380" w:type="dxa"/>
            <w:vAlign w:val="bottom"/>
            <w:vMerge w:val="restart"/>
          </w:tcPr>
          <w:p>
            <w:pPr>
              <w:ind w:left="22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ind w:left="300"/>
              <w:spacing w:after="0"/>
              <w:rPr>
                <w:sz w:val="20"/>
                <w:szCs w:val="20"/>
                <w:color w:val="auto"/>
              </w:rPr>
            </w:pPr>
            <w:r>
              <w:rPr>
                <w:rFonts w:ascii="Arial" w:cs="Arial" w:eastAsia="Arial" w:hAnsi="Arial"/>
                <w:sz w:val="13"/>
                <w:szCs w:val="13"/>
                <w:color w:val="auto"/>
              </w:rPr>
              <w:t>​27,460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1600" w:type="dxa"/>
            <w:vAlign w:val="bottom"/>
          </w:tcPr>
          <w:p>
            <w:pPr>
              <w:ind w:left="700"/>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tcPr>
          <w:p>
            <w:pPr>
              <w:jc w:val="right"/>
              <w:ind w:right="24"/>
              <w:spacing w:after="0"/>
              <w:rPr>
                <w:sz w:val="20"/>
                <w:szCs w:val="20"/>
                <w:color w:val="auto"/>
              </w:rPr>
            </w:pPr>
            <w:r>
              <w:rPr>
                <w:rFonts w:ascii="Arial" w:cs="Arial" w:eastAsia="Arial" w:hAnsi="Arial"/>
                <w:sz w:val="13"/>
                <w:szCs w:val="13"/>
                <w:color w:val="auto"/>
              </w:rPr>
              <w:t>​27,460</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tcPr>
          <w:p>
            <w:pPr>
              <w:spacing w:after="0"/>
              <w:rPr>
                <w:sz w:val="8"/>
                <w:szCs w:val="8"/>
                <w:color w:val="auto"/>
              </w:rPr>
            </w:pPr>
          </w:p>
        </w:tc>
        <w:tc>
          <w:tcPr>
            <w:tcW w:w="312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0" w:type="dxa"/>
            <w:vAlign w:val="bottom"/>
            <w:tcBorders>
              <w:bottom w:val="single" w:sz="8" w:color="CCCCCC"/>
            </w:tcBorders>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shd w:val="clear" w:color="auto" w:fill="F2F2F2"/>
          </w:tcPr>
          <w:p>
            <w:pPr>
              <w:ind w:left="20"/>
              <w:spacing w:after="0"/>
              <w:rPr>
                <w:sz w:val="20"/>
                <w:szCs w:val="20"/>
                <w:color w:val="auto"/>
              </w:rPr>
            </w:pPr>
            <w:r>
              <w:rPr>
                <w:rFonts w:ascii="Arial" w:cs="Arial" w:eastAsia="Arial" w:hAnsi="Arial"/>
                <w:sz w:val="13"/>
                <w:szCs w:val="13"/>
                <w:color w:val="auto"/>
              </w:rPr>
              <w:t>Lesar</w:t>
            </w:r>
          </w:p>
        </w:tc>
        <w:tc>
          <w:tcPr>
            <w:tcW w:w="2380" w:type="dxa"/>
            <w:vAlign w:val="bottom"/>
            <w:vMerge w:val="restart"/>
            <w:shd w:val="clear" w:color="auto" w:fill="F2F2F2"/>
          </w:tcPr>
          <w:p>
            <w:pPr>
              <w:ind w:left="22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F2F2F2"/>
          </w:tcPr>
          <w:p>
            <w:pPr>
              <w:ind w:lef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F2F2F2"/>
          </w:tcPr>
          <w:p>
            <w:pPr>
              <w:ind w:left="18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600" w:type="dxa"/>
            <w:vAlign w:val="bottom"/>
            <w:shd w:val="clear" w:color="auto" w:fill="F2F2F2"/>
          </w:tcPr>
          <w:p>
            <w:pPr>
              <w:ind w:left="700"/>
              <w:spacing w:after="0"/>
              <w:rPr>
                <w:sz w:val="20"/>
                <w:szCs w:val="20"/>
                <w:color w:val="auto"/>
              </w:rPr>
            </w:pPr>
            <w:r>
              <w:rPr>
                <w:rFonts w:ascii="Arial" w:cs="Arial" w:eastAsia="Arial" w:hAnsi="Arial"/>
                <w:sz w:val="13"/>
                <w:szCs w:val="13"/>
                <w:color w:val="auto"/>
              </w:rPr>
              <w:t>​ —</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F2F2F2"/>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2F2"/>
          </w:tcPr>
          <w:p>
            <w:pPr>
              <w:jc w:val="right"/>
              <w:ind w:right="24"/>
              <w:spacing w:after="0"/>
              <w:rPr>
                <w:sz w:val="20"/>
                <w:szCs w:val="20"/>
                <w:color w:val="auto"/>
              </w:rPr>
            </w:pPr>
            <w:r>
              <w:rPr>
                <w:rFonts w:ascii="Arial" w:cs="Arial" w:eastAsia="Arial" w:hAnsi="Arial"/>
                <w:sz w:val="13"/>
                <w:szCs w:val="13"/>
                <w:color w:val="auto"/>
                <w:w w:val="76"/>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3120" w:type="dxa"/>
            <w:vAlign w:val="bottom"/>
            <w:tcBorders>
              <w:bottom w:val="single" w:sz="8" w:color="CCCCCC"/>
            </w:tcBorders>
            <w:shd w:val="clear" w:color="auto" w:fill="F2F2F2"/>
          </w:tcPr>
          <w:p>
            <w:pPr>
              <w:spacing w:after="0"/>
              <w:rPr>
                <w:sz w:val="8"/>
                <w:szCs w:val="8"/>
                <w:color w:val="auto"/>
              </w:rPr>
            </w:pPr>
          </w:p>
        </w:tc>
        <w:tc>
          <w:tcPr>
            <w:tcW w:w="238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1600" w:type="dxa"/>
            <w:vAlign w:val="bottom"/>
            <w:tcBorders>
              <w:bottom w:val="single" w:sz="8" w:color="CCCCCC"/>
            </w:tcBorders>
            <w:shd w:val="clear" w:color="auto" w:fill="F2F2F2"/>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3120" w:type="dxa"/>
            <w:vAlign w:val="bottom"/>
          </w:tcPr>
          <w:p>
            <w:pPr>
              <w:ind w:left="20"/>
              <w:spacing w:after="0"/>
              <w:rPr>
                <w:sz w:val="20"/>
                <w:szCs w:val="20"/>
                <w:color w:val="auto"/>
              </w:rPr>
            </w:pPr>
            <w:r>
              <w:rPr>
                <w:rFonts w:ascii="Arial" w:cs="Arial" w:eastAsia="Arial" w:hAnsi="Arial"/>
                <w:sz w:val="13"/>
                <w:szCs w:val="13"/>
                <w:color w:val="auto"/>
              </w:rPr>
              <w:t>Wilson</w:t>
            </w:r>
          </w:p>
        </w:tc>
        <w:tc>
          <w:tcPr>
            <w:tcW w:w="2380" w:type="dxa"/>
            <w:vAlign w:val="bottom"/>
            <w:vMerge w:val="restart"/>
          </w:tcPr>
          <w:p>
            <w:pPr>
              <w:ind w:left="22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ind w:left="300"/>
              <w:spacing w:after="0"/>
              <w:rPr>
                <w:sz w:val="20"/>
                <w:szCs w:val="20"/>
                <w:color w:val="auto"/>
              </w:rPr>
            </w:pPr>
            <w:r>
              <w:rPr>
                <w:rFonts w:ascii="Arial" w:cs="Arial" w:eastAsia="Arial" w:hAnsi="Arial"/>
                <w:sz w:val="13"/>
                <w:szCs w:val="13"/>
                <w:color w:val="auto"/>
              </w:rPr>
              <w:t>​(3,608)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1600" w:type="dxa"/>
            <w:vAlign w:val="bottom"/>
          </w:tcPr>
          <w:p>
            <w:pPr>
              <w:ind w:left="700"/>
              <w:spacing w:after="0"/>
              <w:rPr>
                <w:sz w:val="20"/>
                <w:szCs w:val="20"/>
                <w:color w:val="auto"/>
              </w:rPr>
            </w:pPr>
            <w:r>
              <w:rPr>
                <w:rFonts w:ascii="Arial" w:cs="Arial" w:eastAsia="Arial" w:hAnsi="Arial"/>
                <w:sz w:val="13"/>
                <w:szCs w:val="13"/>
                <w:color w:val="auto"/>
              </w:rPr>
              <w:t>​254</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​(3,354)</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312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ind w:left="300"/>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0" w:type="dxa"/>
            <w:vAlign w:val="bottom"/>
            <w:tcBorders>
              <w:bottom w:val="single" w:sz="8" w:color="CCCCCC"/>
            </w:tcBorders>
          </w:tcPr>
          <w:p>
            <w:pPr>
              <w:ind w:left="70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jc w:val="right"/>
              <w:ind w:right="182"/>
              <w:spacing w:after="0" w:line="95" w:lineRule="exact"/>
              <w:rPr>
                <w:sz w:val="20"/>
                <w:szCs w:val="20"/>
                <w:color w:val="auto"/>
              </w:rPr>
            </w:pPr>
            <w:r>
              <w:rPr>
                <w:rFonts w:ascii="Arial" w:cs="Arial" w:eastAsia="Arial" w:hAnsi="Arial"/>
                <w:sz w:val="10"/>
                <w:szCs w:val="10"/>
                <w:color w:val="auto"/>
              </w:rPr>
              <w:t>​ ​</w:t>
            </w:r>
          </w:p>
        </w:tc>
        <w:tc>
          <w:tcPr>
            <w:tcW w:w="20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100" w:right="80" w:hanging="190"/>
        <w:spacing w:after="0" w:line="241" w:lineRule="auto"/>
        <w:tabs>
          <w:tab w:leader="none" w:pos="1100" w:val="left"/>
        </w:tabs>
        <w:numPr>
          <w:ilvl w:val="0"/>
          <w:numId w:val="107"/>
        </w:numPr>
        <w:rPr>
          <w:rFonts w:ascii="Arial" w:cs="Arial" w:eastAsia="Arial" w:hAnsi="Arial"/>
          <w:sz w:val="19"/>
          <w:szCs w:val="19"/>
          <w:color w:val="auto"/>
          <w:vertAlign w:val="superscript"/>
        </w:rPr>
      </w:pPr>
      <w:r>
        <w:rPr>
          <w:rFonts w:ascii="Arial" w:cs="Arial" w:eastAsia="Arial" w:hAnsi="Arial"/>
          <w:sz w:val="12"/>
          <w:szCs w:val="12"/>
          <w:color w:val="auto"/>
        </w:rPr>
        <w:t>The Change in Pension Value is the increase or decrease in the present value of accumulated benefits under our retirement plans and the related benefit restoration plans from December 31, 2023 to December 31, 2024. Benefits are assumed to commence as of the earliest age that an individual could retire without a reduction in benefits. The present value as of December 31, 2024 assumed a discount rate of 5.60% and lump sum conversion interest rate of 5.60% for benefits paid in all future years. The present value as of December 31, 2023 assumed a discount rate of 4.95% and lump sum conversion interest rate of 4.95% for benefits paid in all future years. Refer to the narrative accompanying the Pension Benefits table for a more detailed discussion of the present value calculation.</w:t>
      </w:r>
    </w:p>
    <w:p>
      <w:pPr>
        <w:ind w:left="1100" w:hanging="190"/>
        <w:spacing w:after="0"/>
        <w:tabs>
          <w:tab w:leader="none" w:pos="1100" w:val="left"/>
        </w:tabs>
        <w:numPr>
          <w:ilvl w:val="0"/>
          <w:numId w:val="107"/>
        </w:numPr>
        <w:rPr>
          <w:rFonts w:ascii="Arial" w:cs="Arial" w:eastAsia="Arial" w:hAnsi="Arial"/>
          <w:sz w:val="20"/>
          <w:szCs w:val="20"/>
          <w:color w:val="auto"/>
          <w:vertAlign w:val="superscript"/>
        </w:rPr>
      </w:pPr>
      <w:r>
        <w:rPr>
          <w:rFonts w:ascii="Arial" w:cs="Arial" w:eastAsia="Arial" w:hAnsi="Arial"/>
          <w:sz w:val="13"/>
          <w:szCs w:val="13"/>
          <w:color w:val="auto"/>
        </w:rPr>
        <w:t>Above Market Earnings consist of the amounts that exceed 120% of the applicable federal long-term rate at the time the interest rate was set.</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hanging="189"/>
        <w:spacing w:after="0"/>
        <w:tabs>
          <w:tab w:leader="none" w:pos="920" w:val="left"/>
        </w:tabs>
        <w:numPr>
          <w:ilvl w:val="0"/>
          <w:numId w:val="108"/>
        </w:numPr>
        <w:rPr>
          <w:rFonts w:ascii="Arial" w:cs="Arial" w:eastAsia="Arial" w:hAnsi="Arial"/>
          <w:sz w:val="20"/>
          <w:szCs w:val="20"/>
          <w:color w:val="auto"/>
          <w:vertAlign w:val="superscript"/>
        </w:rPr>
      </w:pPr>
      <w:r>
        <w:rPr>
          <w:rFonts w:ascii="Arial" w:cs="Arial" w:eastAsia="Arial" w:hAnsi="Arial"/>
          <w:sz w:val="13"/>
          <w:szCs w:val="13"/>
          <w:color w:val="auto"/>
        </w:rPr>
        <w:t>The following table sets forth the elements of All Other Compensation for 2024:</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10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Contributions</w:t>
            </w:r>
          </w:p>
        </w:tc>
        <w:tc>
          <w:tcPr>
            <w:tcW w:w="200" w:type="dxa"/>
            <w:vAlign w:val="bottom"/>
            <w:shd w:val="clear" w:color="auto" w:fill="003763"/>
          </w:tcPr>
          <w:p>
            <w:pPr>
              <w:spacing w:after="0"/>
              <w:rPr>
                <w:sz w:val="14"/>
                <w:szCs w:val="14"/>
                <w:color w:val="auto"/>
              </w:rPr>
            </w:pPr>
          </w:p>
        </w:tc>
        <w:tc>
          <w:tcPr>
            <w:tcW w:w="9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Contributions</w:t>
            </w:r>
          </w:p>
        </w:tc>
        <w:tc>
          <w:tcPr>
            <w:tcW w:w="18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360" w:type="dxa"/>
            <w:vAlign w:val="bottom"/>
            <w:shd w:val="clear" w:color="auto" w:fill="003763"/>
          </w:tcPr>
          <w:p>
            <w:pPr>
              <w:spacing w:after="0"/>
              <w:rPr>
                <w:sz w:val="14"/>
                <w:szCs w:val="14"/>
                <w:color w:val="auto"/>
              </w:rPr>
            </w:pPr>
          </w:p>
        </w:tc>
        <w:tc>
          <w:tcPr>
            <w:tcW w:w="56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10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46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to Vested and</w:t>
            </w:r>
          </w:p>
        </w:tc>
        <w:tc>
          <w:tcPr>
            <w:tcW w:w="200" w:type="dxa"/>
            <w:vAlign w:val="bottom"/>
            <w:shd w:val="clear" w:color="auto" w:fill="003763"/>
          </w:tcPr>
          <w:p>
            <w:pPr>
              <w:spacing w:after="0"/>
              <w:rPr>
                <w:sz w:val="12"/>
                <w:szCs w:val="12"/>
                <w:color w:val="auto"/>
              </w:rPr>
            </w:pPr>
          </w:p>
        </w:tc>
        <w:tc>
          <w:tcPr>
            <w:tcW w:w="9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to Vested and</w:t>
            </w:r>
          </w:p>
        </w:tc>
        <w:tc>
          <w:tcPr>
            <w:tcW w:w="18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300" w:type="dxa"/>
            <w:vAlign w:val="bottom"/>
            <w:shd w:val="clear" w:color="auto" w:fill="003763"/>
          </w:tcPr>
          <w:p>
            <w:pPr>
              <w:spacing w:after="0"/>
              <w:rPr>
                <w:sz w:val="12"/>
                <w:szCs w:val="12"/>
                <w:color w:val="auto"/>
              </w:rPr>
            </w:pPr>
          </w:p>
        </w:tc>
        <w:tc>
          <w:tcPr>
            <w:tcW w:w="3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360" w:type="dxa"/>
            <w:vAlign w:val="bottom"/>
            <w:shd w:val="clear" w:color="auto" w:fill="003763"/>
          </w:tcPr>
          <w:p>
            <w:pPr>
              <w:spacing w:after="0"/>
              <w:rPr>
                <w:sz w:val="12"/>
                <w:szCs w:val="12"/>
                <w:color w:val="auto"/>
              </w:rPr>
            </w:pPr>
          </w:p>
        </w:tc>
        <w:tc>
          <w:tcPr>
            <w:tcW w:w="5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10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46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Unvested</w:t>
            </w:r>
          </w:p>
        </w:tc>
        <w:tc>
          <w:tcPr>
            <w:tcW w:w="200" w:type="dxa"/>
            <w:vAlign w:val="bottom"/>
            <w:shd w:val="clear" w:color="auto" w:fill="003763"/>
          </w:tcPr>
          <w:p>
            <w:pPr>
              <w:spacing w:after="0"/>
              <w:rPr>
                <w:sz w:val="12"/>
                <w:szCs w:val="12"/>
                <w:color w:val="auto"/>
              </w:rPr>
            </w:pPr>
          </w:p>
        </w:tc>
        <w:tc>
          <w:tcPr>
            <w:tcW w:w="9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Unvested</w:t>
            </w:r>
          </w:p>
        </w:tc>
        <w:tc>
          <w:tcPr>
            <w:tcW w:w="18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300" w:type="dxa"/>
            <w:vAlign w:val="bottom"/>
            <w:shd w:val="clear" w:color="auto" w:fill="003763"/>
          </w:tcPr>
          <w:p>
            <w:pPr>
              <w:spacing w:after="0"/>
              <w:rPr>
                <w:sz w:val="12"/>
                <w:szCs w:val="12"/>
                <w:color w:val="auto"/>
              </w:rPr>
            </w:pPr>
          </w:p>
        </w:tc>
        <w:tc>
          <w:tcPr>
            <w:tcW w:w="3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360" w:type="dxa"/>
            <w:vAlign w:val="bottom"/>
            <w:shd w:val="clear" w:color="auto" w:fill="003763"/>
          </w:tcPr>
          <w:p>
            <w:pPr>
              <w:spacing w:after="0"/>
              <w:rPr>
                <w:sz w:val="12"/>
                <w:szCs w:val="12"/>
                <w:color w:val="auto"/>
              </w:rPr>
            </w:pPr>
          </w:p>
        </w:tc>
        <w:tc>
          <w:tcPr>
            <w:tcW w:w="5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10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6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Perquisites</w:t>
            </w:r>
          </w:p>
        </w:tc>
        <w:tc>
          <w:tcPr>
            <w:tcW w:w="1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Defined</w:t>
            </w:r>
          </w:p>
        </w:tc>
        <w:tc>
          <w:tcPr>
            <w:tcW w:w="200" w:type="dxa"/>
            <w:vAlign w:val="bottom"/>
            <w:shd w:val="clear" w:color="auto" w:fill="003763"/>
          </w:tcPr>
          <w:p>
            <w:pPr>
              <w:spacing w:after="0"/>
              <w:rPr>
                <w:sz w:val="14"/>
                <w:szCs w:val="14"/>
                <w:color w:val="auto"/>
              </w:rPr>
            </w:pPr>
          </w:p>
        </w:tc>
        <w:tc>
          <w:tcPr>
            <w:tcW w:w="9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Defined</w:t>
            </w:r>
          </w:p>
        </w:tc>
        <w:tc>
          <w:tcPr>
            <w:tcW w:w="18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360" w:type="dxa"/>
            <w:vAlign w:val="bottom"/>
            <w:shd w:val="clear" w:color="auto" w:fill="003763"/>
          </w:tcPr>
          <w:p>
            <w:pPr>
              <w:spacing w:after="0"/>
              <w:rPr>
                <w:sz w:val="14"/>
                <w:szCs w:val="14"/>
                <w:color w:val="auto"/>
              </w:rPr>
            </w:pPr>
          </w:p>
        </w:tc>
        <w:tc>
          <w:tcPr>
            <w:tcW w:w="56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003763"/>
          </w:tcPr>
          <w:p>
            <w:pPr>
              <w:spacing w:after="0"/>
              <w:rPr>
                <w:sz w:val="12"/>
                <w:szCs w:val="12"/>
                <w:color w:val="auto"/>
              </w:rPr>
            </w:pPr>
          </w:p>
        </w:tc>
        <w:tc>
          <w:tcPr>
            <w:tcW w:w="10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6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and Other</w:t>
            </w:r>
          </w:p>
        </w:tc>
        <w:tc>
          <w:tcPr>
            <w:tcW w:w="1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Contribution</w:t>
            </w:r>
          </w:p>
        </w:tc>
        <w:tc>
          <w:tcPr>
            <w:tcW w:w="200" w:type="dxa"/>
            <w:vAlign w:val="bottom"/>
            <w:shd w:val="clear" w:color="auto" w:fill="003763"/>
          </w:tcPr>
          <w:p>
            <w:pPr>
              <w:spacing w:after="0"/>
              <w:rPr>
                <w:sz w:val="12"/>
                <w:szCs w:val="12"/>
                <w:color w:val="auto"/>
              </w:rPr>
            </w:pPr>
          </w:p>
        </w:tc>
        <w:tc>
          <w:tcPr>
            <w:tcW w:w="9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Contribution</w:t>
            </w:r>
          </w:p>
        </w:tc>
        <w:tc>
          <w:tcPr>
            <w:tcW w:w="18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300" w:type="dxa"/>
            <w:vAlign w:val="bottom"/>
            <w:shd w:val="clear" w:color="auto" w:fill="003763"/>
          </w:tcPr>
          <w:p>
            <w:pPr>
              <w:spacing w:after="0"/>
              <w:rPr>
                <w:sz w:val="12"/>
                <w:szCs w:val="12"/>
                <w:color w:val="auto"/>
              </w:rPr>
            </w:pPr>
          </w:p>
        </w:tc>
        <w:tc>
          <w:tcPr>
            <w:tcW w:w="3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360" w:type="dxa"/>
            <w:vAlign w:val="bottom"/>
            <w:shd w:val="clear" w:color="auto" w:fill="003763"/>
          </w:tcPr>
          <w:p>
            <w:pPr>
              <w:spacing w:after="0"/>
              <w:rPr>
                <w:sz w:val="12"/>
                <w:szCs w:val="12"/>
                <w:color w:val="auto"/>
              </w:rPr>
            </w:pPr>
          </w:p>
        </w:tc>
        <w:tc>
          <w:tcPr>
            <w:tcW w:w="5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jc w:val="center"/>
              <w:ind w:right="137"/>
              <w:spacing w:after="0"/>
              <w:rPr>
                <w:sz w:val="20"/>
                <w:szCs w:val="20"/>
                <w:color w:val="auto"/>
              </w:rPr>
            </w:pPr>
            <w:r>
              <w:rPr>
                <w:rFonts w:ascii="Arial" w:cs="Arial" w:eastAsia="Arial" w:hAnsi="Arial"/>
                <w:sz w:val="13"/>
                <w:szCs w:val="13"/>
                <w:b w:val="1"/>
                <w:bCs w:val="1"/>
                <w:color w:val="FFFFFF"/>
                <w:w w:val="97"/>
              </w:rPr>
              <w:t>Total All</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10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6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Personal</w:t>
            </w:r>
          </w:p>
        </w:tc>
        <w:tc>
          <w:tcPr>
            <w:tcW w:w="160" w:type="dxa"/>
            <w:vAlign w:val="bottom"/>
            <w:shd w:val="clear" w:color="auto" w:fill="003763"/>
          </w:tcPr>
          <w:p>
            <w:pPr>
              <w:spacing w:after="0"/>
              <w:rPr>
                <w:sz w:val="12"/>
                <w:szCs w:val="12"/>
                <w:color w:val="auto"/>
              </w:rPr>
            </w:pPr>
          </w:p>
        </w:tc>
        <w:tc>
          <w:tcPr>
            <w:tcW w:w="1040" w:type="dxa"/>
            <w:vAlign w:val="bottom"/>
            <w:shd w:val="clear" w:color="auto" w:fill="003763"/>
          </w:tcPr>
          <w:p>
            <w:pPr>
              <w:ind w:left="400"/>
              <w:spacing w:after="0"/>
              <w:rPr>
                <w:sz w:val="20"/>
                <w:szCs w:val="20"/>
                <w:color w:val="auto"/>
              </w:rPr>
            </w:pPr>
            <w:r>
              <w:rPr>
                <w:rFonts w:ascii="Arial" w:cs="Arial" w:eastAsia="Arial" w:hAnsi="Arial"/>
                <w:sz w:val="13"/>
                <w:szCs w:val="13"/>
                <w:b w:val="1"/>
                <w:bCs w:val="1"/>
                <w:color w:val="FFFFFF"/>
              </w:rPr>
              <w:t>Tax</w:t>
            </w:r>
          </w:p>
        </w:tc>
        <w:tc>
          <w:tcPr>
            <w:tcW w:w="16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2"/>
              </w:rPr>
              <w:t>Plans</w:t>
            </w:r>
          </w:p>
        </w:tc>
        <w:tc>
          <w:tcPr>
            <w:tcW w:w="200" w:type="dxa"/>
            <w:vAlign w:val="bottom"/>
            <w:shd w:val="clear" w:color="auto" w:fill="003763"/>
          </w:tcPr>
          <w:p>
            <w:pPr>
              <w:spacing w:after="0"/>
              <w:rPr>
                <w:sz w:val="12"/>
                <w:szCs w:val="12"/>
                <w:color w:val="auto"/>
              </w:rPr>
            </w:pPr>
          </w:p>
        </w:tc>
        <w:tc>
          <w:tcPr>
            <w:tcW w:w="280" w:type="dxa"/>
            <w:vAlign w:val="bottom"/>
            <w:shd w:val="clear" w:color="auto" w:fill="003763"/>
          </w:tcPr>
          <w:p>
            <w:pPr>
              <w:spacing w:after="0"/>
              <w:rPr>
                <w:sz w:val="12"/>
                <w:szCs w:val="12"/>
                <w:color w:val="auto"/>
              </w:rPr>
            </w:pPr>
          </w:p>
        </w:tc>
        <w:tc>
          <w:tcPr>
            <w:tcW w:w="660" w:type="dxa"/>
            <w:vAlign w:val="bottom"/>
            <w:shd w:val="clear" w:color="auto" w:fill="003763"/>
          </w:tcPr>
          <w:p>
            <w:pPr>
              <w:jc w:val="center"/>
              <w:ind w:right="237"/>
              <w:spacing w:after="0"/>
              <w:rPr>
                <w:sz w:val="20"/>
                <w:szCs w:val="20"/>
                <w:color w:val="auto"/>
              </w:rPr>
            </w:pPr>
            <w:r>
              <w:rPr>
                <w:rFonts w:ascii="Arial" w:cs="Arial" w:eastAsia="Arial" w:hAnsi="Arial"/>
                <w:sz w:val="13"/>
                <w:szCs w:val="13"/>
                <w:b w:val="1"/>
                <w:bCs w:val="1"/>
                <w:color w:val="FFFFFF"/>
                <w:w w:val="92"/>
              </w:rPr>
              <w:t>Plans</w:t>
            </w:r>
          </w:p>
        </w:tc>
        <w:tc>
          <w:tcPr>
            <w:tcW w:w="180" w:type="dxa"/>
            <w:vAlign w:val="bottom"/>
            <w:shd w:val="clear" w:color="auto" w:fill="003763"/>
          </w:tcPr>
          <w:p>
            <w:pPr>
              <w:spacing w:after="0"/>
              <w:rPr>
                <w:sz w:val="12"/>
                <w:szCs w:val="12"/>
                <w:color w:val="auto"/>
              </w:rPr>
            </w:pPr>
          </w:p>
        </w:tc>
        <w:tc>
          <w:tcPr>
            <w:tcW w:w="6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4"/>
              </w:rPr>
              <w:t>Insurance</w:t>
            </w:r>
          </w:p>
        </w:tc>
        <w:tc>
          <w:tcPr>
            <w:tcW w:w="300" w:type="dxa"/>
            <w:vAlign w:val="bottom"/>
            <w:shd w:val="clear" w:color="auto" w:fill="003763"/>
          </w:tcPr>
          <w:p>
            <w:pPr>
              <w:spacing w:after="0"/>
              <w:rPr>
                <w:sz w:val="12"/>
                <w:szCs w:val="12"/>
                <w:color w:val="auto"/>
              </w:rPr>
            </w:pPr>
          </w:p>
        </w:tc>
        <w:tc>
          <w:tcPr>
            <w:tcW w:w="3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920" w:type="dxa"/>
            <w:vAlign w:val="bottom"/>
            <w:gridSpan w:val="2"/>
            <w:shd w:val="clear" w:color="auto" w:fill="003763"/>
          </w:tcPr>
          <w:p>
            <w:pPr>
              <w:ind w:left="160"/>
              <w:spacing w:after="0"/>
              <w:rPr>
                <w:sz w:val="20"/>
                <w:szCs w:val="20"/>
                <w:color w:val="auto"/>
              </w:rPr>
            </w:pPr>
            <w:r>
              <w:rPr>
                <w:rFonts w:ascii="Arial" w:cs="Arial" w:eastAsia="Arial" w:hAnsi="Arial"/>
                <w:sz w:val="13"/>
                <w:szCs w:val="13"/>
                <w:b w:val="1"/>
                <w:bCs w:val="1"/>
                <w:color w:val="FFFFFF"/>
              </w:rPr>
              <w:t>Charitable</w:t>
            </w:r>
          </w:p>
        </w:tc>
        <w:tc>
          <w:tcPr>
            <w:tcW w:w="2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Other</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10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680" w:type="dxa"/>
            <w:vAlign w:val="bottom"/>
            <w:gridSpan w:val="2"/>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93"/>
              </w:rPr>
              <w:t>Benefits</w:t>
            </w:r>
            <w:r>
              <w:rPr>
                <w:rFonts w:ascii="Arial" w:cs="Arial" w:eastAsia="Arial" w:hAnsi="Arial"/>
                <w:sz w:val="16"/>
                <w:szCs w:val="16"/>
                <w:b w:val="1"/>
                <w:bCs w:val="1"/>
                <w:color w:val="FFFFFF"/>
                <w:w w:val="93"/>
                <w:vertAlign w:val="superscript"/>
              </w:rPr>
              <w:t>(a)</w:t>
            </w:r>
          </w:p>
        </w:tc>
        <w:tc>
          <w:tcPr>
            <w:tcW w:w="1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w w:val="96"/>
              </w:rPr>
              <w:t>Reimbursements</w:t>
            </w:r>
          </w:p>
        </w:tc>
        <w:tc>
          <w:tcPr>
            <w:tcW w:w="160" w:type="dxa"/>
            <w:vAlign w:val="bottom"/>
            <w:shd w:val="clear" w:color="auto" w:fill="003763"/>
          </w:tcPr>
          <w:p>
            <w:pPr>
              <w:spacing w:after="0"/>
              <w:rPr>
                <w:sz w:val="14"/>
                <w:szCs w:val="14"/>
                <w:color w:val="auto"/>
              </w:rPr>
            </w:pPr>
          </w:p>
        </w:tc>
        <w:tc>
          <w:tcPr>
            <w:tcW w:w="840" w:type="dxa"/>
            <w:vAlign w:val="bottom"/>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90"/>
              </w:rPr>
              <w:t>(qualified)</w:t>
            </w:r>
            <w:r>
              <w:rPr>
                <w:rFonts w:ascii="Arial" w:cs="Arial" w:eastAsia="Arial" w:hAnsi="Arial"/>
                <w:sz w:val="16"/>
                <w:szCs w:val="16"/>
                <w:b w:val="1"/>
                <w:bCs w:val="1"/>
                <w:color w:val="FFFFFF"/>
                <w:w w:val="90"/>
                <w:vertAlign w:val="superscript"/>
              </w:rPr>
              <w:t>(c)</w:t>
            </w:r>
          </w:p>
        </w:tc>
        <w:tc>
          <w:tcPr>
            <w:tcW w:w="200" w:type="dxa"/>
            <w:vAlign w:val="bottom"/>
            <w:shd w:val="clear" w:color="auto" w:fill="003763"/>
          </w:tcPr>
          <w:p>
            <w:pPr>
              <w:spacing w:after="0"/>
              <w:rPr>
                <w:sz w:val="14"/>
                <w:szCs w:val="14"/>
                <w:color w:val="auto"/>
              </w:rPr>
            </w:pPr>
          </w:p>
        </w:tc>
        <w:tc>
          <w:tcPr>
            <w:tcW w:w="940" w:type="dxa"/>
            <w:vAlign w:val="bottom"/>
            <w:gridSpan w:val="2"/>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92"/>
              </w:rPr>
              <w:t>(nonqualified)</w:t>
            </w:r>
            <w:r>
              <w:rPr>
                <w:rFonts w:ascii="Arial" w:cs="Arial" w:eastAsia="Arial" w:hAnsi="Arial"/>
                <w:sz w:val="16"/>
                <w:szCs w:val="16"/>
                <w:b w:val="1"/>
                <w:bCs w:val="1"/>
                <w:color w:val="FFFFFF"/>
                <w:w w:val="92"/>
                <w:vertAlign w:val="superscript"/>
              </w:rPr>
              <w:t>(d)</w:t>
            </w:r>
          </w:p>
        </w:tc>
        <w:tc>
          <w:tcPr>
            <w:tcW w:w="18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w w:val="95"/>
              </w:rPr>
              <w:t>Premiums</w:t>
            </w:r>
          </w:p>
        </w:tc>
        <w:tc>
          <w:tcPr>
            <w:tcW w:w="680" w:type="dxa"/>
            <w:vAlign w:val="bottom"/>
            <w:gridSpan w:val="2"/>
            <w:shd w:val="clear" w:color="auto" w:fill="003763"/>
          </w:tcPr>
          <w:p>
            <w:pPr>
              <w:jc w:val="right"/>
              <w:spacing w:after="0" w:line="162" w:lineRule="exact"/>
              <w:rPr>
                <w:sz w:val="20"/>
                <w:szCs w:val="20"/>
                <w:color w:val="auto"/>
              </w:rPr>
            </w:pPr>
            <w:r>
              <w:rPr>
                <w:rFonts w:ascii="Arial" w:cs="Arial" w:eastAsia="Arial" w:hAnsi="Arial"/>
                <w:sz w:val="13"/>
                <w:szCs w:val="13"/>
                <w:b w:val="1"/>
                <w:bCs w:val="1"/>
                <w:color w:val="FFFFFF"/>
              </w:rPr>
              <w:t>Other</w:t>
            </w:r>
            <w:r>
              <w:rPr>
                <w:rFonts w:ascii="Arial" w:cs="Arial" w:eastAsia="Arial" w:hAnsi="Arial"/>
                <w:sz w:val="16"/>
                <w:szCs w:val="16"/>
                <w:b w:val="1"/>
                <w:bCs w:val="1"/>
                <w:color w:val="FFFFFF"/>
                <w:vertAlign w:val="superscript"/>
              </w:rPr>
              <w:t>(e)</w:t>
            </w:r>
          </w:p>
        </w:tc>
        <w:tc>
          <w:tcPr>
            <w:tcW w:w="160" w:type="dxa"/>
            <w:vAlign w:val="bottom"/>
            <w:shd w:val="clear" w:color="auto" w:fill="003763"/>
          </w:tcPr>
          <w:p>
            <w:pPr>
              <w:spacing w:after="0"/>
              <w:rPr>
                <w:sz w:val="14"/>
                <w:szCs w:val="14"/>
                <w:color w:val="auto"/>
              </w:rPr>
            </w:pPr>
          </w:p>
        </w:tc>
        <w:tc>
          <w:tcPr>
            <w:tcW w:w="920" w:type="dxa"/>
            <w:vAlign w:val="bottom"/>
            <w:gridSpan w:val="2"/>
            <w:shd w:val="clear" w:color="auto" w:fill="003763"/>
          </w:tcPr>
          <w:p>
            <w:pPr>
              <w:spacing w:after="0" w:line="162" w:lineRule="exact"/>
              <w:rPr>
                <w:sz w:val="20"/>
                <w:szCs w:val="20"/>
                <w:color w:val="auto"/>
              </w:rPr>
            </w:pPr>
            <w:r>
              <w:rPr>
                <w:rFonts w:ascii="Arial" w:cs="Arial" w:eastAsia="Arial" w:hAnsi="Arial"/>
                <w:sz w:val="13"/>
                <w:szCs w:val="13"/>
                <w:b w:val="1"/>
                <w:bCs w:val="1"/>
                <w:color w:val="FFFFFF"/>
                <w:w w:val="93"/>
              </w:rPr>
              <w:t>Contributions</w:t>
            </w:r>
            <w:r>
              <w:rPr>
                <w:rFonts w:ascii="Arial" w:cs="Arial" w:eastAsia="Arial" w:hAnsi="Arial"/>
                <w:sz w:val="16"/>
                <w:szCs w:val="16"/>
                <w:b w:val="1"/>
                <w:bCs w:val="1"/>
                <w:color w:val="FFFFFF"/>
                <w:w w:val="93"/>
                <w:vertAlign w:val="superscript"/>
              </w:rPr>
              <w:t>(f)</w:t>
            </w:r>
          </w:p>
        </w:tc>
        <w:tc>
          <w:tcPr>
            <w:tcW w:w="200" w:type="dxa"/>
            <w:vAlign w:val="bottom"/>
            <w:shd w:val="clear" w:color="auto" w:fill="003763"/>
          </w:tcPr>
          <w:p>
            <w:pPr>
              <w:spacing w:after="0"/>
              <w:rPr>
                <w:sz w:val="14"/>
                <w:szCs w:val="14"/>
                <w:color w:val="auto"/>
              </w:rPr>
            </w:pPr>
          </w:p>
        </w:tc>
        <w:tc>
          <w:tcPr>
            <w:tcW w:w="8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00" w:type="dxa"/>
            <w:vAlign w:val="bottom"/>
            <w:gridSpan w:val="2"/>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Name</w:t>
            </w:r>
          </w:p>
        </w:tc>
        <w:tc>
          <w:tcPr>
            <w:tcW w:w="240" w:type="dxa"/>
            <w:vAlign w:val="bottom"/>
            <w:shd w:val="clear" w:color="auto" w:fill="003763"/>
          </w:tcPr>
          <w:p>
            <w:pPr>
              <w:ind w:left="140"/>
              <w:spacing w:after="0"/>
              <w:rPr>
                <w:sz w:val="20"/>
                <w:szCs w:val="20"/>
                <w:color w:val="auto"/>
              </w:rPr>
            </w:pPr>
            <w:r>
              <w:rPr>
                <w:rFonts w:ascii="Arial" w:cs="Arial" w:eastAsia="Arial" w:hAnsi="Arial"/>
                <w:sz w:val="13"/>
                <w:szCs w:val="13"/>
                <w:b w:val="1"/>
                <w:bCs w:val="1"/>
                <w:color w:val="FFFFFF"/>
              </w:rPr>
              <w:t>​ ​</w:t>
            </w:r>
          </w:p>
        </w:tc>
        <w:tc>
          <w:tcPr>
            <w:tcW w:w="220" w:type="dxa"/>
            <w:vAlign w:val="bottom"/>
            <w:shd w:val="clear" w:color="auto" w:fill="003763"/>
          </w:tcPr>
          <w:p>
            <w:pPr>
              <w:spacing w:after="0"/>
              <w:rPr>
                <w:sz w:val="20"/>
                <w:szCs w:val="20"/>
                <w:color w:val="auto"/>
              </w:rPr>
            </w:pPr>
          </w:p>
        </w:tc>
        <w:tc>
          <w:tcPr>
            <w:tcW w:w="460" w:type="dxa"/>
            <w:vAlign w:val="bottom"/>
            <w:shd w:val="clear" w:color="auto" w:fill="003763"/>
          </w:tcPr>
          <w:p>
            <w:pPr>
              <w:jc w:val="center"/>
              <w:ind w:right="137"/>
              <w:spacing w:after="0"/>
              <w:rPr>
                <w:sz w:val="20"/>
                <w:szCs w:val="20"/>
                <w:color w:val="auto"/>
              </w:rPr>
            </w:pPr>
            <w:r>
              <w:rPr>
                <w:rFonts w:ascii="Arial" w:cs="Arial" w:eastAsia="Arial" w:hAnsi="Arial"/>
                <w:sz w:val="13"/>
                <w:szCs w:val="13"/>
                <w:b w:val="1"/>
                <w:bCs w:val="1"/>
                <w:color w:val="FFFFFF"/>
                <w:w w:val="87"/>
              </w:rPr>
              <w:t>($)</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040" w:type="dxa"/>
            <w:vAlign w:val="bottom"/>
            <w:shd w:val="clear" w:color="auto" w:fill="003763"/>
          </w:tcPr>
          <w:p>
            <w:pPr>
              <w:ind w:left="40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(b)</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840" w:type="dxa"/>
            <w:vAlign w:val="bottom"/>
            <w:shd w:val="clear" w:color="auto" w:fill="003763"/>
          </w:tcPr>
          <w:p>
            <w:pPr>
              <w:ind w:left="360"/>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280" w:type="dxa"/>
            <w:vAlign w:val="bottom"/>
            <w:shd w:val="clear" w:color="auto" w:fill="003763"/>
          </w:tcPr>
          <w:p>
            <w:pPr>
              <w:spacing w:after="0"/>
              <w:rPr>
                <w:sz w:val="20"/>
                <w:szCs w:val="20"/>
                <w:color w:val="auto"/>
              </w:rPr>
            </w:pPr>
          </w:p>
        </w:tc>
        <w:tc>
          <w:tcPr>
            <w:tcW w:w="660" w:type="dxa"/>
            <w:vAlign w:val="bottom"/>
            <w:shd w:val="clear" w:color="auto" w:fill="003763"/>
          </w:tcPr>
          <w:p>
            <w:pPr>
              <w:jc w:val="right"/>
              <w:ind w:right="317"/>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620" w:type="dxa"/>
            <w:vAlign w:val="bottom"/>
            <w:shd w:val="clear" w:color="auto" w:fill="003763"/>
          </w:tcPr>
          <w:p>
            <w:pPr>
              <w:ind w:left="260"/>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03763"/>
          </w:tcPr>
          <w:p>
            <w:pPr>
              <w:jc w:val="right"/>
              <w:ind w:right="42"/>
              <w:spacing w:after="0"/>
              <w:rPr>
                <w:sz w:val="20"/>
                <w:szCs w:val="20"/>
                <w:color w:val="auto"/>
              </w:rPr>
            </w:pPr>
            <w:r>
              <w:rPr>
                <w:rFonts w:ascii="Arial" w:cs="Arial" w:eastAsia="Arial" w:hAnsi="Arial"/>
                <w:sz w:val="13"/>
                <w:szCs w:val="13"/>
                <w:b w:val="1"/>
                <w:bCs w:val="1"/>
                <w:color w:val="FFFFFF"/>
              </w:rPr>
              <w:t>​ ​</w:t>
            </w:r>
          </w:p>
        </w:tc>
        <w:tc>
          <w:tcPr>
            <w:tcW w:w="380" w:type="dxa"/>
            <w:vAlign w:val="bottom"/>
            <w:shd w:val="clear" w:color="auto" w:fill="003763"/>
          </w:tcPr>
          <w:p>
            <w:pPr>
              <w:jc w:val="right"/>
              <w:ind w:right="9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360" w:type="dxa"/>
            <w:vAlign w:val="bottom"/>
            <w:shd w:val="clear" w:color="auto" w:fill="003763"/>
          </w:tcPr>
          <w:p>
            <w:pPr>
              <w:spacing w:after="0"/>
              <w:rPr>
                <w:sz w:val="20"/>
                <w:szCs w:val="20"/>
                <w:color w:val="auto"/>
              </w:rPr>
            </w:pPr>
          </w:p>
        </w:tc>
        <w:tc>
          <w:tcPr>
            <w:tcW w:w="560" w:type="dxa"/>
            <w:vAlign w:val="bottom"/>
            <w:shd w:val="clear" w:color="auto" w:fill="003763"/>
          </w:tcPr>
          <w:p>
            <w:pPr>
              <w:jc w:val="right"/>
              <w:ind w:right="297"/>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80" w:type="dxa"/>
            <w:vAlign w:val="bottom"/>
            <w:shd w:val="clear" w:color="auto" w:fill="003763"/>
          </w:tcPr>
          <w:p>
            <w:pPr>
              <w:spacing w:after="0"/>
              <w:rPr>
                <w:sz w:val="20"/>
                <w:szCs w:val="20"/>
                <w:color w:val="auto"/>
              </w:rPr>
            </w:pPr>
          </w:p>
        </w:tc>
        <w:tc>
          <w:tcPr>
            <w:tcW w:w="700" w:type="dxa"/>
            <w:vAlign w:val="bottom"/>
            <w:shd w:val="clear" w:color="auto" w:fill="003763"/>
          </w:tcPr>
          <w:p>
            <w:pPr>
              <w:jc w:val="center"/>
              <w:ind w:right="97"/>
              <w:spacing w:after="0"/>
              <w:rPr>
                <w:sz w:val="20"/>
                <w:szCs w:val="20"/>
                <w:color w:val="auto"/>
              </w:rPr>
            </w:pPr>
            <w:r>
              <w:rPr>
                <w:rFonts w:ascii="Arial" w:cs="Arial" w:eastAsia="Arial" w:hAnsi="Arial"/>
                <w:sz w:val="13"/>
                <w:szCs w:val="13"/>
                <w:b w:val="1"/>
                <w:bCs w:val="1"/>
                <w:color w:val="FFFFFF"/>
                <w:w w:val="87"/>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Wells</w:t>
            </w:r>
          </w:p>
        </w:tc>
        <w:tc>
          <w:tcPr>
            <w:tcW w:w="240" w:type="dxa"/>
            <w:vAlign w:val="bottom"/>
            <w:vMerge w:val="restart"/>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​213,267</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240"/>
              <w:spacing w:after="0"/>
              <w:rPr>
                <w:sz w:val="20"/>
                <w:szCs w:val="20"/>
                <w:color w:val="auto"/>
              </w:rPr>
            </w:pPr>
            <w:r>
              <w:rPr>
                <w:rFonts w:ascii="Arial" w:cs="Arial" w:eastAsia="Arial" w:hAnsi="Arial"/>
                <w:sz w:val="13"/>
                <w:szCs w:val="13"/>
                <w:color w:val="auto"/>
              </w:rPr>
              <w:t>​31,050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940" w:type="dxa"/>
            <w:vAlign w:val="bottom"/>
            <w:gridSpan w:val="2"/>
          </w:tcPr>
          <w:p>
            <w:pPr>
              <w:ind w:left="240"/>
              <w:spacing w:after="0"/>
              <w:rPr>
                <w:sz w:val="20"/>
                <w:szCs w:val="20"/>
                <w:color w:val="auto"/>
              </w:rPr>
            </w:pPr>
            <w:r>
              <w:rPr>
                <w:rFonts w:ascii="Arial" w:cs="Arial" w:eastAsia="Arial" w:hAnsi="Arial"/>
                <w:sz w:val="13"/>
                <w:szCs w:val="13"/>
                <w:color w:val="auto"/>
              </w:rPr>
              <w:t>​249,129</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​50,000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80" w:type="dxa"/>
            <w:vAlign w:val="bottom"/>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543,446</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2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040" w:type="dxa"/>
            <w:vAlign w:val="bottom"/>
            <w:tcBorders>
              <w:bottom w:val="single" w:sz="8" w:color="CCCCCC"/>
            </w:tcBorders>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84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tcPr>
          <w:p>
            <w:pPr>
              <w:spacing w:after="0"/>
              <w:rPr>
                <w:sz w:val="8"/>
                <w:szCs w:val="8"/>
                <w:color w:val="auto"/>
              </w:rPr>
            </w:pPr>
          </w:p>
        </w:tc>
        <w:tc>
          <w:tcPr>
            <w:tcW w:w="28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62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80" w:type="dxa"/>
            <w:vAlign w:val="bottom"/>
            <w:tcBorders>
              <w:bottom w:val="single" w:sz="8" w:color="CCCCCC"/>
            </w:tcBorders>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shd w:val="clear" w:color="auto" w:fill="F2F2F2"/>
          </w:tcPr>
          <w:p>
            <w:pPr>
              <w:ind w:left="20"/>
              <w:spacing w:after="0"/>
              <w:rPr>
                <w:sz w:val="20"/>
                <w:szCs w:val="20"/>
                <w:color w:val="auto"/>
              </w:rPr>
            </w:pPr>
            <w:r>
              <w:rPr>
                <w:rFonts w:ascii="Arial" w:cs="Arial" w:eastAsia="Arial" w:hAnsi="Arial"/>
                <w:sz w:val="13"/>
                <w:szCs w:val="13"/>
                <w:color w:val="auto"/>
              </w:rPr>
              <w:t>Foster</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F2F2F2"/>
          </w:tcPr>
          <w:p>
            <w:pPr>
              <w:ind w:left="120"/>
              <w:spacing w:after="0"/>
              <w:rPr>
                <w:sz w:val="20"/>
                <w:szCs w:val="20"/>
                <w:color w:val="auto"/>
              </w:rPr>
            </w:pPr>
            <w:r>
              <w:rPr>
                <w:rFonts w:ascii="Arial" w:cs="Arial" w:eastAsia="Arial" w:hAnsi="Arial"/>
                <w:sz w:val="13"/>
                <w:szCs w:val="13"/>
                <w:color w:val="auto"/>
              </w:rPr>
              <w:t>​ 93,063</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040" w:type="dxa"/>
            <w:vAlign w:val="bottom"/>
            <w:shd w:val="clear" w:color="auto" w:fill="F2F2F2"/>
          </w:tcPr>
          <w:p>
            <w:pPr>
              <w:ind w:left="440"/>
              <w:spacing w:after="0"/>
              <w:rPr>
                <w:sz w:val="20"/>
                <w:szCs w:val="20"/>
                <w:color w:val="auto"/>
              </w:rPr>
            </w:pPr>
            <w:r>
              <w:rPr>
                <w:rFonts w:ascii="Arial" w:cs="Arial" w:eastAsia="Arial" w:hAnsi="Arial"/>
                <w:sz w:val="13"/>
                <w:szCs w:val="13"/>
                <w:color w:val="auto"/>
              </w:rPr>
              <w:t>​ 8</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840" w:type="dxa"/>
            <w:vAlign w:val="bottom"/>
            <w:shd w:val="clear" w:color="auto" w:fill="F2F2F2"/>
          </w:tcPr>
          <w:p>
            <w:pPr>
              <w:ind w:left="240"/>
              <w:spacing w:after="0"/>
              <w:rPr>
                <w:sz w:val="20"/>
                <w:szCs w:val="20"/>
                <w:color w:val="auto"/>
              </w:rPr>
            </w:pPr>
            <w:r>
              <w:rPr>
                <w:rFonts w:ascii="Arial" w:cs="Arial" w:eastAsia="Arial" w:hAnsi="Arial"/>
                <w:sz w:val="13"/>
                <w:szCs w:val="13"/>
                <w:color w:val="auto"/>
              </w:rPr>
              <w:t>​31,050</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940" w:type="dxa"/>
            <w:vAlign w:val="bottom"/>
            <w:gridSpan w:val="2"/>
            <w:shd w:val="clear" w:color="auto" w:fill="F2F2F2"/>
          </w:tcPr>
          <w:p>
            <w:pPr>
              <w:ind w:left="240"/>
              <w:spacing w:after="0"/>
              <w:rPr>
                <w:sz w:val="20"/>
                <w:szCs w:val="20"/>
                <w:color w:val="auto"/>
              </w:rPr>
            </w:pPr>
            <w:r>
              <w:rPr>
                <w:rFonts w:ascii="Arial" w:cs="Arial" w:eastAsia="Arial" w:hAnsi="Arial"/>
                <w:sz w:val="13"/>
                <w:szCs w:val="13"/>
                <w:color w:val="auto"/>
              </w:rPr>
              <w:t>​121,794</w:t>
            </w:r>
          </w:p>
        </w:tc>
        <w:tc>
          <w:tcPr>
            <w:tcW w:w="18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620" w:type="dxa"/>
            <w:vAlign w:val="bottom"/>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F2F2F2"/>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560" w:type="dxa"/>
            <w:vAlign w:val="bottom"/>
            <w:shd w:val="clear" w:color="auto" w:fill="F2F2F2"/>
          </w:tcPr>
          <w:p>
            <w:pPr>
              <w:ind w:left="18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80" w:type="dxa"/>
            <w:vAlign w:val="bottom"/>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F2F2F2"/>
          </w:tcPr>
          <w:p>
            <w:pPr>
              <w:ind w:left="100"/>
              <w:spacing w:after="0"/>
              <w:rPr>
                <w:sz w:val="20"/>
                <w:szCs w:val="20"/>
                <w:color w:val="auto"/>
              </w:rPr>
            </w:pPr>
            <w:r>
              <w:rPr>
                <w:rFonts w:ascii="Arial" w:cs="Arial" w:eastAsia="Arial" w:hAnsi="Arial"/>
                <w:sz w:val="13"/>
                <w:szCs w:val="13"/>
                <w:color w:val="auto"/>
              </w:rPr>
              <w:t>245,915</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vMerge w:val="continue"/>
            <w:shd w:val="clear" w:color="auto" w:fill="F2F2F2"/>
          </w:tcPr>
          <w:p>
            <w:pPr>
              <w:spacing w:after="0"/>
              <w:rPr>
                <w:sz w:val="8"/>
                <w:szCs w:val="8"/>
                <w:color w:val="auto"/>
              </w:rPr>
            </w:pPr>
          </w:p>
        </w:tc>
        <w:tc>
          <w:tcPr>
            <w:tcW w:w="220" w:type="dxa"/>
            <w:vAlign w:val="bottom"/>
            <w:tcBorders>
              <w:bottom w:val="single" w:sz="8" w:color="CCCCCC"/>
            </w:tcBorders>
            <w:shd w:val="clear" w:color="auto" w:fill="F2F2F2"/>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1040" w:type="dxa"/>
            <w:vAlign w:val="bottom"/>
            <w:tcBorders>
              <w:bottom w:val="single" w:sz="8" w:color="CCCCCC"/>
            </w:tcBorders>
            <w:shd w:val="clear" w:color="auto" w:fill="F2F2F2"/>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84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28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80" w:type="dxa"/>
            <w:vAlign w:val="bottom"/>
            <w:tcBorders>
              <w:bottom w:val="single" w:sz="8" w:color="CCCCCC"/>
            </w:tcBorders>
            <w:vMerge w:val="continue"/>
            <w:shd w:val="clear" w:color="auto" w:fill="F2F2F2"/>
          </w:tcPr>
          <w:p>
            <w:pPr>
              <w:spacing w:after="0"/>
              <w:rPr>
                <w:sz w:val="8"/>
                <w:szCs w:val="8"/>
                <w:color w:val="auto"/>
              </w:rPr>
            </w:pPr>
          </w:p>
        </w:tc>
        <w:tc>
          <w:tcPr>
            <w:tcW w:w="62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shd w:val="clear" w:color="auto" w:fill="F2F2F2"/>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18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Karuturi</w:t>
            </w:r>
          </w:p>
        </w:tc>
        <w:tc>
          <w:tcPr>
            <w:tcW w:w="240" w:type="dxa"/>
            <w:vAlign w:val="bottom"/>
            <w:vMerge w:val="restart"/>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 68,553</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240"/>
              <w:spacing w:after="0"/>
              <w:rPr>
                <w:sz w:val="20"/>
                <w:szCs w:val="20"/>
                <w:color w:val="auto"/>
              </w:rPr>
            </w:pPr>
            <w:r>
              <w:rPr>
                <w:rFonts w:ascii="Arial" w:cs="Arial" w:eastAsia="Arial" w:hAnsi="Arial"/>
                <w:sz w:val="13"/>
                <w:szCs w:val="13"/>
                <w:color w:val="auto"/>
              </w:rPr>
              <w:t>​20,700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940" w:type="dxa"/>
            <w:vAlign w:val="bottom"/>
            <w:gridSpan w:val="2"/>
          </w:tcPr>
          <w:p>
            <w:pPr>
              <w:ind w:left="240"/>
              <w:spacing w:after="0"/>
              <w:rPr>
                <w:sz w:val="20"/>
                <w:szCs w:val="20"/>
                <w:color w:val="auto"/>
              </w:rPr>
            </w:pPr>
            <w:r>
              <w:rPr>
                <w:rFonts w:ascii="Arial" w:cs="Arial" w:eastAsia="Arial" w:hAnsi="Arial"/>
                <w:sz w:val="13"/>
                <w:szCs w:val="13"/>
                <w:color w:val="auto"/>
              </w:rPr>
              <w:t>​ 87,196</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​13,000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80" w:type="dxa"/>
            <w:vAlign w:val="bottom"/>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189,449</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2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040" w:type="dxa"/>
            <w:vAlign w:val="bottom"/>
            <w:tcBorders>
              <w:bottom w:val="single" w:sz="8" w:color="CCCCCC"/>
            </w:tcBorders>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84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tcPr>
          <w:p>
            <w:pPr>
              <w:spacing w:after="0"/>
              <w:rPr>
                <w:sz w:val="8"/>
                <w:szCs w:val="8"/>
                <w:color w:val="auto"/>
              </w:rPr>
            </w:pPr>
          </w:p>
        </w:tc>
        <w:tc>
          <w:tcPr>
            <w:tcW w:w="28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62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80" w:type="dxa"/>
            <w:vAlign w:val="bottom"/>
            <w:tcBorders>
              <w:bottom w:val="single" w:sz="8" w:color="CCCCCC"/>
            </w:tcBorders>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shd w:val="clear" w:color="auto" w:fill="F2F2F2"/>
          </w:tcPr>
          <w:p>
            <w:pPr>
              <w:ind w:left="20"/>
              <w:spacing w:after="0"/>
              <w:rPr>
                <w:sz w:val="20"/>
                <w:szCs w:val="20"/>
                <w:color w:val="auto"/>
              </w:rPr>
            </w:pPr>
            <w:r>
              <w:rPr>
                <w:rFonts w:ascii="Arial" w:cs="Arial" w:eastAsia="Arial" w:hAnsi="Arial"/>
                <w:sz w:val="13"/>
                <w:szCs w:val="13"/>
                <w:color w:val="auto"/>
              </w:rPr>
              <w:t>Ryan</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F2F2F2"/>
          </w:tcPr>
          <w:p>
            <w:pPr>
              <w:ind w:left="120"/>
              <w:spacing w:after="0"/>
              <w:rPr>
                <w:sz w:val="20"/>
                <w:szCs w:val="20"/>
                <w:color w:val="auto"/>
              </w:rPr>
            </w:pPr>
            <w:r>
              <w:rPr>
                <w:rFonts w:ascii="Arial" w:cs="Arial" w:eastAsia="Arial" w:hAnsi="Arial"/>
                <w:sz w:val="13"/>
                <w:szCs w:val="13"/>
                <w:color w:val="auto"/>
              </w:rPr>
              <w:t>​ 62,608</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040" w:type="dxa"/>
            <w:vAlign w:val="bottom"/>
            <w:shd w:val="clear" w:color="auto" w:fill="F2F2F2"/>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840" w:type="dxa"/>
            <w:vAlign w:val="bottom"/>
            <w:shd w:val="clear" w:color="auto" w:fill="F2F2F2"/>
          </w:tcPr>
          <w:p>
            <w:pPr>
              <w:ind w:left="240"/>
              <w:spacing w:after="0"/>
              <w:rPr>
                <w:sz w:val="20"/>
                <w:szCs w:val="20"/>
                <w:color w:val="auto"/>
              </w:rPr>
            </w:pPr>
            <w:r>
              <w:rPr>
                <w:rFonts w:ascii="Arial" w:cs="Arial" w:eastAsia="Arial" w:hAnsi="Arial"/>
                <w:sz w:val="13"/>
                <w:szCs w:val="13"/>
                <w:color w:val="auto"/>
              </w:rPr>
              <w:t>​20,700</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940" w:type="dxa"/>
            <w:vAlign w:val="bottom"/>
            <w:gridSpan w:val="2"/>
            <w:shd w:val="clear" w:color="auto" w:fill="F2F2F2"/>
          </w:tcPr>
          <w:p>
            <w:pPr>
              <w:ind w:left="240"/>
              <w:spacing w:after="0"/>
              <w:rPr>
                <w:sz w:val="20"/>
                <w:szCs w:val="20"/>
                <w:color w:val="auto"/>
              </w:rPr>
            </w:pPr>
            <w:r>
              <w:rPr>
                <w:rFonts w:ascii="Arial" w:cs="Arial" w:eastAsia="Arial" w:hAnsi="Arial"/>
                <w:sz w:val="13"/>
                <w:szCs w:val="13"/>
                <w:color w:val="auto"/>
              </w:rPr>
              <w:t>​ 48,043</w:t>
            </w:r>
          </w:p>
        </w:tc>
        <w:tc>
          <w:tcPr>
            <w:tcW w:w="18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620" w:type="dxa"/>
            <w:vAlign w:val="bottom"/>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F2F2F2"/>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920" w:type="dxa"/>
            <w:vAlign w:val="bottom"/>
            <w:gridSpan w:val="2"/>
            <w:shd w:val="clear" w:color="auto" w:fill="F2F2F2"/>
          </w:tcPr>
          <w:p>
            <w:pPr>
              <w:ind w:left="280"/>
              <w:spacing w:after="0"/>
              <w:rPr>
                <w:sz w:val="20"/>
                <w:szCs w:val="20"/>
                <w:color w:val="auto"/>
              </w:rPr>
            </w:pPr>
            <w:r>
              <w:rPr>
                <w:rFonts w:ascii="Arial" w:cs="Arial" w:eastAsia="Arial" w:hAnsi="Arial"/>
                <w:sz w:val="13"/>
                <w:szCs w:val="13"/>
                <w:color w:val="auto"/>
              </w:rPr>
              <w:t>​41,530</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80" w:type="dxa"/>
            <w:vAlign w:val="bottom"/>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F2F2F2"/>
          </w:tcPr>
          <w:p>
            <w:pPr>
              <w:ind w:left="100"/>
              <w:spacing w:after="0"/>
              <w:rPr>
                <w:sz w:val="20"/>
                <w:szCs w:val="20"/>
                <w:color w:val="auto"/>
              </w:rPr>
            </w:pPr>
            <w:r>
              <w:rPr>
                <w:rFonts w:ascii="Arial" w:cs="Arial" w:eastAsia="Arial" w:hAnsi="Arial"/>
                <w:sz w:val="13"/>
                <w:szCs w:val="13"/>
                <w:color w:val="auto"/>
              </w:rPr>
              <w:t>172,881</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vMerge w:val="continue"/>
            <w:shd w:val="clear" w:color="auto" w:fill="F2F2F2"/>
          </w:tcPr>
          <w:p>
            <w:pPr>
              <w:spacing w:after="0"/>
              <w:rPr>
                <w:sz w:val="8"/>
                <w:szCs w:val="8"/>
                <w:color w:val="auto"/>
              </w:rPr>
            </w:pPr>
          </w:p>
        </w:tc>
        <w:tc>
          <w:tcPr>
            <w:tcW w:w="220" w:type="dxa"/>
            <w:vAlign w:val="bottom"/>
            <w:tcBorders>
              <w:bottom w:val="single" w:sz="8" w:color="CCCCCC"/>
            </w:tcBorders>
            <w:shd w:val="clear" w:color="auto" w:fill="F2F2F2"/>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1040" w:type="dxa"/>
            <w:vAlign w:val="bottom"/>
            <w:tcBorders>
              <w:bottom w:val="single" w:sz="8" w:color="CCCCCC"/>
            </w:tcBorders>
            <w:shd w:val="clear" w:color="auto" w:fill="F2F2F2"/>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84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28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80" w:type="dxa"/>
            <w:vAlign w:val="bottom"/>
            <w:tcBorders>
              <w:bottom w:val="single" w:sz="8" w:color="CCCCCC"/>
            </w:tcBorders>
            <w:vMerge w:val="continue"/>
            <w:shd w:val="clear" w:color="auto" w:fill="F2F2F2"/>
          </w:tcPr>
          <w:p>
            <w:pPr>
              <w:spacing w:after="0"/>
              <w:rPr>
                <w:sz w:val="8"/>
                <w:szCs w:val="8"/>
                <w:color w:val="auto"/>
              </w:rPr>
            </w:pPr>
          </w:p>
        </w:tc>
        <w:tc>
          <w:tcPr>
            <w:tcW w:w="62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shd w:val="clear" w:color="auto" w:fill="F2F2F2"/>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18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Harkel-Rumford</w:t>
            </w:r>
          </w:p>
        </w:tc>
        <w:tc>
          <w:tcPr>
            <w:tcW w:w="240" w:type="dxa"/>
            <w:vAlign w:val="bottom"/>
            <w:vMerge w:val="restart"/>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 74,502</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240"/>
              <w:spacing w:after="0"/>
              <w:rPr>
                <w:sz w:val="20"/>
                <w:szCs w:val="20"/>
                <w:color w:val="auto"/>
              </w:rPr>
            </w:pPr>
            <w:r>
              <w:rPr>
                <w:rFonts w:ascii="Arial" w:cs="Arial" w:eastAsia="Arial" w:hAnsi="Arial"/>
                <w:sz w:val="13"/>
                <w:szCs w:val="13"/>
                <w:color w:val="auto"/>
              </w:rPr>
              <w:t>​20,700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940" w:type="dxa"/>
            <w:vAlign w:val="bottom"/>
            <w:gridSpan w:val="2"/>
          </w:tcPr>
          <w:p>
            <w:pPr>
              <w:ind w:left="240"/>
              <w:spacing w:after="0"/>
              <w:rPr>
                <w:sz w:val="20"/>
                <w:szCs w:val="20"/>
                <w:color w:val="auto"/>
              </w:rPr>
            </w:pPr>
            <w:r>
              <w:rPr>
                <w:rFonts w:ascii="Arial" w:cs="Arial" w:eastAsia="Arial" w:hAnsi="Arial"/>
                <w:sz w:val="13"/>
                <w:szCs w:val="13"/>
                <w:color w:val="auto"/>
              </w:rPr>
              <w:t>​ 41,368</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​59,095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80" w:type="dxa"/>
            <w:vAlign w:val="bottom"/>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ind w:left="100"/>
              <w:spacing w:after="0"/>
              <w:rPr>
                <w:sz w:val="20"/>
                <w:szCs w:val="20"/>
                <w:color w:val="auto"/>
              </w:rPr>
            </w:pPr>
            <w:r>
              <w:rPr>
                <w:rFonts w:ascii="Arial" w:cs="Arial" w:eastAsia="Arial" w:hAnsi="Arial"/>
                <w:sz w:val="13"/>
                <w:szCs w:val="13"/>
                <w:color w:val="auto"/>
              </w:rPr>
              <w:t>195,664</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2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040" w:type="dxa"/>
            <w:vAlign w:val="bottom"/>
            <w:tcBorders>
              <w:bottom w:val="single" w:sz="8" w:color="CCCCCC"/>
            </w:tcBorders>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84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tcPr>
          <w:p>
            <w:pPr>
              <w:spacing w:after="0"/>
              <w:rPr>
                <w:sz w:val="8"/>
                <w:szCs w:val="8"/>
                <w:color w:val="auto"/>
              </w:rPr>
            </w:pPr>
          </w:p>
        </w:tc>
        <w:tc>
          <w:tcPr>
            <w:tcW w:w="28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62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80" w:type="dxa"/>
            <w:vAlign w:val="bottom"/>
            <w:tcBorders>
              <w:bottom w:val="single" w:sz="8" w:color="CCCCCC"/>
            </w:tcBorders>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shd w:val="clear" w:color="auto" w:fill="F2F2F2"/>
          </w:tcPr>
          <w:p>
            <w:pPr>
              <w:ind w:left="20"/>
              <w:spacing w:after="0"/>
              <w:rPr>
                <w:sz w:val="20"/>
                <w:szCs w:val="20"/>
                <w:color w:val="auto"/>
              </w:rPr>
            </w:pPr>
            <w:r>
              <w:rPr>
                <w:rFonts w:ascii="Arial" w:cs="Arial" w:eastAsia="Arial" w:hAnsi="Arial"/>
                <w:sz w:val="13"/>
                <w:szCs w:val="13"/>
                <w:color w:val="auto"/>
              </w:rPr>
              <w:t>Lesar</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F2F2F2"/>
          </w:tcPr>
          <w:p>
            <w:pPr>
              <w:ind w:left="120"/>
              <w:spacing w:after="0"/>
              <w:rPr>
                <w:sz w:val="20"/>
                <w:szCs w:val="20"/>
                <w:color w:val="auto"/>
              </w:rPr>
            </w:pPr>
            <w:r>
              <w:rPr>
                <w:rFonts w:ascii="Arial" w:cs="Arial" w:eastAsia="Arial" w:hAnsi="Arial"/>
                <w:sz w:val="13"/>
                <w:szCs w:val="13"/>
                <w:color w:val="auto"/>
              </w:rPr>
              <w:t>​ 59,261</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040" w:type="dxa"/>
            <w:vAlign w:val="bottom"/>
            <w:shd w:val="clear" w:color="auto" w:fill="F2F2F2"/>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840" w:type="dxa"/>
            <w:vAlign w:val="bottom"/>
            <w:shd w:val="clear" w:color="auto" w:fill="F2F2F2"/>
          </w:tcPr>
          <w:p>
            <w:pPr>
              <w:ind w:left="240"/>
              <w:spacing w:after="0"/>
              <w:rPr>
                <w:sz w:val="20"/>
                <w:szCs w:val="20"/>
                <w:color w:val="auto"/>
              </w:rPr>
            </w:pPr>
            <w:r>
              <w:rPr>
                <w:rFonts w:ascii="Arial" w:cs="Arial" w:eastAsia="Arial" w:hAnsi="Arial"/>
                <w:sz w:val="13"/>
                <w:szCs w:val="13"/>
                <w:color w:val="auto"/>
              </w:rPr>
              <w:t>​20,769</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280" w:type="dxa"/>
            <w:vAlign w:val="bottom"/>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F2F2F2"/>
          </w:tcPr>
          <w:p>
            <w:pPr>
              <w:ind w:left="30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620" w:type="dxa"/>
            <w:vAlign w:val="bottom"/>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F2F2F2"/>
          </w:tcPr>
          <w:p>
            <w:pPr>
              <w:jc w:val="right"/>
              <w:ind w:right="2"/>
              <w:spacing w:after="0"/>
              <w:rPr>
                <w:sz w:val="20"/>
                <w:szCs w:val="20"/>
                <w:color w:val="auto"/>
              </w:rPr>
            </w:pPr>
            <w:r>
              <w:rPr>
                <w:rFonts w:ascii="Arial" w:cs="Arial" w:eastAsia="Arial" w:hAnsi="Arial"/>
                <w:sz w:val="13"/>
                <w:szCs w:val="13"/>
                <w:color w:val="auto"/>
              </w:rPr>
              <w:t>​</w:t>
            </w:r>
          </w:p>
        </w:tc>
        <w:tc>
          <w:tcPr>
            <w:tcW w:w="38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920" w:type="dxa"/>
            <w:vAlign w:val="bottom"/>
            <w:gridSpan w:val="2"/>
            <w:shd w:val="clear" w:color="auto" w:fill="F2F2F2"/>
          </w:tcPr>
          <w:p>
            <w:pPr>
              <w:ind w:left="280"/>
              <w:spacing w:after="0"/>
              <w:rPr>
                <w:sz w:val="20"/>
                <w:szCs w:val="20"/>
                <w:color w:val="auto"/>
              </w:rPr>
            </w:pPr>
            <w:r>
              <w:rPr>
                <w:rFonts w:ascii="Arial" w:cs="Arial" w:eastAsia="Arial" w:hAnsi="Arial"/>
                <w:sz w:val="13"/>
                <w:szCs w:val="13"/>
                <w:color w:val="auto"/>
              </w:rPr>
              <w:t>​50,000</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180" w:type="dxa"/>
            <w:vAlign w:val="bottom"/>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F2F2F2"/>
          </w:tcPr>
          <w:p>
            <w:pPr>
              <w:ind w:left="100"/>
              <w:spacing w:after="0"/>
              <w:rPr>
                <w:sz w:val="20"/>
                <w:szCs w:val="20"/>
                <w:color w:val="auto"/>
              </w:rPr>
            </w:pPr>
            <w:r>
              <w:rPr>
                <w:rFonts w:ascii="Arial" w:cs="Arial" w:eastAsia="Arial" w:hAnsi="Arial"/>
                <w:sz w:val="13"/>
                <w:szCs w:val="13"/>
                <w:color w:val="auto"/>
              </w:rPr>
              <w:t>130,030</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vMerge w:val="continue"/>
            <w:shd w:val="clear" w:color="auto" w:fill="F2F2F2"/>
          </w:tcPr>
          <w:p>
            <w:pPr>
              <w:spacing w:after="0"/>
              <w:rPr>
                <w:sz w:val="8"/>
                <w:szCs w:val="8"/>
                <w:color w:val="auto"/>
              </w:rPr>
            </w:pPr>
          </w:p>
        </w:tc>
        <w:tc>
          <w:tcPr>
            <w:tcW w:w="220" w:type="dxa"/>
            <w:vAlign w:val="bottom"/>
            <w:tcBorders>
              <w:bottom w:val="single" w:sz="8" w:color="CCCCCC"/>
            </w:tcBorders>
            <w:shd w:val="clear" w:color="auto" w:fill="F2F2F2"/>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1040" w:type="dxa"/>
            <w:vAlign w:val="bottom"/>
            <w:tcBorders>
              <w:bottom w:val="single" w:sz="8" w:color="CCCCCC"/>
            </w:tcBorders>
            <w:shd w:val="clear" w:color="auto" w:fill="F2F2F2"/>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84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28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80" w:type="dxa"/>
            <w:vAlign w:val="bottom"/>
            <w:tcBorders>
              <w:bottom w:val="single" w:sz="8" w:color="CCCCCC"/>
            </w:tcBorders>
            <w:vMerge w:val="continue"/>
            <w:shd w:val="clear" w:color="auto" w:fill="F2F2F2"/>
          </w:tcPr>
          <w:p>
            <w:pPr>
              <w:spacing w:after="0"/>
              <w:rPr>
                <w:sz w:val="8"/>
                <w:szCs w:val="8"/>
                <w:color w:val="auto"/>
              </w:rPr>
            </w:pPr>
          </w:p>
        </w:tc>
        <w:tc>
          <w:tcPr>
            <w:tcW w:w="620" w:type="dxa"/>
            <w:vAlign w:val="bottom"/>
            <w:tcBorders>
              <w:bottom w:val="single" w:sz="8" w:color="CCCCCC"/>
            </w:tcBorders>
            <w:shd w:val="clear" w:color="auto" w:fill="F2F2F2"/>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shd w:val="clear" w:color="auto" w:fill="F2F2F2"/>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360" w:type="dxa"/>
            <w:vAlign w:val="bottom"/>
            <w:tcBorders>
              <w:bottom w:val="single" w:sz="8" w:color="CCCCCC"/>
            </w:tcBorders>
            <w:shd w:val="clear" w:color="auto" w:fill="F2F2F2"/>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vMerge w:val="continue"/>
            <w:shd w:val="clear" w:color="auto" w:fill="F2F2F2"/>
          </w:tcPr>
          <w:p>
            <w:pPr>
              <w:spacing w:after="0"/>
              <w:rPr>
                <w:sz w:val="8"/>
                <w:szCs w:val="8"/>
                <w:color w:val="auto"/>
              </w:rPr>
            </w:pPr>
          </w:p>
        </w:tc>
        <w:tc>
          <w:tcPr>
            <w:tcW w:w="18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Wilson</w:t>
            </w:r>
          </w:p>
        </w:tc>
        <w:tc>
          <w:tcPr>
            <w:tcW w:w="240" w:type="dxa"/>
            <w:vAlign w:val="bottom"/>
            <w:vMerge w:val="restart"/>
          </w:tcPr>
          <w:p>
            <w:pPr>
              <w:ind w:left="140"/>
              <w:spacing w:after="0"/>
              <w:rPr>
                <w:sz w:val="20"/>
                <w:szCs w:val="20"/>
                <w:color w:val="auto"/>
              </w:rPr>
            </w:pPr>
            <w:r>
              <w:rPr>
                <w:rFonts w:ascii="Arial" w:cs="Arial" w:eastAsia="Arial" w:hAnsi="Arial"/>
                <w:sz w:val="13"/>
                <w:szCs w:val="13"/>
                <w:color w:val="auto"/>
              </w:rPr>
              <w:t>​ ​</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ind w:left="22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ind w:left="240"/>
              <w:spacing w:after="0"/>
              <w:rPr>
                <w:sz w:val="20"/>
                <w:szCs w:val="20"/>
                <w:color w:val="auto"/>
              </w:rPr>
            </w:pPr>
            <w:r>
              <w:rPr>
                <w:rFonts w:ascii="Arial" w:cs="Arial" w:eastAsia="Arial" w:hAnsi="Arial"/>
                <w:sz w:val="13"/>
                <w:szCs w:val="13"/>
                <w:color w:val="auto"/>
              </w:rPr>
              <w:t>​31,050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 ​</w:t>
            </w:r>
          </w:p>
        </w:tc>
        <w:tc>
          <w:tcPr>
            <w:tcW w:w="280" w:type="dxa"/>
            <w:vAlign w:val="bottom"/>
          </w:tcPr>
          <w:p>
            <w:pPr>
              <w:ind w:left="240"/>
              <w:spacing w:after="0"/>
              <w:rPr>
                <w:sz w:val="20"/>
                <w:szCs w:val="20"/>
                <w:color w:val="auto"/>
              </w:rPr>
            </w:pPr>
            <w:r>
              <w:rPr>
                <w:rFonts w:ascii="Arial" w:cs="Arial" w:eastAsia="Arial" w:hAnsi="Arial"/>
                <w:sz w:val="13"/>
                <w:szCs w:val="13"/>
                <w:color w:val="auto"/>
              </w:rPr>
              <w:t>​</w:t>
            </w:r>
          </w:p>
        </w:tc>
        <w:tc>
          <w:tcPr>
            <w:tcW w:w="66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620" w:type="dxa"/>
            <w:vAlign w:val="bottom"/>
          </w:tcPr>
          <w:p>
            <w:pPr>
              <w:ind w:lef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​999,750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ind w:left="280"/>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​1,030,800</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2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040" w:type="dxa"/>
            <w:vAlign w:val="bottom"/>
            <w:tcBorders>
              <w:bottom w:val="single" w:sz="8" w:color="CCCCCC"/>
            </w:tcBorders>
          </w:tcPr>
          <w:p>
            <w:pPr>
              <w:ind w:left="440"/>
              <w:spacing w:after="0" w:line="9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CCCCCC"/>
            </w:tcBorders>
            <w:vMerge w:val="continue"/>
          </w:tcPr>
          <w:p>
            <w:pPr>
              <w:spacing w:after="0"/>
              <w:rPr>
                <w:sz w:val="8"/>
                <w:szCs w:val="8"/>
                <w:color w:val="auto"/>
              </w:rPr>
            </w:pPr>
          </w:p>
        </w:tc>
        <w:tc>
          <w:tcPr>
            <w:tcW w:w="84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CCCCCC"/>
            </w:tcBorders>
            <w:vMerge w:val="continue"/>
          </w:tcPr>
          <w:p>
            <w:pPr>
              <w:spacing w:after="0"/>
              <w:rPr>
                <w:sz w:val="8"/>
                <w:szCs w:val="8"/>
                <w:color w:val="auto"/>
              </w:rPr>
            </w:pPr>
          </w:p>
        </w:tc>
        <w:tc>
          <w:tcPr>
            <w:tcW w:w="28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620" w:type="dxa"/>
            <w:vAlign w:val="bottom"/>
            <w:tcBorders>
              <w:bottom w:val="single" w:sz="8" w:color="CCCCCC"/>
            </w:tcBorders>
          </w:tcPr>
          <w:p>
            <w:pPr>
              <w:ind w:left="24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jc w:val="right"/>
              <w:ind w:right="2"/>
              <w:spacing w:after="0" w:line="95" w:lineRule="exact"/>
              <w:rPr>
                <w:sz w:val="20"/>
                <w:szCs w:val="20"/>
                <w:color w:val="auto"/>
              </w:rPr>
            </w:pPr>
            <w:r>
              <w:rPr>
                <w:rFonts w:ascii="Arial" w:cs="Arial" w:eastAsia="Arial" w:hAnsi="Arial"/>
                <w:sz w:val="10"/>
                <w:szCs w:val="10"/>
                <w:color w:val="auto"/>
              </w:rPr>
              <w:t>​ ​ ​​</w:t>
            </w:r>
          </w:p>
        </w:tc>
        <w:tc>
          <w:tcPr>
            <w:tcW w:w="38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360" w:type="dxa"/>
            <w:vAlign w:val="bottom"/>
            <w:tcBorders>
              <w:bottom w:val="single" w:sz="8" w:color="CCCCCC"/>
            </w:tcBorders>
          </w:tcPr>
          <w:p>
            <w:pPr>
              <w:ind w:left="28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80" w:type="dxa"/>
            <w:vAlign w:val="bottom"/>
            <w:tcBorders>
              <w:bottom w:val="single" w:sz="8" w:color="CCCCCC"/>
            </w:tcBorders>
          </w:tcPr>
          <w:p>
            <w:pPr>
              <w:ind w:left="160"/>
              <w:spacing w:after="0"/>
              <w:rPr>
                <w:sz w:val="20"/>
                <w:szCs w:val="20"/>
                <w:color w:val="auto"/>
              </w:rPr>
            </w:pPr>
            <w:r>
              <w:rPr>
                <w:rFonts w:ascii="Arial" w:cs="Arial" w:eastAsia="Arial" w:hAnsi="Arial"/>
                <w:sz w:val="1"/>
                <w:szCs w:val="1"/>
                <w:color w:val="auto"/>
                <w:w w:val="4294942296"/>
              </w:rPr>
              <w:t>​</w:t>
            </w:r>
          </w:p>
        </w:tc>
        <w:tc>
          <w:tcPr>
            <w:tcW w:w="7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100" w:right="140" w:hanging="190"/>
        <w:spacing w:after="0" w:line="257" w:lineRule="auto"/>
        <w:tabs>
          <w:tab w:leader="none" w:pos="1100" w:val="left"/>
        </w:tabs>
        <w:numPr>
          <w:ilvl w:val="0"/>
          <w:numId w:val="109"/>
        </w:numPr>
        <w:rPr>
          <w:rFonts w:ascii="Arial" w:cs="Arial" w:eastAsia="Arial" w:hAnsi="Arial"/>
          <w:sz w:val="19"/>
          <w:szCs w:val="19"/>
          <w:color w:val="auto"/>
          <w:vertAlign w:val="superscript"/>
        </w:rPr>
      </w:pPr>
      <w:r>
        <w:rPr>
          <w:rFonts w:ascii="Arial" w:cs="Arial" w:eastAsia="Arial" w:hAnsi="Arial"/>
          <w:sz w:val="12"/>
          <w:szCs w:val="12"/>
          <w:color w:val="auto"/>
        </w:rPr>
        <w:t>For Messrs. Wells and Lesar, this amount includes the incremental cost to the Company attributable to security-related services provided to Messrs. Wells and Lesar during 2024, in accordance with security risk assessments conducted by independent security consultants, including the use of a car and security personnel, such as a security driver. Additionally, for Messrs. Wells, Foster, and Ryan and Mses. Karuturi and Harkel-Rumford, this amount includes incremental cost to the Company attributable to providing temporary security personnel at their personal residences in response to certain heightened security threats. These security-related services were provided to mitigate risk to the Company by supporting the safety, health, and well-being of our Chief Executive Officer and other named executive officers. The Company considers costs for security-related services to be business expenses rather than personal benefits to our named executive officers;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certain security personnel, including a security driver but excluding temporary security personnel provided at personal residences, includes the actual incremental cost of expenses incurred by such security personnel, but does not include the fixed costs associated with such personnel. The incremental cost of providing temporary security personnel at personal residences includes the amounts invoiced to CenterPoint Energy for the hourly rate of the security personnel for Mr. Wells of $76,032 and for each of Messrs. Foster and Ryan and Mses. Karuturi and Harkel-Rumford of $62,208.</w:t>
      </w:r>
    </w:p>
    <w:p>
      <w:pPr>
        <w:spacing w:after="0" w:line="71" w:lineRule="exact"/>
        <w:rPr>
          <w:rFonts w:ascii="Arial" w:cs="Arial" w:eastAsia="Arial" w:hAnsi="Arial"/>
          <w:sz w:val="19"/>
          <w:szCs w:val="19"/>
          <w:color w:val="auto"/>
          <w:vertAlign w:val="superscript"/>
        </w:rPr>
      </w:pPr>
    </w:p>
    <w:p>
      <w:pPr>
        <w:ind w:left="1100" w:right="40"/>
        <w:spacing w:after="0" w:line="249" w:lineRule="auto"/>
        <w:rPr>
          <w:rFonts w:ascii="Arial" w:cs="Arial" w:eastAsia="Arial" w:hAnsi="Arial"/>
          <w:sz w:val="19"/>
          <w:szCs w:val="19"/>
          <w:color w:val="auto"/>
          <w:vertAlign w:val="superscript"/>
        </w:rPr>
      </w:pPr>
      <w:r>
        <w:rPr>
          <w:rFonts w:ascii="Arial" w:cs="Arial" w:eastAsia="Arial" w:hAnsi="Arial"/>
          <w:sz w:val="13"/>
          <w:szCs w:val="13"/>
          <w:color w:val="auto"/>
        </w:rPr>
        <w:t>For Mr. Wells, due, in part, to efficiency and personal safety considerations as well as security risk considerations identified in a security risk assessment related to Mr. Wells conducted by an independent security consultant, this amount includes the incremental cost to the Company for personal travel on aircraft owned by the Company. The incremental cost for personal travel on aircraft owned by the Company includes variable operating costs such as landing, parking, hanger and dead-head costs, crew travel expenses, supplies and catering, fuel costs, and passenger ground transportation, and does not include an allocable share of fixed costs associated with the Company’s ownership of the aircraft. No amounts were included where spouses or family members accompanied the executives on Company aircraft flights because there was no incremental cost to the Company. For Messrs. Wells, Foster, and Lesar, due, in part, to efficiency and personal safety considerations as well as security risk considerations, this amount includes incremental costs to the Company for personal travel on aircraft provided by a third-party aircraft charter company. The incremental cost to the Company for personal travel on aircraft provided by a third-party aircraft charter company includes the amount invoiced to CenterPoint Energy for the hourly rate and operating costs of flights for Messrs. Wells, Foster, and Lesar of $111,891, $14,440, and $42,594, respectively. Amounts include incremental costs to the Company for spouses or family members accompanying executives provided by a third-party charter company.</w:t>
      </w:r>
    </w:p>
    <w:p>
      <w:pPr>
        <w:spacing w:after="0" w:line="75" w:lineRule="exact"/>
        <w:rPr>
          <w:rFonts w:ascii="Arial" w:cs="Arial" w:eastAsia="Arial" w:hAnsi="Arial"/>
          <w:sz w:val="19"/>
          <w:szCs w:val="19"/>
          <w:color w:val="auto"/>
          <w:vertAlign w:val="superscript"/>
        </w:rPr>
      </w:pPr>
    </w:p>
    <w:p>
      <w:pPr>
        <w:ind w:left="1100" w:right="500"/>
        <w:spacing w:after="0" w:line="286" w:lineRule="auto"/>
        <w:rPr>
          <w:rFonts w:ascii="Arial" w:cs="Arial" w:eastAsia="Arial" w:hAnsi="Arial"/>
          <w:sz w:val="19"/>
          <w:szCs w:val="19"/>
          <w:color w:val="auto"/>
          <w:vertAlign w:val="superscript"/>
        </w:rPr>
      </w:pPr>
      <w:r>
        <w:rPr>
          <w:rFonts w:ascii="Arial" w:cs="Arial" w:eastAsia="Arial" w:hAnsi="Arial"/>
          <w:sz w:val="13"/>
          <w:szCs w:val="13"/>
          <w:color w:val="auto"/>
        </w:rPr>
        <w:t>Additionally, for Messrs. Lesar, Wells, Foster, and Ms. Harkel-Rumford, the amount includes financial planning services of $15,000, $16,000, $16,000, and $10,406, respectively. Ms. Wilson did not receive perquisites valued in excess of $10,000 during 2024.</w:t>
      </w:r>
    </w:p>
    <w:p>
      <w:pPr>
        <w:spacing w:after="0" w:line="21" w:lineRule="exact"/>
        <w:rPr>
          <w:rFonts w:ascii="Arial" w:cs="Arial" w:eastAsia="Arial" w:hAnsi="Arial"/>
          <w:sz w:val="19"/>
          <w:szCs w:val="19"/>
          <w:color w:val="auto"/>
          <w:vertAlign w:val="superscript"/>
        </w:rPr>
      </w:pPr>
    </w:p>
    <w:p>
      <w:pPr>
        <w:ind w:left="1100" w:right="420" w:hanging="190"/>
        <w:spacing w:after="0" w:line="207" w:lineRule="auto"/>
        <w:tabs>
          <w:tab w:leader="none" w:pos="1100" w:val="left"/>
        </w:tabs>
        <w:numPr>
          <w:ilvl w:val="0"/>
          <w:numId w:val="109"/>
        </w:numPr>
        <w:rPr>
          <w:rFonts w:ascii="Arial" w:cs="Arial" w:eastAsia="Arial" w:hAnsi="Arial"/>
          <w:sz w:val="20"/>
          <w:szCs w:val="20"/>
          <w:color w:val="auto"/>
          <w:vertAlign w:val="superscript"/>
        </w:rPr>
      </w:pPr>
      <w:r>
        <w:rPr>
          <w:rFonts w:ascii="Arial" w:cs="Arial" w:eastAsia="Arial" w:hAnsi="Arial"/>
          <w:sz w:val="13"/>
          <w:szCs w:val="13"/>
          <w:color w:val="auto"/>
        </w:rPr>
        <w:t>For Mr. Foster, this amount reflects cash compensation provided to offset estimated taxes on the value of reward points received through participation in the Company’s volunteer rewards program that is generally available to all employees.</w:t>
      </w:r>
    </w:p>
    <w:p>
      <w:pPr>
        <w:ind w:left="1100" w:hanging="190"/>
        <w:spacing w:after="0" w:line="225" w:lineRule="auto"/>
        <w:tabs>
          <w:tab w:leader="none" w:pos="1100" w:val="left"/>
        </w:tabs>
        <w:numPr>
          <w:ilvl w:val="0"/>
          <w:numId w:val="109"/>
        </w:numPr>
        <w:rPr>
          <w:rFonts w:ascii="Arial" w:cs="Arial" w:eastAsia="Arial" w:hAnsi="Arial"/>
          <w:sz w:val="20"/>
          <w:szCs w:val="20"/>
          <w:color w:val="auto"/>
          <w:vertAlign w:val="superscript"/>
        </w:rPr>
      </w:pPr>
      <w:r>
        <w:rPr>
          <w:rFonts w:ascii="Arial" w:cs="Arial" w:eastAsia="Arial" w:hAnsi="Arial"/>
          <w:sz w:val="13"/>
          <w:szCs w:val="13"/>
          <w:color w:val="auto"/>
        </w:rPr>
        <w:t>These amounts represent CenterPoint Energy’s contributions to the savings plan, which is described under “Savings Plan and Savings Restoration Plans.”</w:t>
      </w:r>
    </w:p>
    <w:p>
      <w:pPr>
        <w:spacing w:after="0" w:line="75" w:lineRule="exact"/>
        <w:rPr>
          <w:rFonts w:ascii="Arial" w:cs="Arial" w:eastAsia="Arial" w:hAnsi="Arial"/>
          <w:sz w:val="20"/>
          <w:szCs w:val="20"/>
          <w:color w:val="auto"/>
          <w:vertAlign w:val="superscript"/>
        </w:rPr>
      </w:pPr>
    </w:p>
    <w:p>
      <w:pPr>
        <w:ind w:left="1100" w:hanging="190"/>
        <w:spacing w:after="0" w:line="200" w:lineRule="auto"/>
        <w:tabs>
          <w:tab w:leader="none" w:pos="1100" w:val="left"/>
        </w:tabs>
        <w:numPr>
          <w:ilvl w:val="0"/>
          <w:numId w:val="109"/>
        </w:numPr>
        <w:rPr>
          <w:rFonts w:ascii="Arial" w:cs="Arial" w:eastAsia="Arial" w:hAnsi="Arial"/>
          <w:sz w:val="16"/>
          <w:szCs w:val="16"/>
          <w:color w:val="auto"/>
          <w:vertAlign w:val="superscript"/>
        </w:rPr>
      </w:pPr>
      <w:r>
        <w:rPr>
          <w:rFonts w:ascii="Arial" w:cs="Arial" w:eastAsia="Arial" w:hAnsi="Arial"/>
          <w:sz w:val="11"/>
          <w:szCs w:val="11"/>
          <w:color w:val="auto"/>
        </w:rPr>
        <w:t>These amounts represent benefits accrued under the savings restoration plan, which is described under “Savings Plan and Savings Restoration Plans.”</w:t>
      </w:r>
    </w:p>
    <w:p>
      <w:pPr>
        <w:spacing w:after="0" w:line="72" w:lineRule="exact"/>
        <w:rPr>
          <w:rFonts w:ascii="Arial" w:cs="Arial" w:eastAsia="Arial" w:hAnsi="Arial"/>
          <w:sz w:val="16"/>
          <w:szCs w:val="16"/>
          <w:color w:val="auto"/>
          <w:vertAlign w:val="superscript"/>
        </w:rPr>
      </w:pPr>
    </w:p>
    <w:p>
      <w:pPr>
        <w:ind w:left="1100" w:right="60" w:hanging="190"/>
        <w:spacing w:after="0" w:line="193" w:lineRule="auto"/>
        <w:tabs>
          <w:tab w:leader="none" w:pos="1100" w:val="left"/>
        </w:tabs>
        <w:numPr>
          <w:ilvl w:val="0"/>
          <w:numId w:val="109"/>
        </w:numPr>
        <w:rPr>
          <w:rFonts w:ascii="Arial" w:cs="Arial" w:eastAsia="Arial" w:hAnsi="Arial"/>
          <w:sz w:val="20"/>
          <w:szCs w:val="20"/>
          <w:color w:val="auto"/>
          <w:vertAlign w:val="superscript"/>
        </w:rPr>
      </w:pPr>
      <w:r>
        <w:rPr>
          <w:rFonts w:ascii="Arial" w:cs="Arial" w:eastAsia="Arial" w:hAnsi="Arial"/>
          <w:sz w:val="13"/>
          <w:szCs w:val="13"/>
          <w:color w:val="auto"/>
        </w:rPr>
        <w:t>In connection with the Company’s termination of Ms. Wilson’s employment on July 26, 2024, Ms. Wilson entered into a separation and release agreement with the Company under which she received a lump sum cash payment of $999,750.</w:t>
      </w:r>
    </w:p>
    <w:p>
      <w:pPr>
        <w:spacing w:after="0" w:line="64" w:lineRule="exact"/>
        <w:rPr>
          <w:rFonts w:ascii="Arial" w:cs="Arial" w:eastAsia="Arial" w:hAnsi="Arial"/>
          <w:sz w:val="20"/>
          <w:szCs w:val="20"/>
          <w:color w:val="auto"/>
          <w:vertAlign w:val="superscript"/>
        </w:rPr>
      </w:pPr>
    </w:p>
    <w:p>
      <w:pPr>
        <w:ind w:left="1100" w:right="20" w:hanging="190"/>
        <w:spacing w:after="0" w:line="224" w:lineRule="auto"/>
        <w:tabs>
          <w:tab w:leader="none" w:pos="1100" w:val="left"/>
        </w:tabs>
        <w:numPr>
          <w:ilvl w:val="0"/>
          <w:numId w:val="109"/>
        </w:numPr>
        <w:rPr>
          <w:rFonts w:ascii="Arial" w:cs="Arial" w:eastAsia="Arial" w:hAnsi="Arial"/>
          <w:sz w:val="19"/>
          <w:szCs w:val="19"/>
          <w:color w:val="auto"/>
          <w:vertAlign w:val="superscript"/>
        </w:rPr>
      </w:pPr>
      <w:r>
        <w:rPr>
          <w:rFonts w:ascii="Arial" w:cs="Arial" w:eastAsia="Arial" w:hAnsi="Arial"/>
          <w:sz w:val="12"/>
          <w:szCs w:val="12"/>
          <w:color w:val="auto"/>
        </w:rPr>
        <w:t>These amounts represent CenterPoint Energy Foundation, Inc.’s charitable contribution to non-profit organizations to match personal qualified contributions under the Easy Match Program. The program provides for matching on a dollar-for-dollar basis up to an annual maximum match of $25,000 ($50,000 for Messrs. Lesar &amp; Wells), and in 2024, as part of the Company’s celebration of Giving Tuesday, the program additionally provided for matching from December 2 to December 6 on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 two-to-one dollar basis that did not count against the annual maximum match.</w:t>
      </w:r>
    </w:p>
    <w:p>
      <w:pPr>
        <w:spacing w:after="0" w:line="63" w:lineRule="exact"/>
        <w:rPr>
          <w:sz w:val="20"/>
          <w:szCs w:val="20"/>
          <w:color w:val="auto"/>
        </w:rPr>
      </w:pPr>
    </w:p>
    <w:p>
      <w:pPr>
        <w:ind w:left="920" w:right="260" w:hanging="189"/>
        <w:spacing w:after="0" w:line="207" w:lineRule="auto"/>
        <w:tabs>
          <w:tab w:leader="none" w:pos="920" w:val="left"/>
        </w:tabs>
        <w:numPr>
          <w:ilvl w:val="0"/>
          <w:numId w:val="110"/>
        </w:numPr>
        <w:rPr>
          <w:rFonts w:ascii="Arial" w:cs="Arial" w:eastAsia="Arial" w:hAnsi="Arial"/>
          <w:sz w:val="20"/>
          <w:szCs w:val="20"/>
          <w:color w:val="auto"/>
          <w:vertAlign w:val="superscript"/>
        </w:rPr>
      </w:pPr>
      <w:r>
        <w:rPr>
          <w:rFonts w:ascii="Arial" w:cs="Arial" w:eastAsia="Arial" w:hAnsi="Arial"/>
          <w:sz w:val="13"/>
          <w:szCs w:val="13"/>
          <w:color w:val="auto"/>
        </w:rPr>
        <w:t>All of Ms. Wilson’s non-equity and equity incentive plan awards granted during 2024 were forfeited upon her departure from the Company in accordance with their terms.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Grants of Plan-Based Awards for Fiscal Year 2024</w:t>
      </w:r>
    </w:p>
    <w:p>
      <w:pPr>
        <w:spacing w:after="0" w:line="112" w:lineRule="exact"/>
        <w:rPr>
          <w:sz w:val="20"/>
          <w:szCs w:val="20"/>
          <w:color w:val="auto"/>
        </w:rPr>
      </w:pPr>
    </w:p>
    <w:p>
      <w:pPr>
        <w:ind w:left="740" w:right="120"/>
        <w:spacing w:after="0" w:line="266" w:lineRule="auto"/>
        <w:rPr>
          <w:sz w:val="20"/>
          <w:szCs w:val="20"/>
          <w:color w:val="auto"/>
        </w:rPr>
      </w:pPr>
      <w:r>
        <w:rPr>
          <w:rFonts w:ascii="Arial" w:cs="Arial" w:eastAsia="Arial" w:hAnsi="Arial"/>
          <w:sz w:val="16"/>
          <w:szCs w:val="16"/>
          <w:color w:val="auto"/>
        </w:rPr>
        <w:t>The following table presents the non-equity and equity incentive plan-based awards granted during 2024. The grant date fair value of equity awards is based on the probable achievement level of the underlying performance conditions as of the grant date at the closing price on the grant date, which was $27.87 for the February 15, 2024 grants.</w:t>
      </w:r>
    </w:p>
    <w:p>
      <w:pPr>
        <w:spacing w:after="0" w:line="22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660" w:type="dxa"/>
            <w:vAlign w:val="bottom"/>
            <w:shd w:val="clear" w:color="auto" w:fill="003763"/>
          </w:tcPr>
          <w:p>
            <w:pPr>
              <w:spacing w:after="0"/>
              <w:rPr>
                <w:sz w:val="13"/>
                <w:szCs w:val="13"/>
                <w:color w:val="auto"/>
              </w:rPr>
            </w:pPr>
          </w:p>
        </w:tc>
        <w:tc>
          <w:tcPr>
            <w:tcW w:w="3470" w:type="dxa"/>
            <w:vAlign w:val="bottom"/>
            <w:gridSpan w:val="7"/>
            <w:shd w:val="clear" w:color="auto" w:fill="003763"/>
          </w:tcPr>
          <w:p>
            <w:pPr>
              <w:jc w:val="right"/>
              <w:spacing w:after="0"/>
              <w:rPr>
                <w:sz w:val="20"/>
                <w:szCs w:val="20"/>
                <w:color w:val="auto"/>
              </w:rPr>
            </w:pPr>
            <w:r>
              <w:rPr>
                <w:rFonts w:ascii="Arial" w:cs="Arial" w:eastAsia="Arial" w:hAnsi="Arial"/>
                <w:sz w:val="13"/>
                <w:szCs w:val="13"/>
                <w:b w:val="1"/>
                <w:bCs w:val="1"/>
                <w:color w:val="FFFFFF"/>
                <w:w w:val="97"/>
              </w:rPr>
              <w:t>Estimated Possible Payouts Under Non-Equity Incentive</w:t>
            </w:r>
          </w:p>
        </w:tc>
        <w:tc>
          <w:tcPr>
            <w:tcW w:w="230" w:type="dxa"/>
            <w:vAlign w:val="bottom"/>
            <w:shd w:val="clear" w:color="auto" w:fill="003763"/>
          </w:tcPr>
          <w:p>
            <w:pPr>
              <w:spacing w:after="0"/>
              <w:rPr>
                <w:sz w:val="13"/>
                <w:szCs w:val="13"/>
                <w:color w:val="auto"/>
              </w:rPr>
            </w:pPr>
          </w:p>
        </w:tc>
        <w:tc>
          <w:tcPr>
            <w:tcW w:w="3900" w:type="dxa"/>
            <w:vAlign w:val="bottom"/>
            <w:gridSpan w:val="7"/>
            <w:shd w:val="clear" w:color="auto" w:fill="003763"/>
          </w:tcPr>
          <w:p>
            <w:pPr>
              <w:jc w:val="right"/>
              <w:ind w:right="565"/>
              <w:spacing w:after="0"/>
              <w:rPr>
                <w:sz w:val="20"/>
                <w:szCs w:val="20"/>
                <w:color w:val="auto"/>
              </w:rPr>
            </w:pPr>
            <w:r>
              <w:rPr>
                <w:rFonts w:ascii="Arial" w:cs="Arial" w:eastAsia="Arial" w:hAnsi="Arial"/>
                <w:sz w:val="13"/>
                <w:szCs w:val="13"/>
                <w:b w:val="1"/>
                <w:bCs w:val="1"/>
                <w:color w:val="FFFFFF"/>
              </w:rPr>
              <w:t>Estimated Future Payouts Under Equity Incentive</w:t>
            </w:r>
          </w:p>
        </w:tc>
      </w:tr>
      <w:tr>
        <w:trPr>
          <w:trHeight w:val="203"/>
        </w:trPr>
        <w:tc>
          <w:tcPr>
            <w:tcW w:w="1660" w:type="dxa"/>
            <w:vAlign w:val="bottom"/>
            <w:shd w:val="clear" w:color="auto" w:fill="003763"/>
          </w:tcPr>
          <w:p>
            <w:pPr>
              <w:spacing w:after="0"/>
              <w:rPr>
                <w:sz w:val="17"/>
                <w:szCs w:val="17"/>
                <w:color w:val="auto"/>
              </w:rPr>
            </w:pPr>
          </w:p>
        </w:tc>
        <w:tc>
          <w:tcPr>
            <w:tcW w:w="78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1580" w:type="dxa"/>
            <w:vAlign w:val="bottom"/>
            <w:gridSpan w:val="3"/>
            <w:shd w:val="clear" w:color="auto" w:fill="003763"/>
          </w:tcPr>
          <w:p>
            <w:pPr>
              <w:jc w:val="right"/>
              <w:ind w:right="387"/>
              <w:spacing w:after="0"/>
              <w:rPr>
                <w:sz w:val="20"/>
                <w:szCs w:val="20"/>
                <w:color w:val="auto"/>
              </w:rPr>
            </w:pPr>
            <w:r>
              <w:rPr>
                <w:rFonts w:ascii="Arial" w:cs="Arial" w:eastAsia="Arial" w:hAnsi="Arial"/>
                <w:sz w:val="13"/>
                <w:szCs w:val="13"/>
                <w:b w:val="1"/>
                <w:bCs w:val="1"/>
                <w:color w:val="FFFFFF"/>
              </w:rPr>
              <w:t>Plan Awards</w:t>
            </w:r>
            <w:r>
              <w:rPr>
                <w:rFonts w:ascii="Arial" w:cs="Arial" w:eastAsia="Arial" w:hAnsi="Arial"/>
                <w:sz w:val="16"/>
                <w:szCs w:val="16"/>
                <w:b w:val="1"/>
                <w:bCs w:val="1"/>
                <w:color w:val="FFFFFF"/>
                <w:vertAlign w:val="superscript"/>
              </w:rPr>
              <w:t>(1)</w:t>
            </w:r>
          </w:p>
        </w:tc>
        <w:tc>
          <w:tcPr>
            <w:tcW w:w="180" w:type="dxa"/>
            <w:vAlign w:val="bottom"/>
            <w:shd w:val="clear" w:color="auto" w:fill="003763"/>
          </w:tcPr>
          <w:p>
            <w:pPr>
              <w:spacing w:after="0"/>
              <w:rPr>
                <w:sz w:val="17"/>
                <w:szCs w:val="17"/>
                <w:color w:val="auto"/>
              </w:rPr>
            </w:pPr>
          </w:p>
        </w:tc>
        <w:tc>
          <w:tcPr>
            <w:tcW w:w="670" w:type="dxa"/>
            <w:vAlign w:val="bottom"/>
            <w:shd w:val="clear" w:color="auto" w:fill="003763"/>
          </w:tcPr>
          <w:p>
            <w:pPr>
              <w:spacing w:after="0"/>
              <w:rPr>
                <w:sz w:val="17"/>
                <w:szCs w:val="17"/>
                <w:color w:val="auto"/>
              </w:rPr>
            </w:pPr>
          </w:p>
        </w:tc>
        <w:tc>
          <w:tcPr>
            <w:tcW w:w="230" w:type="dxa"/>
            <w:vAlign w:val="bottom"/>
            <w:shd w:val="clear" w:color="auto" w:fill="003763"/>
          </w:tcPr>
          <w:p>
            <w:pPr>
              <w:spacing w:after="0"/>
              <w:rPr>
                <w:sz w:val="17"/>
                <w:szCs w:val="17"/>
                <w:color w:val="auto"/>
              </w:rPr>
            </w:pPr>
          </w:p>
        </w:tc>
        <w:tc>
          <w:tcPr>
            <w:tcW w:w="520" w:type="dxa"/>
            <w:vAlign w:val="bottom"/>
            <w:shd w:val="clear" w:color="auto" w:fill="003763"/>
          </w:tcPr>
          <w:p>
            <w:pPr>
              <w:spacing w:after="0"/>
              <w:rPr>
                <w:sz w:val="17"/>
                <w:szCs w:val="17"/>
                <w:color w:val="auto"/>
              </w:rPr>
            </w:pPr>
          </w:p>
        </w:tc>
        <w:tc>
          <w:tcPr>
            <w:tcW w:w="740" w:type="dxa"/>
            <w:vAlign w:val="bottom"/>
            <w:shd w:val="clear" w:color="auto" w:fill="003763"/>
          </w:tcPr>
          <w:p>
            <w:pPr>
              <w:spacing w:after="0"/>
              <w:rPr>
                <w:sz w:val="17"/>
                <w:szCs w:val="17"/>
                <w:color w:val="auto"/>
              </w:rPr>
            </w:pPr>
          </w:p>
        </w:tc>
        <w:tc>
          <w:tcPr>
            <w:tcW w:w="1800" w:type="dxa"/>
            <w:vAlign w:val="bottom"/>
            <w:gridSpan w:val="3"/>
            <w:shd w:val="clear" w:color="auto" w:fill="003763"/>
          </w:tcPr>
          <w:p>
            <w:pPr>
              <w:ind w:left="120"/>
              <w:spacing w:after="0"/>
              <w:rPr>
                <w:sz w:val="20"/>
                <w:szCs w:val="20"/>
                <w:color w:val="auto"/>
              </w:rPr>
            </w:pPr>
            <w:r>
              <w:rPr>
                <w:rFonts w:ascii="Arial" w:cs="Arial" w:eastAsia="Arial" w:hAnsi="Arial"/>
                <w:sz w:val="13"/>
                <w:szCs w:val="13"/>
                <w:b w:val="1"/>
                <w:bCs w:val="1"/>
                <w:color w:val="FFFFFF"/>
              </w:rPr>
              <w:t>Plan Awards</w:t>
            </w:r>
            <w:r>
              <w:rPr>
                <w:rFonts w:ascii="Arial" w:cs="Arial" w:eastAsia="Arial" w:hAnsi="Arial"/>
                <w:sz w:val="16"/>
                <w:szCs w:val="16"/>
                <w:b w:val="1"/>
                <w:bCs w:val="1"/>
                <w:color w:val="FFFFFF"/>
                <w:vertAlign w:val="superscript"/>
              </w:rPr>
              <w:t>(2)</w:t>
            </w:r>
          </w:p>
        </w:tc>
        <w:tc>
          <w:tcPr>
            <w:tcW w:w="120" w:type="dxa"/>
            <w:vAlign w:val="bottom"/>
            <w:shd w:val="clear" w:color="auto" w:fill="003763"/>
          </w:tcPr>
          <w:p>
            <w:pPr>
              <w:spacing w:after="0"/>
              <w:rPr>
                <w:sz w:val="17"/>
                <w:szCs w:val="17"/>
                <w:color w:val="auto"/>
              </w:rPr>
            </w:pPr>
          </w:p>
        </w:tc>
        <w:tc>
          <w:tcPr>
            <w:tcW w:w="720" w:type="dxa"/>
            <w:vAlign w:val="bottom"/>
            <w:shd w:val="clear" w:color="auto" w:fill="003763"/>
          </w:tcPr>
          <w:p>
            <w:pPr>
              <w:spacing w:after="0"/>
              <w:rPr>
                <w:sz w:val="17"/>
                <w:szCs w:val="17"/>
                <w:color w:val="auto"/>
              </w:rPr>
            </w:pPr>
          </w:p>
        </w:tc>
      </w:tr>
      <w:tr>
        <w:trPr>
          <w:trHeight w:val="171"/>
        </w:trPr>
        <w:tc>
          <w:tcPr>
            <w:tcW w:w="1660" w:type="dxa"/>
            <w:vAlign w:val="bottom"/>
            <w:shd w:val="clear" w:color="auto" w:fill="003763"/>
          </w:tcPr>
          <w:p>
            <w:pPr>
              <w:spacing w:after="0"/>
              <w:rPr>
                <w:sz w:val="14"/>
                <w:szCs w:val="14"/>
                <w:color w:val="auto"/>
              </w:rPr>
            </w:pPr>
          </w:p>
        </w:tc>
        <w:tc>
          <w:tcPr>
            <w:tcW w:w="78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670" w:type="dxa"/>
            <w:vAlign w:val="bottom"/>
            <w:shd w:val="clear" w:color="auto" w:fill="003763"/>
          </w:tcPr>
          <w:p>
            <w:pPr>
              <w:spacing w:after="0"/>
              <w:rPr>
                <w:sz w:val="14"/>
                <w:szCs w:val="14"/>
                <w:color w:val="auto"/>
              </w:rPr>
            </w:pPr>
          </w:p>
        </w:tc>
        <w:tc>
          <w:tcPr>
            <w:tcW w:w="230" w:type="dxa"/>
            <w:vAlign w:val="bottom"/>
            <w:shd w:val="clear" w:color="auto" w:fill="003763"/>
          </w:tcPr>
          <w:p>
            <w:pPr>
              <w:spacing w:after="0"/>
              <w:rPr>
                <w:sz w:val="14"/>
                <w:szCs w:val="14"/>
                <w:color w:val="auto"/>
              </w:rPr>
            </w:pPr>
          </w:p>
        </w:tc>
        <w:tc>
          <w:tcPr>
            <w:tcW w:w="520" w:type="dxa"/>
            <w:vAlign w:val="bottom"/>
            <w:shd w:val="clear" w:color="auto" w:fill="003763"/>
          </w:tcPr>
          <w:p>
            <w:pPr>
              <w:spacing w:after="0"/>
              <w:rPr>
                <w:sz w:val="14"/>
                <w:szCs w:val="14"/>
                <w:color w:val="auto"/>
              </w:rPr>
            </w:pPr>
          </w:p>
        </w:tc>
        <w:tc>
          <w:tcPr>
            <w:tcW w:w="74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60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840" w:type="dxa"/>
            <w:vAlign w:val="bottom"/>
            <w:gridSpan w:val="2"/>
            <w:shd w:val="clear" w:color="auto" w:fill="003763"/>
          </w:tcPr>
          <w:p>
            <w:pPr>
              <w:ind w:left="60"/>
              <w:spacing w:after="0"/>
              <w:rPr>
                <w:sz w:val="20"/>
                <w:szCs w:val="20"/>
                <w:color w:val="auto"/>
              </w:rPr>
            </w:pPr>
            <w:r>
              <w:rPr>
                <w:rFonts w:ascii="Arial" w:cs="Arial" w:eastAsia="Arial" w:hAnsi="Arial"/>
                <w:sz w:val="13"/>
                <w:szCs w:val="13"/>
                <w:b w:val="1"/>
                <w:bCs w:val="1"/>
                <w:color w:val="FFFFFF"/>
              </w:rPr>
              <w:t>Grant Date</w:t>
            </w:r>
          </w:p>
        </w:tc>
      </w:tr>
      <w:tr>
        <w:trPr>
          <w:trHeight w:val="149"/>
        </w:trPr>
        <w:tc>
          <w:tcPr>
            <w:tcW w:w="1660" w:type="dxa"/>
            <w:vAlign w:val="bottom"/>
            <w:shd w:val="clear" w:color="auto" w:fill="003763"/>
          </w:tcPr>
          <w:p>
            <w:pPr>
              <w:spacing w:after="0"/>
              <w:rPr>
                <w:sz w:val="12"/>
                <w:szCs w:val="12"/>
                <w:color w:val="auto"/>
              </w:rPr>
            </w:pPr>
          </w:p>
        </w:tc>
        <w:tc>
          <w:tcPr>
            <w:tcW w:w="7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670" w:type="dxa"/>
            <w:vAlign w:val="bottom"/>
            <w:shd w:val="clear" w:color="auto" w:fill="003763"/>
          </w:tcPr>
          <w:p>
            <w:pPr>
              <w:spacing w:after="0"/>
              <w:rPr>
                <w:sz w:val="12"/>
                <w:szCs w:val="12"/>
                <w:color w:val="auto"/>
              </w:rPr>
            </w:pPr>
          </w:p>
        </w:tc>
        <w:tc>
          <w:tcPr>
            <w:tcW w:w="75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7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7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0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All Other Stock</w:t>
            </w:r>
          </w:p>
        </w:tc>
        <w:tc>
          <w:tcPr>
            <w:tcW w:w="840" w:type="dxa"/>
            <w:vAlign w:val="bottom"/>
            <w:gridSpan w:val="2"/>
            <w:shd w:val="clear" w:color="auto" w:fill="003763"/>
          </w:tcPr>
          <w:p>
            <w:pPr>
              <w:jc w:val="center"/>
              <w:ind w:right="5"/>
              <w:spacing w:after="0"/>
              <w:rPr>
                <w:sz w:val="20"/>
                <w:szCs w:val="20"/>
                <w:color w:val="auto"/>
              </w:rPr>
            </w:pPr>
            <w:r>
              <w:rPr>
                <w:rFonts w:ascii="Arial" w:cs="Arial" w:eastAsia="Arial" w:hAnsi="Arial"/>
                <w:sz w:val="13"/>
                <w:szCs w:val="13"/>
                <w:b w:val="1"/>
                <w:bCs w:val="1"/>
                <w:color w:val="FFFFFF"/>
                <w:w w:val="96"/>
              </w:rPr>
              <w:t>Fair Value</w:t>
            </w:r>
          </w:p>
        </w:tc>
      </w:tr>
      <w:tr>
        <w:trPr>
          <w:trHeight w:val="148"/>
        </w:trPr>
        <w:tc>
          <w:tcPr>
            <w:tcW w:w="1660" w:type="dxa"/>
            <w:vAlign w:val="bottom"/>
            <w:shd w:val="clear" w:color="auto" w:fill="003763"/>
          </w:tcPr>
          <w:p>
            <w:pPr>
              <w:spacing w:after="0"/>
              <w:rPr>
                <w:sz w:val="12"/>
                <w:szCs w:val="12"/>
                <w:color w:val="auto"/>
              </w:rPr>
            </w:pPr>
          </w:p>
        </w:tc>
        <w:tc>
          <w:tcPr>
            <w:tcW w:w="7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670" w:type="dxa"/>
            <w:vAlign w:val="bottom"/>
            <w:shd w:val="clear" w:color="auto" w:fill="003763"/>
          </w:tcPr>
          <w:p>
            <w:pPr>
              <w:spacing w:after="0"/>
              <w:rPr>
                <w:sz w:val="12"/>
                <w:szCs w:val="12"/>
                <w:color w:val="auto"/>
              </w:rPr>
            </w:pPr>
          </w:p>
        </w:tc>
        <w:tc>
          <w:tcPr>
            <w:tcW w:w="75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Awards: # of</w:t>
            </w:r>
          </w:p>
        </w:tc>
        <w:tc>
          <w:tcPr>
            <w:tcW w:w="120" w:type="dxa"/>
            <w:vAlign w:val="bottom"/>
            <w:shd w:val="clear" w:color="auto" w:fill="003763"/>
          </w:tcPr>
          <w:p>
            <w:pPr>
              <w:spacing w:after="0"/>
              <w:rPr>
                <w:sz w:val="12"/>
                <w:szCs w:val="12"/>
                <w:color w:val="auto"/>
              </w:rPr>
            </w:pPr>
          </w:p>
        </w:tc>
        <w:tc>
          <w:tcPr>
            <w:tcW w:w="720" w:type="dxa"/>
            <w:vAlign w:val="bottom"/>
            <w:shd w:val="clear" w:color="auto" w:fill="003763"/>
          </w:tcPr>
          <w:p>
            <w:pPr>
              <w:jc w:val="center"/>
              <w:ind w:right="125"/>
              <w:spacing w:after="0"/>
              <w:rPr>
                <w:sz w:val="20"/>
                <w:szCs w:val="20"/>
                <w:color w:val="auto"/>
              </w:rPr>
            </w:pPr>
            <w:r>
              <w:rPr>
                <w:rFonts w:ascii="Arial" w:cs="Arial" w:eastAsia="Arial" w:hAnsi="Arial"/>
                <w:sz w:val="13"/>
                <w:szCs w:val="13"/>
                <w:b w:val="1"/>
                <w:bCs w:val="1"/>
                <w:color w:val="FFFFFF"/>
                <w:w w:val="93"/>
              </w:rPr>
              <w:t>of Stock</w:t>
            </w:r>
          </w:p>
        </w:tc>
      </w:tr>
      <w:tr>
        <w:trPr>
          <w:trHeight w:val="148"/>
        </w:trPr>
        <w:tc>
          <w:tcPr>
            <w:tcW w:w="1660" w:type="dxa"/>
            <w:vAlign w:val="bottom"/>
            <w:shd w:val="clear" w:color="auto" w:fill="003763"/>
          </w:tcPr>
          <w:p>
            <w:pPr>
              <w:spacing w:after="0"/>
              <w:rPr>
                <w:sz w:val="12"/>
                <w:szCs w:val="12"/>
                <w:color w:val="auto"/>
              </w:rPr>
            </w:pPr>
          </w:p>
        </w:tc>
        <w:tc>
          <w:tcPr>
            <w:tcW w:w="780" w:type="dxa"/>
            <w:vAlign w:val="bottom"/>
            <w:shd w:val="clear" w:color="auto" w:fill="003763"/>
          </w:tcPr>
          <w:p>
            <w:pPr>
              <w:spacing w:after="0"/>
              <w:rPr>
                <w:sz w:val="12"/>
                <w:szCs w:val="12"/>
                <w:color w:val="auto"/>
              </w:rPr>
            </w:pPr>
          </w:p>
        </w:tc>
        <w:tc>
          <w:tcPr>
            <w:tcW w:w="960" w:type="dxa"/>
            <w:vAlign w:val="bottom"/>
            <w:gridSpan w:val="2"/>
            <w:shd w:val="clear" w:color="auto" w:fill="003763"/>
          </w:tcPr>
          <w:p>
            <w:pPr>
              <w:jc w:val="right"/>
              <w:ind w:right="87"/>
              <w:spacing w:after="0"/>
              <w:rPr>
                <w:sz w:val="20"/>
                <w:szCs w:val="20"/>
                <w:color w:val="auto"/>
              </w:rPr>
            </w:pPr>
            <w:r>
              <w:rPr>
                <w:rFonts w:ascii="Arial" w:cs="Arial" w:eastAsia="Arial" w:hAnsi="Arial"/>
                <w:sz w:val="13"/>
                <w:szCs w:val="13"/>
                <w:b w:val="1"/>
                <w:bCs w:val="1"/>
                <w:color w:val="FFFFFF"/>
              </w:rPr>
              <w:t>Threshold</w:t>
            </w:r>
          </w:p>
        </w:tc>
        <w:tc>
          <w:tcPr>
            <w:tcW w:w="180" w:type="dxa"/>
            <w:vAlign w:val="bottom"/>
            <w:shd w:val="clear" w:color="auto" w:fill="003763"/>
          </w:tcPr>
          <w:p>
            <w:pPr>
              <w:spacing w:after="0"/>
              <w:rPr>
                <w:sz w:val="12"/>
                <w:szCs w:val="12"/>
                <w:color w:val="auto"/>
              </w:rPr>
            </w:pPr>
          </w:p>
        </w:tc>
        <w:tc>
          <w:tcPr>
            <w:tcW w:w="700" w:type="dxa"/>
            <w:vAlign w:val="bottom"/>
            <w:shd w:val="clear" w:color="auto" w:fill="003763"/>
          </w:tcPr>
          <w:p>
            <w:pPr>
              <w:jc w:val="right"/>
              <w:ind w:right="207"/>
              <w:spacing w:after="0"/>
              <w:rPr>
                <w:sz w:val="20"/>
                <w:szCs w:val="20"/>
                <w:color w:val="auto"/>
              </w:rPr>
            </w:pPr>
            <w:r>
              <w:rPr>
                <w:rFonts w:ascii="Arial" w:cs="Arial" w:eastAsia="Arial" w:hAnsi="Arial"/>
                <w:sz w:val="13"/>
                <w:szCs w:val="13"/>
                <w:b w:val="1"/>
                <w:bCs w:val="1"/>
                <w:color w:val="FFFFFF"/>
              </w:rPr>
              <w:t>Target</w:t>
            </w:r>
          </w:p>
        </w:tc>
        <w:tc>
          <w:tcPr>
            <w:tcW w:w="850" w:type="dxa"/>
            <w:vAlign w:val="bottom"/>
            <w:gridSpan w:val="2"/>
            <w:shd w:val="clear" w:color="auto" w:fill="003763"/>
          </w:tcPr>
          <w:p>
            <w:pPr>
              <w:jc w:val="right"/>
              <w:ind w:right="77"/>
              <w:spacing w:after="0"/>
              <w:rPr>
                <w:sz w:val="20"/>
                <w:szCs w:val="20"/>
                <w:color w:val="auto"/>
              </w:rPr>
            </w:pPr>
            <w:r>
              <w:rPr>
                <w:rFonts w:ascii="Arial" w:cs="Arial" w:eastAsia="Arial" w:hAnsi="Arial"/>
                <w:sz w:val="13"/>
                <w:szCs w:val="13"/>
                <w:b w:val="1"/>
                <w:bCs w:val="1"/>
                <w:color w:val="FFFFFF"/>
              </w:rPr>
              <w:t>Maximum</w:t>
            </w:r>
          </w:p>
        </w:tc>
        <w:tc>
          <w:tcPr>
            <w:tcW w:w="75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7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16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67"/>
              <w:spacing w:after="0"/>
              <w:rPr>
                <w:sz w:val="20"/>
                <w:szCs w:val="20"/>
                <w:color w:val="auto"/>
              </w:rPr>
            </w:pPr>
            <w:r>
              <w:rPr>
                <w:rFonts w:ascii="Arial" w:cs="Arial" w:eastAsia="Arial" w:hAnsi="Arial"/>
                <w:sz w:val="13"/>
                <w:szCs w:val="13"/>
                <w:b w:val="1"/>
                <w:bCs w:val="1"/>
                <w:color w:val="FFFFFF"/>
                <w:w w:val="96"/>
              </w:rPr>
              <w:t>Shares</w:t>
            </w:r>
          </w:p>
        </w:tc>
        <w:tc>
          <w:tcPr>
            <w:tcW w:w="10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Shares of</w:t>
            </w:r>
          </w:p>
        </w:tc>
        <w:tc>
          <w:tcPr>
            <w:tcW w:w="120" w:type="dxa"/>
            <w:vAlign w:val="bottom"/>
            <w:shd w:val="clear" w:color="auto" w:fill="003763"/>
          </w:tcPr>
          <w:p>
            <w:pPr>
              <w:spacing w:after="0"/>
              <w:rPr>
                <w:sz w:val="12"/>
                <w:szCs w:val="12"/>
                <w:color w:val="auto"/>
              </w:rPr>
            </w:pPr>
          </w:p>
        </w:tc>
        <w:tc>
          <w:tcPr>
            <w:tcW w:w="720" w:type="dxa"/>
            <w:vAlign w:val="bottom"/>
            <w:shd w:val="clear" w:color="auto" w:fill="003763"/>
          </w:tcPr>
          <w:p>
            <w:pPr>
              <w:jc w:val="center"/>
              <w:ind w:right="125"/>
              <w:spacing w:after="0"/>
              <w:rPr>
                <w:sz w:val="20"/>
                <w:szCs w:val="20"/>
                <w:color w:val="auto"/>
              </w:rPr>
            </w:pPr>
            <w:r>
              <w:rPr>
                <w:rFonts w:ascii="Arial" w:cs="Arial" w:eastAsia="Arial" w:hAnsi="Arial"/>
                <w:sz w:val="13"/>
                <w:szCs w:val="13"/>
                <w:b w:val="1"/>
                <w:bCs w:val="1"/>
                <w:color w:val="FFFFFF"/>
                <w:w w:val="93"/>
              </w:rPr>
              <w:t>Awards</w:t>
            </w:r>
          </w:p>
        </w:tc>
      </w:tr>
      <w:tr>
        <w:trPr>
          <w:trHeight w:val="173"/>
        </w:trPr>
        <w:tc>
          <w:tcPr>
            <w:tcW w:w="1660" w:type="dxa"/>
            <w:vAlign w:val="bottom"/>
            <w:tcBorders>
              <w:bottom w:val="single" w:sz="8" w:color="003763"/>
            </w:tcBorders>
            <w:shd w:val="clear" w:color="auto" w:fill="003763"/>
          </w:tcPr>
          <w:p>
            <w:pPr>
              <w:ind w:left="100"/>
              <w:spacing w:after="0"/>
              <w:rPr>
                <w:sz w:val="20"/>
                <w:szCs w:val="20"/>
                <w:color w:val="auto"/>
              </w:rPr>
            </w:pPr>
            <w:r>
              <w:rPr>
                <w:rFonts w:ascii="Arial" w:cs="Arial" w:eastAsia="Arial" w:hAnsi="Arial"/>
                <w:sz w:val="13"/>
                <w:szCs w:val="13"/>
                <w:b w:val="1"/>
                <w:bCs w:val="1"/>
                <w:color w:val="FFFFFF"/>
              </w:rPr>
              <w:t>Name</w:t>
            </w:r>
          </w:p>
        </w:tc>
        <w:tc>
          <w:tcPr>
            <w:tcW w:w="1040" w:type="dxa"/>
            <w:vAlign w:val="bottom"/>
            <w:tcBorders>
              <w:bottom w:val="single" w:sz="8" w:color="003763"/>
            </w:tcBorders>
            <w:gridSpan w:val="2"/>
            <w:shd w:val="clear" w:color="auto" w:fill="003763"/>
          </w:tcPr>
          <w:p>
            <w:pPr>
              <w:ind w:left="100"/>
              <w:spacing w:after="0"/>
              <w:rPr>
                <w:sz w:val="20"/>
                <w:szCs w:val="20"/>
                <w:color w:val="auto"/>
              </w:rPr>
            </w:pPr>
            <w:r>
              <w:rPr>
                <w:rFonts w:ascii="Arial" w:cs="Arial" w:eastAsia="Arial" w:hAnsi="Arial"/>
                <w:sz w:val="13"/>
                <w:szCs w:val="13"/>
                <w:b w:val="1"/>
                <w:bCs w:val="1"/>
                <w:color w:val="FFFFFF"/>
              </w:rPr>
              <w:t>Grant Date</w:t>
            </w:r>
          </w:p>
        </w:tc>
        <w:tc>
          <w:tcPr>
            <w:tcW w:w="700" w:type="dxa"/>
            <w:vAlign w:val="bottom"/>
            <w:tcBorders>
              <w:bottom w:val="single" w:sz="8" w:color="003763"/>
            </w:tcBorders>
            <w:shd w:val="clear" w:color="auto" w:fill="003763"/>
          </w:tcPr>
          <w:p>
            <w:pPr>
              <w:jc w:val="right"/>
              <w:ind w:right="307"/>
              <w:spacing w:after="0"/>
              <w:rPr>
                <w:sz w:val="20"/>
                <w:szCs w:val="20"/>
                <w:color w:val="auto"/>
              </w:rPr>
            </w:pPr>
            <w:r>
              <w:rPr>
                <w:rFonts w:ascii="Arial" w:cs="Arial" w:eastAsia="Arial" w:hAnsi="Arial"/>
                <w:sz w:val="13"/>
                <w:szCs w:val="13"/>
                <w:b w:val="1"/>
                <w:bCs w:val="1"/>
                <w:color w:val="FFFFFF"/>
              </w:rPr>
              <w:t>($)</w:t>
            </w:r>
          </w:p>
        </w:tc>
        <w:tc>
          <w:tcPr>
            <w:tcW w:w="180" w:type="dxa"/>
            <w:vAlign w:val="bottom"/>
            <w:tcBorders>
              <w:bottom w:val="single" w:sz="8" w:color="003763"/>
            </w:tcBorders>
            <w:shd w:val="clear" w:color="auto" w:fill="003763"/>
          </w:tcPr>
          <w:p>
            <w:pPr>
              <w:spacing w:after="0"/>
              <w:rPr>
                <w:sz w:val="15"/>
                <w:szCs w:val="15"/>
                <w:color w:val="auto"/>
              </w:rPr>
            </w:pPr>
          </w:p>
        </w:tc>
        <w:tc>
          <w:tcPr>
            <w:tcW w:w="700" w:type="dxa"/>
            <w:vAlign w:val="bottom"/>
            <w:tcBorders>
              <w:bottom w:val="single" w:sz="8" w:color="003763"/>
            </w:tcBorders>
            <w:shd w:val="clear" w:color="auto" w:fill="003763"/>
          </w:tcPr>
          <w:p>
            <w:pPr>
              <w:jc w:val="right"/>
              <w:ind w:right="307"/>
              <w:spacing w:after="0"/>
              <w:rPr>
                <w:sz w:val="20"/>
                <w:szCs w:val="20"/>
                <w:color w:val="auto"/>
              </w:rPr>
            </w:pPr>
            <w:r>
              <w:rPr>
                <w:rFonts w:ascii="Arial" w:cs="Arial" w:eastAsia="Arial" w:hAnsi="Arial"/>
                <w:sz w:val="13"/>
                <w:szCs w:val="13"/>
                <w:b w:val="1"/>
                <w:bCs w:val="1"/>
                <w:color w:val="FFFFFF"/>
              </w:rPr>
              <w:t>($)</w:t>
            </w:r>
          </w:p>
        </w:tc>
        <w:tc>
          <w:tcPr>
            <w:tcW w:w="180" w:type="dxa"/>
            <w:vAlign w:val="bottom"/>
            <w:tcBorders>
              <w:bottom w:val="single" w:sz="8" w:color="003763"/>
            </w:tcBorders>
            <w:shd w:val="clear" w:color="auto" w:fill="003763"/>
          </w:tcPr>
          <w:p>
            <w:pPr>
              <w:spacing w:after="0"/>
              <w:rPr>
                <w:sz w:val="15"/>
                <w:szCs w:val="15"/>
                <w:color w:val="auto"/>
              </w:rPr>
            </w:pPr>
          </w:p>
        </w:tc>
        <w:tc>
          <w:tcPr>
            <w:tcW w:w="670" w:type="dxa"/>
            <w:vAlign w:val="bottom"/>
            <w:tcBorders>
              <w:bottom w:val="single" w:sz="8" w:color="003763"/>
            </w:tcBorders>
            <w:shd w:val="clear" w:color="auto" w:fill="003763"/>
          </w:tcPr>
          <w:p>
            <w:pPr>
              <w:jc w:val="right"/>
              <w:ind w:right="277"/>
              <w:spacing w:after="0"/>
              <w:rPr>
                <w:sz w:val="20"/>
                <w:szCs w:val="20"/>
                <w:color w:val="auto"/>
              </w:rPr>
            </w:pPr>
            <w:r>
              <w:rPr>
                <w:rFonts w:ascii="Arial" w:cs="Arial" w:eastAsia="Arial" w:hAnsi="Arial"/>
                <w:sz w:val="13"/>
                <w:szCs w:val="13"/>
                <w:b w:val="1"/>
                <w:bCs w:val="1"/>
                <w:color w:val="FFFFFF"/>
              </w:rPr>
              <w:t>($)</w:t>
            </w:r>
          </w:p>
        </w:tc>
        <w:tc>
          <w:tcPr>
            <w:tcW w:w="230" w:type="dxa"/>
            <w:vAlign w:val="bottom"/>
            <w:tcBorders>
              <w:bottom w:val="single" w:sz="8" w:color="003763"/>
            </w:tcBorders>
            <w:shd w:val="clear" w:color="auto" w:fill="003763"/>
          </w:tcPr>
          <w:p>
            <w:pPr>
              <w:spacing w:after="0"/>
              <w:rPr>
                <w:sz w:val="15"/>
                <w:szCs w:val="15"/>
                <w:color w:val="auto"/>
              </w:rPr>
            </w:pPr>
          </w:p>
        </w:tc>
        <w:tc>
          <w:tcPr>
            <w:tcW w:w="520" w:type="dxa"/>
            <w:vAlign w:val="bottom"/>
            <w:tcBorders>
              <w:bottom w:val="single" w:sz="8" w:color="003763"/>
            </w:tcBorders>
            <w:shd w:val="clear" w:color="auto" w:fill="003763"/>
          </w:tcPr>
          <w:p>
            <w:pPr>
              <w:jc w:val="center"/>
              <w:ind w:right="149"/>
              <w:spacing w:after="0"/>
              <w:rPr>
                <w:sz w:val="20"/>
                <w:szCs w:val="20"/>
                <w:color w:val="auto"/>
              </w:rPr>
            </w:pPr>
            <w:r>
              <w:rPr>
                <w:rFonts w:ascii="Arial" w:cs="Arial" w:eastAsia="Arial" w:hAnsi="Arial"/>
                <w:sz w:val="13"/>
                <w:szCs w:val="13"/>
                <w:b w:val="1"/>
                <w:bCs w:val="1"/>
                <w:color w:val="FFFFFF"/>
                <w:w w:val="87"/>
              </w:rPr>
              <w:t>(#)</w:t>
            </w:r>
          </w:p>
        </w:tc>
        <w:tc>
          <w:tcPr>
            <w:tcW w:w="740" w:type="dxa"/>
            <w:vAlign w:val="bottom"/>
            <w:tcBorders>
              <w:bottom w:val="single" w:sz="8" w:color="003763"/>
            </w:tcBorders>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160" w:type="dxa"/>
            <w:vAlign w:val="bottom"/>
            <w:tcBorders>
              <w:bottom w:val="single" w:sz="8" w:color="003763"/>
            </w:tcBorders>
            <w:shd w:val="clear" w:color="auto" w:fill="003763"/>
          </w:tcPr>
          <w:p>
            <w:pPr>
              <w:spacing w:after="0"/>
              <w:rPr>
                <w:sz w:val="15"/>
                <w:szCs w:val="15"/>
                <w:color w:val="auto"/>
              </w:rPr>
            </w:pPr>
          </w:p>
        </w:tc>
        <w:tc>
          <w:tcPr>
            <w:tcW w:w="600" w:type="dxa"/>
            <w:vAlign w:val="bottom"/>
            <w:tcBorders>
              <w:bottom w:val="single" w:sz="8" w:color="003763"/>
            </w:tcBorders>
            <w:shd w:val="clear" w:color="auto" w:fill="003763"/>
          </w:tcPr>
          <w:p>
            <w:pPr>
              <w:jc w:val="center"/>
              <w:ind w:right="47"/>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bottom w:val="single" w:sz="8" w:color="003763"/>
            </w:tcBorders>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Stock or Units</w:t>
            </w:r>
          </w:p>
        </w:tc>
        <w:tc>
          <w:tcPr>
            <w:tcW w:w="120" w:type="dxa"/>
            <w:vAlign w:val="bottom"/>
            <w:tcBorders>
              <w:bottom w:val="single" w:sz="8" w:color="003763"/>
            </w:tcBorders>
            <w:shd w:val="clear" w:color="auto" w:fill="003763"/>
          </w:tcPr>
          <w:p>
            <w:pPr>
              <w:spacing w:after="0"/>
              <w:rPr>
                <w:sz w:val="15"/>
                <w:szCs w:val="15"/>
                <w:color w:val="auto"/>
              </w:rPr>
            </w:pPr>
          </w:p>
        </w:tc>
        <w:tc>
          <w:tcPr>
            <w:tcW w:w="720" w:type="dxa"/>
            <w:vAlign w:val="bottom"/>
            <w:tcBorders>
              <w:bottom w:val="single" w:sz="8" w:color="003763"/>
            </w:tcBorders>
            <w:shd w:val="clear" w:color="auto" w:fill="003763"/>
          </w:tcPr>
          <w:p>
            <w:pPr>
              <w:jc w:val="center"/>
              <w:ind w:right="85"/>
              <w:spacing w:after="0"/>
              <w:rPr>
                <w:sz w:val="20"/>
                <w:szCs w:val="20"/>
                <w:color w:val="auto"/>
              </w:rPr>
            </w:pPr>
            <w:r>
              <w:rPr>
                <w:rFonts w:ascii="Arial" w:cs="Arial" w:eastAsia="Arial" w:hAnsi="Arial"/>
                <w:sz w:val="13"/>
                <w:szCs w:val="13"/>
                <w:b w:val="1"/>
                <w:bCs w:val="1"/>
                <w:color w:val="FFFFFF"/>
              </w:rPr>
              <w:t>($)</w:t>
            </w:r>
          </w:p>
        </w:tc>
      </w:tr>
      <w:tr>
        <w:trPr>
          <w:trHeight w:val="227"/>
        </w:trPr>
        <w:tc>
          <w:tcPr>
            <w:tcW w:w="1660" w:type="dxa"/>
            <w:vAlign w:val="bottom"/>
          </w:tcPr>
          <w:p>
            <w:pPr>
              <w:ind w:left="120"/>
              <w:spacing w:after="0"/>
              <w:rPr>
                <w:sz w:val="20"/>
                <w:szCs w:val="20"/>
                <w:color w:val="auto"/>
              </w:rPr>
            </w:pPr>
            <w:r>
              <w:rPr>
                <w:rFonts w:ascii="Arial" w:cs="Arial" w:eastAsia="Arial" w:hAnsi="Arial"/>
                <w:sz w:val="15"/>
                <w:szCs w:val="15"/>
                <w:color w:val="auto"/>
              </w:rPr>
              <w:t>Jason P. Wells</w:t>
            </w:r>
          </w:p>
        </w:tc>
        <w:tc>
          <w:tcPr>
            <w:tcW w:w="780" w:type="dxa"/>
            <w:vAlign w:val="bottom"/>
            <w:tcBorders>
              <w:bottom w:val="single" w:sz="8" w:color="CCCCCC"/>
            </w:tcBorders>
          </w:tcPr>
          <w:p>
            <w:pPr>
              <w:spacing w:after="0"/>
              <w:rPr>
                <w:sz w:val="19"/>
                <w:szCs w:val="19"/>
                <w:color w:val="auto"/>
              </w:rPr>
            </w:pPr>
          </w:p>
        </w:tc>
        <w:tc>
          <w:tcPr>
            <w:tcW w:w="960" w:type="dxa"/>
            <w:vAlign w:val="bottom"/>
            <w:tcBorders>
              <w:bottom w:val="single" w:sz="8" w:color="CCCCCC"/>
            </w:tcBorders>
            <w:gridSpan w:val="2"/>
          </w:tcPr>
          <w:p>
            <w:pPr>
              <w:jc w:val="right"/>
              <w:ind w:right="27"/>
              <w:spacing w:after="0"/>
              <w:rPr>
                <w:sz w:val="20"/>
                <w:szCs w:val="20"/>
                <w:color w:val="auto"/>
              </w:rPr>
            </w:pPr>
            <w:r>
              <w:rPr>
                <w:rFonts w:ascii="Arial" w:cs="Arial" w:eastAsia="Arial" w:hAnsi="Arial"/>
                <w:sz w:val="15"/>
                <w:szCs w:val="15"/>
                <w:color w:val="auto"/>
              </w:rPr>
              <w:t>​1,078,125</w:t>
            </w:r>
          </w:p>
        </w:tc>
        <w:tc>
          <w:tcPr>
            <w:tcW w:w="880" w:type="dxa"/>
            <w:vAlign w:val="bottom"/>
            <w:tcBorders>
              <w:bottom w:val="single" w:sz="8" w:color="CCCCCC"/>
            </w:tcBorders>
            <w:gridSpan w:val="2"/>
          </w:tcPr>
          <w:p>
            <w:pPr>
              <w:jc w:val="right"/>
              <w:ind w:right="27"/>
              <w:spacing w:after="0"/>
              <w:rPr>
                <w:sz w:val="20"/>
                <w:szCs w:val="20"/>
                <w:color w:val="auto"/>
              </w:rPr>
            </w:pPr>
            <w:r>
              <w:rPr>
                <w:rFonts w:ascii="Arial" w:cs="Arial" w:eastAsia="Arial" w:hAnsi="Arial"/>
                <w:sz w:val="15"/>
                <w:szCs w:val="15"/>
                <w:color w:val="auto"/>
              </w:rPr>
              <w:t>​1,796,875</w:t>
            </w:r>
          </w:p>
        </w:tc>
        <w:tc>
          <w:tcPr>
            <w:tcW w:w="850" w:type="dxa"/>
            <w:vAlign w:val="bottom"/>
            <w:tcBorders>
              <w:bottom w:val="single" w:sz="8" w:color="CCCCCC"/>
            </w:tcBorders>
            <w:gridSpan w:val="2"/>
          </w:tcPr>
          <w:p>
            <w:pPr>
              <w:jc w:val="right"/>
              <w:spacing w:after="0"/>
              <w:rPr>
                <w:sz w:val="20"/>
                <w:szCs w:val="20"/>
                <w:color w:val="auto"/>
              </w:rPr>
            </w:pPr>
            <w:r>
              <w:rPr>
                <w:rFonts w:ascii="Arial" w:cs="Arial" w:eastAsia="Arial" w:hAnsi="Arial"/>
                <w:sz w:val="15"/>
                <w:szCs w:val="15"/>
                <w:color w:val="auto"/>
              </w:rPr>
              <w:t>​2,875,000</w:t>
            </w:r>
          </w:p>
        </w:tc>
        <w:tc>
          <w:tcPr>
            <w:tcW w:w="230" w:type="dxa"/>
            <w:vAlign w:val="bottom"/>
            <w:tcBorders>
              <w:bottom w:val="single" w:sz="8" w:color="CCCCCC"/>
            </w:tcBorders>
          </w:tcPr>
          <w:p>
            <w:pPr>
              <w:spacing w:after="0"/>
              <w:rPr>
                <w:sz w:val="19"/>
                <w:szCs w:val="19"/>
                <w:color w:val="auto"/>
              </w:rPr>
            </w:pPr>
          </w:p>
        </w:tc>
        <w:tc>
          <w:tcPr>
            <w:tcW w:w="520" w:type="dxa"/>
            <w:vAlign w:val="bottom"/>
            <w:tcBorders>
              <w:bottom w:val="single" w:sz="8" w:color="CCCCCC"/>
            </w:tcBorders>
          </w:tcPr>
          <w:p>
            <w:pPr>
              <w:spacing w:after="0"/>
              <w:rPr>
                <w:sz w:val="19"/>
                <w:szCs w:val="19"/>
                <w:color w:val="auto"/>
              </w:rPr>
            </w:pPr>
          </w:p>
        </w:tc>
        <w:tc>
          <w:tcPr>
            <w:tcW w:w="740" w:type="dxa"/>
            <w:vAlign w:val="bottom"/>
            <w:tcBorders>
              <w:bottom w:val="single" w:sz="8" w:color="CCCCCC"/>
            </w:tcBorders>
          </w:tcPr>
          <w:p>
            <w:pPr>
              <w:spacing w:after="0"/>
              <w:rPr>
                <w:sz w:val="19"/>
                <w:szCs w:val="19"/>
                <w:color w:val="auto"/>
              </w:rPr>
            </w:pPr>
          </w:p>
        </w:tc>
        <w:tc>
          <w:tcPr>
            <w:tcW w:w="160" w:type="dxa"/>
            <w:vAlign w:val="bottom"/>
            <w:tcBorders>
              <w:bottom w:val="single" w:sz="8" w:color="CCCCCC"/>
            </w:tcBorders>
          </w:tcPr>
          <w:p>
            <w:pPr>
              <w:spacing w:after="0"/>
              <w:rPr>
                <w:sz w:val="19"/>
                <w:szCs w:val="19"/>
                <w:color w:val="auto"/>
              </w:rPr>
            </w:pPr>
          </w:p>
        </w:tc>
        <w:tc>
          <w:tcPr>
            <w:tcW w:w="600" w:type="dxa"/>
            <w:vAlign w:val="bottom"/>
            <w:tcBorders>
              <w:bottom w:val="single" w:sz="8" w:color="CCCCCC"/>
            </w:tcBorders>
          </w:tcPr>
          <w:p>
            <w:pPr>
              <w:spacing w:after="0"/>
              <w:rPr>
                <w:sz w:val="19"/>
                <w:szCs w:val="19"/>
                <w:color w:val="auto"/>
              </w:rPr>
            </w:pPr>
          </w:p>
        </w:tc>
        <w:tc>
          <w:tcPr>
            <w:tcW w:w="104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r>
      <w:tr>
        <w:trPr>
          <w:trHeight w:val="261"/>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23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​51,579</w:t>
            </w: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​1,437,507</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gridSpan w:val="2"/>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​23,830</w:t>
            </w:r>
          </w:p>
        </w:tc>
        <w:tc>
          <w:tcPr>
            <w:tcW w:w="740" w:type="dxa"/>
            <w:vAlign w:val="bottom"/>
          </w:tcPr>
          <w:p>
            <w:pPr>
              <w:jc w:val="center"/>
              <w:spacing w:after="0"/>
              <w:rPr>
                <w:sz w:val="20"/>
                <w:szCs w:val="20"/>
                <w:color w:val="auto"/>
              </w:rPr>
            </w:pPr>
            <w:r>
              <w:rPr>
                <w:rFonts w:ascii="Arial" w:cs="Arial" w:eastAsia="Arial" w:hAnsi="Arial"/>
                <w:sz w:val="15"/>
                <w:szCs w:val="15"/>
                <w:color w:val="auto"/>
              </w:rPr>
              <w:t>​72,210</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​144,420</w:t>
            </w:r>
          </w:p>
        </w:tc>
        <w:tc>
          <w:tcPr>
            <w:tcW w:w="1040" w:type="dxa"/>
            <w:vAlign w:val="bottom"/>
          </w:tcPr>
          <w:p>
            <w:pPr>
              <w:spacing w:after="0"/>
              <w:rPr>
                <w:sz w:val="22"/>
                <w:szCs w:val="22"/>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​2,012,493</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gridSpan w:val="2"/>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​36,105</w:t>
            </w:r>
          </w:p>
        </w:tc>
        <w:tc>
          <w:tcPr>
            <w:tcW w:w="740" w:type="dxa"/>
            <w:vAlign w:val="bottom"/>
          </w:tcPr>
          <w:p>
            <w:pPr>
              <w:jc w:val="center"/>
              <w:spacing w:after="0"/>
              <w:rPr>
                <w:sz w:val="20"/>
                <w:szCs w:val="20"/>
                <w:color w:val="auto"/>
              </w:rPr>
            </w:pPr>
            <w:r>
              <w:rPr>
                <w:rFonts w:ascii="Arial" w:cs="Arial" w:eastAsia="Arial" w:hAnsi="Arial"/>
                <w:sz w:val="15"/>
                <w:szCs w:val="15"/>
                <w:color w:val="auto"/>
              </w:rPr>
              <w:t>​72,210</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​144,420</w:t>
            </w:r>
          </w:p>
        </w:tc>
        <w:tc>
          <w:tcPr>
            <w:tcW w:w="1040" w:type="dxa"/>
            <w:vAlign w:val="bottom"/>
          </w:tcPr>
          <w:p>
            <w:pPr>
              <w:spacing w:after="0"/>
              <w:rPr>
                <w:sz w:val="22"/>
                <w:szCs w:val="22"/>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5"/>
                <w:szCs w:val="15"/>
                <w:color w:val="auto"/>
              </w:rPr>
              <w:t>​2,012,493</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44"/>
        </w:trPr>
        <w:tc>
          <w:tcPr>
            <w:tcW w:w="1660" w:type="dxa"/>
            <w:vAlign w:val="bottom"/>
          </w:tcPr>
          <w:p>
            <w:pPr>
              <w:spacing w:after="0"/>
              <w:rPr>
                <w:sz w:val="21"/>
                <w:szCs w:val="21"/>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 5,158</w:t>
            </w:r>
          </w:p>
        </w:tc>
        <w:tc>
          <w:tcPr>
            <w:tcW w:w="740" w:type="dxa"/>
            <w:vAlign w:val="bottom"/>
          </w:tcPr>
          <w:p>
            <w:pPr>
              <w:jc w:val="center"/>
              <w:spacing w:after="0"/>
              <w:rPr>
                <w:sz w:val="20"/>
                <w:szCs w:val="20"/>
                <w:color w:val="auto"/>
              </w:rPr>
            </w:pPr>
            <w:r>
              <w:rPr>
                <w:rFonts w:ascii="Arial" w:cs="Arial" w:eastAsia="Arial" w:hAnsi="Arial"/>
                <w:sz w:val="15"/>
                <w:szCs w:val="15"/>
                <w:color w:val="auto"/>
              </w:rPr>
              <w:t>​10,316</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 20,632</w:t>
            </w:r>
          </w:p>
        </w:tc>
        <w:tc>
          <w:tcPr>
            <w:tcW w:w="104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287,507</w:t>
            </w:r>
          </w:p>
        </w:tc>
      </w:tr>
      <w:tr>
        <w:trPr>
          <w:trHeight w:val="60"/>
        </w:trPr>
        <w:tc>
          <w:tcPr>
            <w:tcW w:w="1660" w:type="dxa"/>
            <w:vAlign w:val="bottom"/>
            <w:tcBorders>
              <w:bottom w:val="single" w:sz="8" w:color="CCCCCC"/>
            </w:tcBorders>
          </w:tcPr>
          <w:p>
            <w:pPr>
              <w:spacing w:after="0"/>
              <w:rPr>
                <w:sz w:val="5"/>
                <w:szCs w:val="5"/>
                <w:color w:val="auto"/>
              </w:rPr>
            </w:pPr>
          </w:p>
        </w:tc>
        <w:tc>
          <w:tcPr>
            <w:tcW w:w="780" w:type="dxa"/>
            <w:vAlign w:val="bottom"/>
            <w:tcBorders>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850" w:type="dxa"/>
            <w:vAlign w:val="bottom"/>
            <w:tcBorders>
              <w:bottom w:val="single" w:sz="8" w:color="CCCCCC"/>
            </w:tcBorders>
            <w:gridSpan w:val="2"/>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309"/>
        </w:trPr>
        <w:tc>
          <w:tcPr>
            <w:tcW w:w="16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Christopher A. Foster</w:t>
            </w:r>
          </w:p>
        </w:tc>
        <w:tc>
          <w:tcPr>
            <w:tcW w:w="78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435,000</w:t>
            </w:r>
          </w:p>
        </w:tc>
        <w:tc>
          <w:tcPr>
            <w:tcW w:w="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725,000</w:t>
            </w:r>
          </w:p>
        </w:tc>
        <w:tc>
          <w:tcPr>
            <w:tcW w:w="85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5"/>
                <w:szCs w:val="15"/>
                <w:color w:val="auto"/>
              </w:rPr>
              <w:t>​1,160,000</w:t>
            </w:r>
          </w:p>
        </w:tc>
        <w:tc>
          <w:tcPr>
            <w:tcW w:w="230" w:type="dxa"/>
            <w:vAlign w:val="bottom"/>
            <w:tcBorders>
              <w:bottom w:val="single" w:sz="8" w:color="F2F2F2"/>
            </w:tcBorders>
            <w:shd w:val="clear" w:color="auto" w:fill="F2F2F2"/>
          </w:tcPr>
          <w:p>
            <w:pPr>
              <w:spacing w:after="0"/>
              <w:rPr>
                <w:sz w:val="24"/>
                <w:szCs w:val="24"/>
                <w:color w:val="auto"/>
              </w:rPr>
            </w:pPr>
          </w:p>
        </w:tc>
        <w:tc>
          <w:tcPr>
            <w:tcW w:w="52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spacing w:after="0"/>
              <w:rPr>
                <w:sz w:val="24"/>
                <w:szCs w:val="24"/>
                <w:color w:val="auto"/>
              </w:rPr>
            </w:pPr>
          </w:p>
        </w:tc>
        <w:tc>
          <w:tcPr>
            <w:tcW w:w="160" w:type="dxa"/>
            <w:vAlign w:val="bottom"/>
            <w:tcBorders>
              <w:bottom w:val="single" w:sz="8" w:color="F2F2F2"/>
            </w:tcBorders>
            <w:shd w:val="clear" w:color="auto" w:fill="F2F2F2"/>
          </w:tcPr>
          <w:p>
            <w:pPr>
              <w:spacing w:after="0"/>
              <w:rPr>
                <w:sz w:val="24"/>
                <w:szCs w:val="24"/>
                <w:color w:val="auto"/>
              </w:rPr>
            </w:pPr>
          </w:p>
        </w:tc>
        <w:tc>
          <w:tcPr>
            <w:tcW w:w="600" w:type="dxa"/>
            <w:vAlign w:val="bottom"/>
            <w:tcBorders>
              <w:bottom w:val="single" w:sz="8" w:color="F2F2F2"/>
            </w:tcBorders>
            <w:shd w:val="clear" w:color="auto" w:fill="F2F2F2"/>
          </w:tcPr>
          <w:p>
            <w:pPr>
              <w:spacing w:after="0"/>
              <w:rPr>
                <w:sz w:val="24"/>
                <w:szCs w:val="24"/>
                <w:color w:val="auto"/>
              </w:rPr>
            </w:pPr>
          </w:p>
        </w:tc>
        <w:tc>
          <w:tcPr>
            <w:tcW w:w="104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spacing w:after="0"/>
              <w:rPr>
                <w:sz w:val="24"/>
                <w:szCs w:val="24"/>
                <w:color w:val="auto"/>
              </w:rPr>
            </w:pPr>
          </w:p>
        </w:tc>
        <w:tc>
          <w:tcPr>
            <w:tcW w:w="720" w:type="dxa"/>
            <w:vAlign w:val="bottom"/>
            <w:tcBorders>
              <w:bottom w:val="single" w:sz="8" w:color="F2F2F2"/>
            </w:tcBorders>
            <w:shd w:val="clear" w:color="auto" w:fill="F2F2F2"/>
          </w:tcPr>
          <w:p>
            <w:pPr>
              <w:spacing w:after="0"/>
              <w:rPr>
                <w:sz w:val="24"/>
                <w:szCs w:val="24"/>
                <w:color w:val="auto"/>
              </w:rPr>
            </w:pP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gridSpan w:val="2"/>
            <w:shd w:val="clear" w:color="auto" w:fill="F2F2F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230" w:type="dxa"/>
            <w:vAlign w:val="bottom"/>
            <w:tcBorders>
              <w:top w:val="single" w:sz="8" w:color="CCCCCC"/>
              <w:bottom w:val="single" w:sz="8" w:color="F2F2F2"/>
            </w:tcBorders>
            <w:shd w:val="clear" w:color="auto" w:fill="F2F2F2"/>
          </w:tcPr>
          <w:p>
            <w:pPr>
              <w:spacing w:after="0"/>
              <w:rPr>
                <w:sz w:val="24"/>
                <w:szCs w:val="24"/>
                <w:color w:val="auto"/>
              </w:rPr>
            </w:pPr>
          </w:p>
        </w:tc>
        <w:tc>
          <w:tcPr>
            <w:tcW w:w="520" w:type="dxa"/>
            <w:vAlign w:val="bottom"/>
            <w:tcBorders>
              <w:top w:val="single" w:sz="8" w:color="CCCCCC"/>
              <w:bottom w:val="single" w:sz="8" w:color="F2F2F2"/>
            </w:tcBorders>
            <w:shd w:val="clear" w:color="auto" w:fill="F2F2F2"/>
          </w:tcPr>
          <w:p>
            <w:pPr>
              <w:spacing w:after="0"/>
              <w:rPr>
                <w:sz w:val="24"/>
                <w:szCs w:val="24"/>
                <w:color w:val="auto"/>
              </w:rPr>
            </w:pPr>
          </w:p>
        </w:tc>
        <w:tc>
          <w:tcPr>
            <w:tcW w:w="740" w:type="dxa"/>
            <w:vAlign w:val="bottom"/>
            <w:tcBorders>
              <w:top w:val="single" w:sz="8" w:color="CCCCCC"/>
              <w:bottom w:val="single" w:sz="8" w:color="F2F2F2"/>
            </w:tcBorders>
            <w:shd w:val="clear" w:color="auto" w:fill="F2F2F2"/>
          </w:tcPr>
          <w:p>
            <w:pPr>
              <w:spacing w:after="0"/>
              <w:rPr>
                <w:sz w:val="24"/>
                <w:szCs w:val="24"/>
                <w:color w:val="auto"/>
              </w:rPr>
            </w:pPr>
          </w:p>
        </w:tc>
        <w:tc>
          <w:tcPr>
            <w:tcW w:w="160" w:type="dxa"/>
            <w:vAlign w:val="bottom"/>
            <w:tcBorders>
              <w:top w:val="single" w:sz="8" w:color="CCCCCC"/>
              <w:bottom w:val="single" w:sz="8" w:color="F2F2F2"/>
            </w:tcBorders>
            <w:shd w:val="clear" w:color="auto" w:fill="F2F2F2"/>
          </w:tcPr>
          <w:p>
            <w:pPr>
              <w:spacing w:after="0"/>
              <w:rPr>
                <w:sz w:val="24"/>
                <w:szCs w:val="24"/>
                <w:color w:val="auto"/>
              </w:rPr>
            </w:pPr>
          </w:p>
        </w:tc>
        <w:tc>
          <w:tcPr>
            <w:tcW w:w="600" w:type="dxa"/>
            <w:vAlign w:val="bottom"/>
            <w:tcBorders>
              <w:top w:val="single" w:sz="8" w:color="CCCCCC"/>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​16,909</w:t>
            </w: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471,254</w:t>
            </w: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7,812</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​23,672</w:t>
            </w:r>
          </w:p>
        </w:tc>
        <w:tc>
          <w:tcPr>
            <w:tcW w:w="760" w:type="dxa"/>
            <w:vAlign w:val="bottom"/>
            <w:tcBorders>
              <w:top w:val="single" w:sz="8" w:color="CCCCCC"/>
              <w:bottom w:val="single" w:sz="8" w:color="F2F2F2"/>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47,344</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659,739</w:t>
            </w: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​11,836</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​23,672</w:t>
            </w:r>
          </w:p>
        </w:tc>
        <w:tc>
          <w:tcPr>
            <w:tcW w:w="760" w:type="dxa"/>
            <w:vAlign w:val="bottom"/>
            <w:tcBorders>
              <w:top w:val="single" w:sz="8" w:color="CCCCCC"/>
              <w:bottom w:val="single" w:sz="8" w:color="F2F2F2"/>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47,344</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659,739</w:t>
            </w:r>
          </w:p>
        </w:tc>
      </w:tr>
      <w:tr>
        <w:trPr>
          <w:trHeight w:val="309"/>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1,691</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3,382</w:t>
            </w:r>
          </w:p>
        </w:tc>
        <w:tc>
          <w:tcPr>
            <w:tcW w:w="160" w:type="dxa"/>
            <w:vAlign w:val="bottom"/>
            <w:tcBorders>
              <w:top w:val="single" w:sz="8" w:color="CCCCCC"/>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CCCCCC"/>
              <w:bottom w:val="single" w:sz="8" w:color="F2F2F2"/>
            </w:tcBorders>
            <w:shd w:val="clear" w:color="auto" w:fill="F2F2F2"/>
          </w:tcPr>
          <w:p>
            <w:pPr>
              <w:jc w:val="right"/>
              <w:ind w:right="7"/>
              <w:spacing w:after="0"/>
              <w:rPr>
                <w:sz w:val="20"/>
                <w:szCs w:val="20"/>
                <w:color w:val="auto"/>
              </w:rPr>
            </w:pPr>
            <w:r>
              <w:rPr>
                <w:rFonts w:ascii="Arial" w:cs="Arial" w:eastAsia="Arial" w:hAnsi="Arial"/>
                <w:sz w:val="15"/>
                <w:szCs w:val="15"/>
                <w:color w:val="auto"/>
              </w:rPr>
              <w:t>6,764</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94,256</w:t>
            </w:r>
          </w:p>
        </w:tc>
      </w:tr>
      <w:tr>
        <w:trPr>
          <w:trHeight w:val="244"/>
        </w:trPr>
        <w:tc>
          <w:tcPr>
            <w:tcW w:w="1660" w:type="dxa"/>
            <w:vAlign w:val="bottom"/>
            <w:tcBorders>
              <w:top w:val="single" w:sz="8" w:color="CCCCCC"/>
            </w:tcBorders>
          </w:tcPr>
          <w:p>
            <w:pPr>
              <w:ind w:left="100"/>
              <w:spacing w:after="0"/>
              <w:rPr>
                <w:sz w:val="20"/>
                <w:szCs w:val="20"/>
                <w:color w:val="auto"/>
              </w:rPr>
            </w:pPr>
            <w:r>
              <w:rPr>
                <w:rFonts w:ascii="Arial" w:cs="Arial" w:eastAsia="Arial" w:hAnsi="Arial"/>
                <w:sz w:val="15"/>
                <w:szCs w:val="15"/>
                <w:color w:val="auto"/>
              </w:rPr>
              <w:t>Monica Karuturi</w:t>
            </w:r>
          </w:p>
        </w:tc>
        <w:tc>
          <w:tcPr>
            <w:tcW w:w="780" w:type="dxa"/>
            <w:vAlign w:val="bottom"/>
            <w:tcBorders>
              <w:top w:val="single" w:sz="8" w:color="CCCCCC"/>
            </w:tcBorders>
          </w:tcPr>
          <w:p>
            <w:pPr>
              <w:spacing w:after="0"/>
              <w:rPr>
                <w:sz w:val="21"/>
                <w:szCs w:val="21"/>
                <w:color w:val="auto"/>
              </w:rPr>
            </w:pPr>
          </w:p>
        </w:tc>
        <w:tc>
          <w:tcPr>
            <w:tcW w:w="260" w:type="dxa"/>
            <w:vAlign w:val="bottom"/>
            <w:tcBorders>
              <w:top w:val="single" w:sz="8" w:color="CCCCCC"/>
            </w:tcBorders>
          </w:tcPr>
          <w:p>
            <w:pPr>
              <w:ind w:left="160"/>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CCCCCC"/>
            </w:tcBorders>
          </w:tcPr>
          <w:p>
            <w:pPr>
              <w:jc w:val="right"/>
              <w:ind w:right="27"/>
              <w:spacing w:after="0"/>
              <w:rPr>
                <w:sz w:val="20"/>
                <w:szCs w:val="20"/>
                <w:color w:val="auto"/>
              </w:rPr>
            </w:pPr>
            <w:r>
              <w:rPr>
                <w:rFonts w:ascii="Arial" w:cs="Arial" w:eastAsia="Arial" w:hAnsi="Arial"/>
                <w:sz w:val="15"/>
                <w:szCs w:val="15"/>
                <w:color w:val="auto"/>
              </w:rPr>
              <w:t>435,000</w:t>
            </w:r>
          </w:p>
        </w:tc>
        <w:tc>
          <w:tcPr>
            <w:tcW w:w="180" w:type="dxa"/>
            <w:vAlign w:val="bottom"/>
            <w:tcBorders>
              <w:top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CCCCCC"/>
            </w:tcBorders>
          </w:tcPr>
          <w:p>
            <w:pPr>
              <w:jc w:val="right"/>
              <w:ind w:right="27"/>
              <w:spacing w:after="0"/>
              <w:rPr>
                <w:sz w:val="20"/>
                <w:szCs w:val="20"/>
                <w:color w:val="auto"/>
              </w:rPr>
            </w:pPr>
            <w:r>
              <w:rPr>
                <w:rFonts w:ascii="Arial" w:cs="Arial" w:eastAsia="Arial" w:hAnsi="Arial"/>
                <w:sz w:val="15"/>
                <w:szCs w:val="15"/>
                <w:color w:val="auto"/>
              </w:rPr>
              <w:t>725,000</w:t>
            </w:r>
          </w:p>
        </w:tc>
        <w:tc>
          <w:tcPr>
            <w:tcW w:w="850" w:type="dxa"/>
            <w:vAlign w:val="bottom"/>
            <w:tcBorders>
              <w:top w:val="single" w:sz="8" w:color="CCCCCC"/>
            </w:tcBorders>
            <w:gridSpan w:val="2"/>
          </w:tcPr>
          <w:p>
            <w:pPr>
              <w:jc w:val="right"/>
              <w:spacing w:after="0"/>
              <w:rPr>
                <w:sz w:val="20"/>
                <w:szCs w:val="20"/>
                <w:color w:val="auto"/>
              </w:rPr>
            </w:pPr>
            <w:r>
              <w:rPr>
                <w:rFonts w:ascii="Arial" w:cs="Arial" w:eastAsia="Arial" w:hAnsi="Arial"/>
                <w:sz w:val="15"/>
                <w:szCs w:val="15"/>
                <w:color w:val="auto"/>
              </w:rPr>
              <w:t>​1,160,000</w:t>
            </w:r>
          </w:p>
        </w:tc>
        <w:tc>
          <w:tcPr>
            <w:tcW w:w="230" w:type="dxa"/>
            <w:vAlign w:val="bottom"/>
            <w:tcBorders>
              <w:top w:val="single" w:sz="8" w:color="CCCCCC"/>
            </w:tcBorders>
          </w:tcPr>
          <w:p>
            <w:pPr>
              <w:spacing w:after="0"/>
              <w:rPr>
                <w:sz w:val="21"/>
                <w:szCs w:val="21"/>
                <w:color w:val="auto"/>
              </w:rPr>
            </w:pPr>
          </w:p>
        </w:tc>
        <w:tc>
          <w:tcPr>
            <w:tcW w:w="520" w:type="dxa"/>
            <w:vAlign w:val="bottom"/>
            <w:tcBorders>
              <w:top w:val="single" w:sz="8" w:color="CCCCCC"/>
            </w:tcBorders>
          </w:tcPr>
          <w:p>
            <w:pPr>
              <w:spacing w:after="0"/>
              <w:rPr>
                <w:sz w:val="21"/>
                <w:szCs w:val="21"/>
                <w:color w:val="auto"/>
              </w:rPr>
            </w:pPr>
          </w:p>
        </w:tc>
        <w:tc>
          <w:tcPr>
            <w:tcW w:w="740" w:type="dxa"/>
            <w:vAlign w:val="bottom"/>
            <w:tcBorders>
              <w:top w:val="single" w:sz="8" w:color="CCCCCC"/>
            </w:tcBorders>
          </w:tcPr>
          <w:p>
            <w:pPr>
              <w:spacing w:after="0"/>
              <w:rPr>
                <w:sz w:val="21"/>
                <w:szCs w:val="21"/>
                <w:color w:val="auto"/>
              </w:rPr>
            </w:pPr>
          </w:p>
        </w:tc>
        <w:tc>
          <w:tcPr>
            <w:tcW w:w="160" w:type="dxa"/>
            <w:vAlign w:val="bottom"/>
            <w:tcBorders>
              <w:top w:val="single" w:sz="8" w:color="CCCCCC"/>
            </w:tcBorders>
          </w:tcPr>
          <w:p>
            <w:pPr>
              <w:spacing w:after="0"/>
              <w:rPr>
                <w:sz w:val="21"/>
                <w:szCs w:val="21"/>
                <w:color w:val="auto"/>
              </w:rPr>
            </w:pPr>
          </w:p>
        </w:tc>
        <w:tc>
          <w:tcPr>
            <w:tcW w:w="600" w:type="dxa"/>
            <w:vAlign w:val="bottom"/>
            <w:tcBorders>
              <w:top w:val="single" w:sz="8" w:color="CCCCCC"/>
            </w:tcBorders>
          </w:tcPr>
          <w:p>
            <w:pPr>
              <w:spacing w:after="0"/>
              <w:rPr>
                <w:sz w:val="21"/>
                <w:szCs w:val="21"/>
                <w:color w:val="auto"/>
              </w:rPr>
            </w:pPr>
          </w:p>
        </w:tc>
        <w:tc>
          <w:tcPr>
            <w:tcW w:w="1040" w:type="dxa"/>
            <w:vAlign w:val="bottom"/>
            <w:tcBorders>
              <w:top w:val="single" w:sz="8" w:color="CCCCCC"/>
            </w:tcBorders>
          </w:tcPr>
          <w:p>
            <w:pPr>
              <w:spacing w:after="0"/>
              <w:rPr>
                <w:sz w:val="21"/>
                <w:szCs w:val="21"/>
                <w:color w:val="auto"/>
              </w:rPr>
            </w:pPr>
          </w:p>
        </w:tc>
        <w:tc>
          <w:tcPr>
            <w:tcW w:w="120" w:type="dxa"/>
            <w:vAlign w:val="bottom"/>
            <w:tcBorders>
              <w:top w:val="single" w:sz="8" w:color="CCCCCC"/>
            </w:tcBorders>
          </w:tcPr>
          <w:p>
            <w:pPr>
              <w:spacing w:after="0"/>
              <w:rPr>
                <w:sz w:val="21"/>
                <w:szCs w:val="21"/>
                <w:color w:val="auto"/>
              </w:rPr>
            </w:pPr>
          </w:p>
        </w:tc>
        <w:tc>
          <w:tcPr>
            <w:tcW w:w="720" w:type="dxa"/>
            <w:vAlign w:val="bottom"/>
            <w:tcBorders>
              <w:top w:val="single" w:sz="8" w:color="CCCCCC"/>
            </w:tcBorders>
          </w:tcPr>
          <w:p>
            <w:pPr>
              <w:spacing w:after="0"/>
              <w:rPr>
                <w:sz w:val="21"/>
                <w:szCs w:val="21"/>
                <w:color w:val="auto"/>
              </w:rPr>
            </w:pP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23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​16,909</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471,254</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 7,812</w:t>
            </w:r>
          </w:p>
        </w:tc>
        <w:tc>
          <w:tcPr>
            <w:tcW w:w="740" w:type="dxa"/>
            <w:vAlign w:val="bottom"/>
          </w:tcPr>
          <w:p>
            <w:pPr>
              <w:jc w:val="center"/>
              <w:spacing w:after="0"/>
              <w:rPr>
                <w:sz w:val="20"/>
                <w:szCs w:val="20"/>
                <w:color w:val="auto"/>
              </w:rPr>
            </w:pPr>
            <w:r>
              <w:rPr>
                <w:rFonts w:ascii="Arial" w:cs="Arial" w:eastAsia="Arial" w:hAnsi="Arial"/>
                <w:sz w:val="15"/>
                <w:szCs w:val="15"/>
                <w:color w:val="auto"/>
              </w:rPr>
              <w:t>​23,672</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 47,344</w:t>
            </w:r>
          </w:p>
        </w:tc>
        <w:tc>
          <w:tcPr>
            <w:tcW w:w="104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659,739</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​11,836</w:t>
            </w:r>
          </w:p>
        </w:tc>
        <w:tc>
          <w:tcPr>
            <w:tcW w:w="740" w:type="dxa"/>
            <w:vAlign w:val="bottom"/>
          </w:tcPr>
          <w:p>
            <w:pPr>
              <w:jc w:val="center"/>
              <w:spacing w:after="0"/>
              <w:rPr>
                <w:sz w:val="20"/>
                <w:szCs w:val="20"/>
                <w:color w:val="auto"/>
              </w:rPr>
            </w:pPr>
            <w:r>
              <w:rPr>
                <w:rFonts w:ascii="Arial" w:cs="Arial" w:eastAsia="Arial" w:hAnsi="Arial"/>
                <w:sz w:val="15"/>
                <w:szCs w:val="15"/>
                <w:color w:val="auto"/>
              </w:rPr>
              <w:t>​23,672</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 47,344</w:t>
            </w:r>
          </w:p>
        </w:tc>
        <w:tc>
          <w:tcPr>
            <w:tcW w:w="104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659,739</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44"/>
        </w:trPr>
        <w:tc>
          <w:tcPr>
            <w:tcW w:w="1660" w:type="dxa"/>
            <w:vAlign w:val="bottom"/>
          </w:tcPr>
          <w:p>
            <w:pPr>
              <w:spacing w:after="0"/>
              <w:rPr>
                <w:sz w:val="21"/>
                <w:szCs w:val="21"/>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 1,691</w:t>
            </w:r>
          </w:p>
        </w:tc>
        <w:tc>
          <w:tcPr>
            <w:tcW w:w="740" w:type="dxa"/>
            <w:vAlign w:val="bottom"/>
          </w:tcPr>
          <w:p>
            <w:pPr>
              <w:jc w:val="center"/>
              <w:spacing w:after="0"/>
              <w:rPr>
                <w:sz w:val="20"/>
                <w:szCs w:val="20"/>
                <w:color w:val="auto"/>
              </w:rPr>
            </w:pPr>
            <w:r>
              <w:rPr>
                <w:rFonts w:ascii="Arial" w:cs="Arial" w:eastAsia="Arial" w:hAnsi="Arial"/>
                <w:sz w:val="15"/>
                <w:szCs w:val="15"/>
                <w:color w:val="auto"/>
              </w:rPr>
              <w:t>​ 3,382</w:t>
            </w:r>
          </w:p>
        </w:tc>
        <w:tc>
          <w:tcPr>
            <w:tcW w:w="160" w:type="dxa"/>
            <w:vAlign w:val="bottom"/>
          </w:tcPr>
          <w:p>
            <w:pPr>
              <w:ind w:left="10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6,764</w:t>
            </w:r>
          </w:p>
        </w:tc>
        <w:tc>
          <w:tcPr>
            <w:tcW w:w="104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94,256</w:t>
            </w:r>
          </w:p>
        </w:tc>
      </w:tr>
      <w:tr>
        <w:trPr>
          <w:trHeight w:val="60"/>
        </w:trPr>
        <w:tc>
          <w:tcPr>
            <w:tcW w:w="1660" w:type="dxa"/>
            <w:vAlign w:val="bottom"/>
            <w:tcBorders>
              <w:bottom w:val="single" w:sz="8" w:color="CCCCCC"/>
            </w:tcBorders>
          </w:tcPr>
          <w:p>
            <w:pPr>
              <w:spacing w:after="0"/>
              <w:rPr>
                <w:sz w:val="5"/>
                <w:szCs w:val="5"/>
                <w:color w:val="auto"/>
              </w:rPr>
            </w:pPr>
          </w:p>
        </w:tc>
        <w:tc>
          <w:tcPr>
            <w:tcW w:w="780" w:type="dxa"/>
            <w:vAlign w:val="bottom"/>
            <w:tcBorders>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309"/>
        </w:trPr>
        <w:tc>
          <w:tcPr>
            <w:tcW w:w="16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Jason M. Ryan</w:t>
            </w:r>
          </w:p>
        </w:tc>
        <w:tc>
          <w:tcPr>
            <w:tcW w:w="78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275,625</w:t>
            </w:r>
          </w:p>
        </w:tc>
        <w:tc>
          <w:tcPr>
            <w:tcW w:w="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459,375</w:t>
            </w:r>
          </w:p>
        </w:tc>
        <w:tc>
          <w:tcPr>
            <w:tcW w:w="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67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735,000</w:t>
            </w:r>
          </w:p>
        </w:tc>
        <w:tc>
          <w:tcPr>
            <w:tcW w:w="230" w:type="dxa"/>
            <w:vAlign w:val="bottom"/>
            <w:tcBorders>
              <w:bottom w:val="single" w:sz="8" w:color="F2F2F2"/>
            </w:tcBorders>
            <w:shd w:val="clear" w:color="auto" w:fill="F2F2F2"/>
          </w:tcPr>
          <w:p>
            <w:pPr>
              <w:spacing w:after="0"/>
              <w:rPr>
                <w:sz w:val="24"/>
                <w:szCs w:val="24"/>
                <w:color w:val="auto"/>
              </w:rPr>
            </w:pPr>
          </w:p>
        </w:tc>
        <w:tc>
          <w:tcPr>
            <w:tcW w:w="52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spacing w:after="0"/>
              <w:rPr>
                <w:sz w:val="24"/>
                <w:szCs w:val="24"/>
                <w:color w:val="auto"/>
              </w:rPr>
            </w:pPr>
          </w:p>
        </w:tc>
        <w:tc>
          <w:tcPr>
            <w:tcW w:w="160" w:type="dxa"/>
            <w:vAlign w:val="bottom"/>
            <w:tcBorders>
              <w:bottom w:val="single" w:sz="8" w:color="F2F2F2"/>
            </w:tcBorders>
            <w:shd w:val="clear" w:color="auto" w:fill="F2F2F2"/>
          </w:tcPr>
          <w:p>
            <w:pPr>
              <w:spacing w:after="0"/>
              <w:rPr>
                <w:sz w:val="24"/>
                <w:szCs w:val="24"/>
                <w:color w:val="auto"/>
              </w:rPr>
            </w:pPr>
          </w:p>
        </w:tc>
        <w:tc>
          <w:tcPr>
            <w:tcW w:w="600" w:type="dxa"/>
            <w:vAlign w:val="bottom"/>
            <w:tcBorders>
              <w:bottom w:val="single" w:sz="8" w:color="F2F2F2"/>
            </w:tcBorders>
            <w:shd w:val="clear" w:color="auto" w:fill="F2F2F2"/>
          </w:tcPr>
          <w:p>
            <w:pPr>
              <w:spacing w:after="0"/>
              <w:rPr>
                <w:sz w:val="24"/>
                <w:szCs w:val="24"/>
                <w:color w:val="auto"/>
              </w:rPr>
            </w:pPr>
          </w:p>
        </w:tc>
        <w:tc>
          <w:tcPr>
            <w:tcW w:w="104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spacing w:after="0"/>
              <w:rPr>
                <w:sz w:val="24"/>
                <w:szCs w:val="24"/>
                <w:color w:val="auto"/>
              </w:rPr>
            </w:pPr>
          </w:p>
        </w:tc>
        <w:tc>
          <w:tcPr>
            <w:tcW w:w="720" w:type="dxa"/>
            <w:vAlign w:val="bottom"/>
            <w:tcBorders>
              <w:bottom w:val="single" w:sz="8" w:color="F2F2F2"/>
            </w:tcBorders>
            <w:shd w:val="clear" w:color="auto" w:fill="F2F2F2"/>
          </w:tcPr>
          <w:p>
            <w:pPr>
              <w:spacing w:after="0"/>
              <w:rPr>
                <w:sz w:val="24"/>
                <w:szCs w:val="24"/>
                <w:color w:val="auto"/>
              </w:rPr>
            </w:pP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gridSpan w:val="2"/>
            <w:shd w:val="clear" w:color="auto" w:fill="F2F2F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230" w:type="dxa"/>
            <w:vAlign w:val="bottom"/>
            <w:tcBorders>
              <w:top w:val="single" w:sz="8" w:color="CCCCCC"/>
              <w:bottom w:val="single" w:sz="8" w:color="F2F2F2"/>
            </w:tcBorders>
            <w:shd w:val="clear" w:color="auto" w:fill="F2F2F2"/>
          </w:tcPr>
          <w:p>
            <w:pPr>
              <w:spacing w:after="0"/>
              <w:rPr>
                <w:sz w:val="24"/>
                <w:szCs w:val="24"/>
                <w:color w:val="auto"/>
              </w:rPr>
            </w:pPr>
          </w:p>
        </w:tc>
        <w:tc>
          <w:tcPr>
            <w:tcW w:w="520" w:type="dxa"/>
            <w:vAlign w:val="bottom"/>
            <w:tcBorders>
              <w:top w:val="single" w:sz="8" w:color="CCCCCC"/>
              <w:bottom w:val="single" w:sz="8" w:color="F2F2F2"/>
            </w:tcBorders>
            <w:shd w:val="clear" w:color="auto" w:fill="F2F2F2"/>
          </w:tcPr>
          <w:p>
            <w:pPr>
              <w:spacing w:after="0"/>
              <w:rPr>
                <w:sz w:val="24"/>
                <w:szCs w:val="24"/>
                <w:color w:val="auto"/>
              </w:rPr>
            </w:pPr>
          </w:p>
        </w:tc>
        <w:tc>
          <w:tcPr>
            <w:tcW w:w="740" w:type="dxa"/>
            <w:vAlign w:val="bottom"/>
            <w:tcBorders>
              <w:top w:val="single" w:sz="8" w:color="CCCCCC"/>
              <w:bottom w:val="single" w:sz="8" w:color="F2F2F2"/>
            </w:tcBorders>
            <w:shd w:val="clear" w:color="auto" w:fill="F2F2F2"/>
          </w:tcPr>
          <w:p>
            <w:pPr>
              <w:spacing w:after="0"/>
              <w:rPr>
                <w:sz w:val="24"/>
                <w:szCs w:val="24"/>
                <w:color w:val="auto"/>
              </w:rPr>
            </w:pPr>
          </w:p>
        </w:tc>
        <w:tc>
          <w:tcPr>
            <w:tcW w:w="160" w:type="dxa"/>
            <w:vAlign w:val="bottom"/>
            <w:tcBorders>
              <w:top w:val="single" w:sz="8" w:color="CCCCCC"/>
              <w:bottom w:val="single" w:sz="8" w:color="F2F2F2"/>
            </w:tcBorders>
            <w:shd w:val="clear" w:color="auto" w:fill="F2F2F2"/>
          </w:tcPr>
          <w:p>
            <w:pPr>
              <w:spacing w:after="0"/>
              <w:rPr>
                <w:sz w:val="24"/>
                <w:szCs w:val="24"/>
                <w:color w:val="auto"/>
              </w:rPr>
            </w:pPr>
          </w:p>
        </w:tc>
        <w:tc>
          <w:tcPr>
            <w:tcW w:w="600" w:type="dxa"/>
            <w:vAlign w:val="bottom"/>
            <w:tcBorders>
              <w:top w:val="single" w:sz="8" w:color="CCCCCC"/>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9,419</w:t>
            </w: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262,508</w:t>
            </w: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4,352</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​13,186</w:t>
            </w:r>
          </w:p>
        </w:tc>
        <w:tc>
          <w:tcPr>
            <w:tcW w:w="760" w:type="dxa"/>
            <w:vAlign w:val="bottom"/>
            <w:tcBorders>
              <w:top w:val="single" w:sz="8" w:color="CCCCCC"/>
              <w:bottom w:val="single" w:sz="8" w:color="F2F2F2"/>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26,372</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367,494</w:t>
            </w: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6,593</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​13,186</w:t>
            </w:r>
          </w:p>
        </w:tc>
        <w:tc>
          <w:tcPr>
            <w:tcW w:w="760" w:type="dxa"/>
            <w:vAlign w:val="bottom"/>
            <w:tcBorders>
              <w:top w:val="single" w:sz="8" w:color="CCCCCC"/>
              <w:bottom w:val="single" w:sz="8" w:color="F2F2F2"/>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26,372</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367,494</w:t>
            </w:r>
          </w:p>
        </w:tc>
      </w:tr>
      <w:tr>
        <w:trPr>
          <w:trHeight w:val="244"/>
        </w:trPr>
        <w:tc>
          <w:tcPr>
            <w:tcW w:w="1660" w:type="dxa"/>
            <w:vAlign w:val="bottom"/>
            <w:tcBorders>
              <w:top w:val="single" w:sz="8" w:color="F2F2F2"/>
            </w:tcBorders>
            <w:shd w:val="clear" w:color="auto" w:fill="F2F2F2"/>
          </w:tcPr>
          <w:p>
            <w:pPr>
              <w:spacing w:after="0"/>
              <w:rPr>
                <w:sz w:val="21"/>
                <w:szCs w:val="21"/>
                <w:color w:val="auto"/>
              </w:rPr>
            </w:pPr>
          </w:p>
        </w:tc>
        <w:tc>
          <w:tcPr>
            <w:tcW w:w="780" w:type="dxa"/>
            <w:vAlign w:val="bottom"/>
            <w:tcBorders>
              <w:top w:val="single" w:sz="8" w:color="CCCCCC"/>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tcBorders>
            <w:shd w:val="clear" w:color="auto" w:fill="F2F2F2"/>
          </w:tcPr>
          <w:p>
            <w:pPr>
              <w:spacing w:after="0"/>
              <w:rPr>
                <w:sz w:val="21"/>
                <w:szCs w:val="21"/>
                <w:color w:val="auto"/>
              </w:rPr>
            </w:pPr>
          </w:p>
        </w:tc>
        <w:tc>
          <w:tcPr>
            <w:tcW w:w="700" w:type="dxa"/>
            <w:vAlign w:val="bottom"/>
            <w:tcBorders>
              <w:top w:val="single" w:sz="8" w:color="CCCCCC"/>
            </w:tcBorders>
            <w:shd w:val="clear" w:color="auto" w:fill="F2F2F2"/>
          </w:tcPr>
          <w:p>
            <w:pPr>
              <w:spacing w:after="0"/>
              <w:rPr>
                <w:sz w:val="21"/>
                <w:szCs w:val="21"/>
                <w:color w:val="auto"/>
              </w:rPr>
            </w:pPr>
          </w:p>
        </w:tc>
        <w:tc>
          <w:tcPr>
            <w:tcW w:w="180" w:type="dxa"/>
            <w:vAlign w:val="bottom"/>
            <w:tcBorders>
              <w:top w:val="single" w:sz="8" w:color="CCCCCC"/>
            </w:tcBorders>
            <w:shd w:val="clear" w:color="auto" w:fill="F2F2F2"/>
          </w:tcPr>
          <w:p>
            <w:pPr>
              <w:spacing w:after="0"/>
              <w:rPr>
                <w:sz w:val="21"/>
                <w:szCs w:val="21"/>
                <w:color w:val="auto"/>
              </w:rPr>
            </w:pPr>
          </w:p>
        </w:tc>
        <w:tc>
          <w:tcPr>
            <w:tcW w:w="700" w:type="dxa"/>
            <w:vAlign w:val="bottom"/>
            <w:tcBorders>
              <w:top w:val="single" w:sz="8" w:color="CCCCCC"/>
            </w:tcBorders>
            <w:shd w:val="clear" w:color="auto" w:fill="F2F2F2"/>
          </w:tcPr>
          <w:p>
            <w:pPr>
              <w:spacing w:after="0"/>
              <w:rPr>
                <w:sz w:val="21"/>
                <w:szCs w:val="21"/>
                <w:color w:val="auto"/>
              </w:rPr>
            </w:pPr>
          </w:p>
        </w:tc>
        <w:tc>
          <w:tcPr>
            <w:tcW w:w="180" w:type="dxa"/>
            <w:vAlign w:val="bottom"/>
            <w:tcBorders>
              <w:top w:val="single" w:sz="8" w:color="CCCCCC"/>
            </w:tcBorders>
            <w:shd w:val="clear" w:color="auto" w:fill="F2F2F2"/>
          </w:tcPr>
          <w:p>
            <w:pPr>
              <w:spacing w:after="0"/>
              <w:rPr>
                <w:sz w:val="21"/>
                <w:szCs w:val="21"/>
                <w:color w:val="auto"/>
              </w:rPr>
            </w:pPr>
          </w:p>
        </w:tc>
        <w:tc>
          <w:tcPr>
            <w:tcW w:w="670" w:type="dxa"/>
            <w:vAlign w:val="bottom"/>
            <w:tcBorders>
              <w:top w:val="single" w:sz="8" w:color="CCCCCC"/>
            </w:tcBorders>
            <w:shd w:val="clear" w:color="auto" w:fill="F2F2F2"/>
          </w:tcPr>
          <w:p>
            <w:pPr>
              <w:spacing w:after="0"/>
              <w:rPr>
                <w:sz w:val="21"/>
                <w:szCs w:val="21"/>
                <w:color w:val="auto"/>
              </w:rPr>
            </w:pPr>
          </w:p>
        </w:tc>
        <w:tc>
          <w:tcPr>
            <w:tcW w:w="230" w:type="dxa"/>
            <w:vAlign w:val="bottom"/>
            <w:tcBorders>
              <w:top w:val="single" w:sz="8" w:color="CCCCCC"/>
            </w:tcBorders>
            <w:shd w:val="clear" w:color="auto" w:fill="F2F2F2"/>
          </w:tcPr>
          <w:p>
            <w:pPr>
              <w:ind w:left="13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CCCCCC"/>
            </w:tcBorders>
            <w:shd w:val="clear" w:color="auto" w:fill="F2F2F2"/>
          </w:tcPr>
          <w:p>
            <w:pPr>
              <w:jc w:val="right"/>
              <w:ind w:right="69"/>
              <w:spacing w:after="0"/>
              <w:rPr>
                <w:sz w:val="20"/>
                <w:szCs w:val="20"/>
                <w:color w:val="auto"/>
              </w:rPr>
            </w:pPr>
            <w:r>
              <w:rPr>
                <w:rFonts w:ascii="Arial" w:cs="Arial" w:eastAsia="Arial" w:hAnsi="Arial"/>
                <w:sz w:val="15"/>
                <w:szCs w:val="15"/>
                <w:color w:val="auto"/>
              </w:rPr>
              <w:t>942</w:t>
            </w:r>
          </w:p>
        </w:tc>
        <w:tc>
          <w:tcPr>
            <w:tcW w:w="740" w:type="dxa"/>
            <w:vAlign w:val="bottom"/>
            <w:tcBorders>
              <w:top w:val="single" w:sz="8" w:color="CCCCCC"/>
            </w:tcBorders>
            <w:shd w:val="clear" w:color="auto" w:fill="F2F2F2"/>
          </w:tcPr>
          <w:p>
            <w:pPr>
              <w:jc w:val="center"/>
              <w:spacing w:after="0"/>
              <w:rPr>
                <w:sz w:val="20"/>
                <w:szCs w:val="20"/>
                <w:color w:val="auto"/>
              </w:rPr>
            </w:pPr>
            <w:r>
              <w:rPr>
                <w:rFonts w:ascii="Arial" w:cs="Arial" w:eastAsia="Arial" w:hAnsi="Arial"/>
                <w:sz w:val="15"/>
                <w:szCs w:val="15"/>
                <w:color w:val="auto"/>
              </w:rPr>
              <w:t>​ 1,884</w:t>
            </w:r>
          </w:p>
        </w:tc>
        <w:tc>
          <w:tcPr>
            <w:tcW w:w="160" w:type="dxa"/>
            <w:vAlign w:val="bottom"/>
            <w:tcBorders>
              <w:top w:val="single" w:sz="8" w:color="CCCCCC"/>
            </w:tcBorders>
            <w:shd w:val="clear" w:color="auto" w:fill="F2F2F2"/>
          </w:tcPr>
          <w:p>
            <w:pPr>
              <w:ind w:left="100"/>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CCCCCC"/>
            </w:tcBorders>
            <w:shd w:val="clear" w:color="auto" w:fill="F2F2F2"/>
          </w:tcPr>
          <w:p>
            <w:pPr>
              <w:jc w:val="right"/>
              <w:ind w:right="7"/>
              <w:spacing w:after="0"/>
              <w:rPr>
                <w:sz w:val="20"/>
                <w:szCs w:val="20"/>
                <w:color w:val="auto"/>
              </w:rPr>
            </w:pPr>
            <w:r>
              <w:rPr>
                <w:rFonts w:ascii="Arial" w:cs="Arial" w:eastAsia="Arial" w:hAnsi="Arial"/>
                <w:sz w:val="15"/>
                <w:szCs w:val="15"/>
                <w:color w:val="auto"/>
              </w:rPr>
              <w:t>3,768</w:t>
            </w:r>
          </w:p>
        </w:tc>
        <w:tc>
          <w:tcPr>
            <w:tcW w:w="1040" w:type="dxa"/>
            <w:vAlign w:val="bottom"/>
            <w:tcBorders>
              <w:top w:val="single" w:sz="8" w:color="CCCCCC"/>
            </w:tcBorders>
            <w:shd w:val="clear" w:color="auto" w:fill="F2F2F2"/>
          </w:tcPr>
          <w:p>
            <w:pPr>
              <w:spacing w:after="0"/>
              <w:rPr>
                <w:sz w:val="21"/>
                <w:szCs w:val="21"/>
                <w:color w:val="auto"/>
              </w:rPr>
            </w:pPr>
          </w:p>
        </w:tc>
        <w:tc>
          <w:tcPr>
            <w:tcW w:w="120" w:type="dxa"/>
            <w:vAlign w:val="bottom"/>
            <w:tcBorders>
              <w:top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tcBorders>
            <w:shd w:val="clear" w:color="auto" w:fill="F2F2F2"/>
          </w:tcPr>
          <w:p>
            <w:pPr>
              <w:jc w:val="right"/>
              <w:ind w:right="5"/>
              <w:spacing w:after="0"/>
              <w:rPr>
                <w:sz w:val="20"/>
                <w:szCs w:val="20"/>
                <w:color w:val="auto"/>
              </w:rPr>
            </w:pPr>
            <w:r>
              <w:rPr>
                <w:rFonts w:ascii="Arial" w:cs="Arial" w:eastAsia="Arial" w:hAnsi="Arial"/>
                <w:sz w:val="15"/>
                <w:szCs w:val="15"/>
                <w:color w:val="auto"/>
              </w:rPr>
              <w:t>52,507</w:t>
            </w:r>
          </w:p>
        </w:tc>
      </w:tr>
      <w:tr>
        <w:trPr>
          <w:trHeight w:val="60"/>
        </w:trPr>
        <w:tc>
          <w:tcPr>
            <w:tcW w:w="1660" w:type="dxa"/>
            <w:vAlign w:val="bottom"/>
            <w:tcBorders>
              <w:bottom w:val="single" w:sz="8" w:color="CCCCCC"/>
            </w:tcBorders>
            <w:shd w:val="clear" w:color="auto" w:fill="F2F2F2"/>
          </w:tcPr>
          <w:p>
            <w:pPr>
              <w:spacing w:after="0"/>
              <w:rPr>
                <w:sz w:val="5"/>
                <w:szCs w:val="5"/>
                <w:color w:val="auto"/>
              </w:rPr>
            </w:pPr>
          </w:p>
        </w:tc>
        <w:tc>
          <w:tcPr>
            <w:tcW w:w="780" w:type="dxa"/>
            <w:vAlign w:val="bottom"/>
            <w:tcBorders>
              <w:bottom w:val="single" w:sz="8" w:color="CCCCCC"/>
            </w:tcBorders>
            <w:shd w:val="clear" w:color="auto" w:fill="F2F2F2"/>
          </w:tcPr>
          <w:p>
            <w:pPr>
              <w:spacing w:after="0"/>
              <w:rPr>
                <w:sz w:val="5"/>
                <w:szCs w:val="5"/>
                <w:color w:val="auto"/>
              </w:rPr>
            </w:pPr>
          </w:p>
        </w:tc>
        <w:tc>
          <w:tcPr>
            <w:tcW w:w="26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670" w:type="dxa"/>
            <w:vAlign w:val="bottom"/>
            <w:tcBorders>
              <w:bottom w:val="single" w:sz="8" w:color="CCCCCC"/>
            </w:tcBorders>
            <w:shd w:val="clear" w:color="auto" w:fill="F2F2F2"/>
          </w:tcPr>
          <w:p>
            <w:pPr>
              <w:spacing w:after="0"/>
              <w:rPr>
                <w:sz w:val="5"/>
                <w:szCs w:val="5"/>
                <w:color w:val="auto"/>
              </w:rPr>
            </w:pPr>
          </w:p>
        </w:tc>
        <w:tc>
          <w:tcPr>
            <w:tcW w:w="230" w:type="dxa"/>
            <w:vAlign w:val="bottom"/>
            <w:tcBorders>
              <w:bottom w:val="single" w:sz="8" w:color="CCCCCC"/>
            </w:tcBorders>
            <w:shd w:val="clear" w:color="auto" w:fill="F2F2F2"/>
          </w:tcPr>
          <w:p>
            <w:pPr>
              <w:spacing w:after="0"/>
              <w:rPr>
                <w:sz w:val="5"/>
                <w:szCs w:val="5"/>
                <w:color w:val="auto"/>
              </w:rPr>
            </w:pPr>
          </w:p>
        </w:tc>
        <w:tc>
          <w:tcPr>
            <w:tcW w:w="520" w:type="dxa"/>
            <w:vAlign w:val="bottom"/>
            <w:tcBorders>
              <w:bottom w:val="single" w:sz="8" w:color="CCCCCC"/>
            </w:tcBorders>
            <w:shd w:val="clear" w:color="auto" w:fill="F2F2F2"/>
          </w:tcPr>
          <w:p>
            <w:pPr>
              <w:spacing w:after="0"/>
              <w:rPr>
                <w:sz w:val="5"/>
                <w:szCs w:val="5"/>
                <w:color w:val="auto"/>
              </w:rPr>
            </w:pPr>
          </w:p>
        </w:tc>
        <w:tc>
          <w:tcPr>
            <w:tcW w:w="740" w:type="dxa"/>
            <w:vAlign w:val="bottom"/>
            <w:tcBorders>
              <w:bottom w:val="single" w:sz="8" w:color="CCCCCC"/>
            </w:tcBorders>
            <w:shd w:val="clear" w:color="auto" w:fill="F2F2F2"/>
          </w:tcPr>
          <w:p>
            <w:pPr>
              <w:spacing w:after="0"/>
              <w:rPr>
                <w:sz w:val="5"/>
                <w:szCs w:val="5"/>
                <w:color w:val="auto"/>
              </w:rPr>
            </w:pPr>
          </w:p>
        </w:tc>
        <w:tc>
          <w:tcPr>
            <w:tcW w:w="160" w:type="dxa"/>
            <w:vAlign w:val="bottom"/>
            <w:tcBorders>
              <w:bottom w:val="single" w:sz="8" w:color="CCCCCC"/>
            </w:tcBorders>
            <w:shd w:val="clear" w:color="auto" w:fill="F2F2F2"/>
          </w:tcPr>
          <w:p>
            <w:pPr>
              <w:spacing w:after="0"/>
              <w:rPr>
                <w:sz w:val="5"/>
                <w:szCs w:val="5"/>
                <w:color w:val="auto"/>
              </w:rPr>
            </w:pPr>
          </w:p>
        </w:tc>
        <w:tc>
          <w:tcPr>
            <w:tcW w:w="600" w:type="dxa"/>
            <w:vAlign w:val="bottom"/>
            <w:tcBorders>
              <w:bottom w:val="single" w:sz="8" w:color="CCCCCC"/>
            </w:tcBorders>
            <w:shd w:val="clear" w:color="auto" w:fill="F2F2F2"/>
          </w:tcPr>
          <w:p>
            <w:pPr>
              <w:spacing w:after="0"/>
              <w:rPr>
                <w:sz w:val="5"/>
                <w:szCs w:val="5"/>
                <w:color w:val="auto"/>
              </w:rPr>
            </w:pPr>
          </w:p>
        </w:tc>
        <w:tc>
          <w:tcPr>
            <w:tcW w:w="1040" w:type="dxa"/>
            <w:vAlign w:val="bottom"/>
            <w:tcBorders>
              <w:bottom w:val="single" w:sz="8" w:color="CCCCCC"/>
            </w:tcBorders>
            <w:shd w:val="clear" w:color="auto" w:fill="F2F2F2"/>
          </w:tcPr>
          <w:p>
            <w:pPr>
              <w:spacing w:after="0"/>
              <w:rPr>
                <w:sz w:val="5"/>
                <w:szCs w:val="5"/>
                <w:color w:val="auto"/>
              </w:rPr>
            </w:pPr>
          </w:p>
        </w:tc>
        <w:tc>
          <w:tcPr>
            <w:tcW w:w="120" w:type="dxa"/>
            <w:vAlign w:val="bottom"/>
            <w:tcBorders>
              <w:bottom w:val="single" w:sz="8" w:color="CCCCCC"/>
            </w:tcBorders>
            <w:shd w:val="clear" w:color="auto" w:fill="F2F2F2"/>
          </w:tcPr>
          <w:p>
            <w:pPr>
              <w:spacing w:after="0"/>
              <w:rPr>
                <w:sz w:val="5"/>
                <w:szCs w:val="5"/>
                <w:color w:val="auto"/>
              </w:rPr>
            </w:pPr>
          </w:p>
        </w:tc>
        <w:tc>
          <w:tcPr>
            <w:tcW w:w="720" w:type="dxa"/>
            <w:vAlign w:val="bottom"/>
            <w:tcBorders>
              <w:bottom w:val="single" w:sz="8" w:color="CCCCCC"/>
            </w:tcBorders>
            <w:shd w:val="clear" w:color="auto" w:fill="F2F2F2"/>
          </w:tcPr>
          <w:p>
            <w:pPr>
              <w:spacing w:after="0"/>
              <w:rPr>
                <w:sz w:val="5"/>
                <w:szCs w:val="5"/>
                <w:color w:val="auto"/>
              </w:rPr>
            </w:pPr>
          </w:p>
        </w:tc>
      </w:tr>
      <w:tr>
        <w:trPr>
          <w:trHeight w:val="244"/>
        </w:trPr>
        <w:tc>
          <w:tcPr>
            <w:tcW w:w="1660" w:type="dxa"/>
            <w:vAlign w:val="bottom"/>
          </w:tcPr>
          <w:p>
            <w:pPr>
              <w:ind w:left="100"/>
              <w:spacing w:after="0"/>
              <w:rPr>
                <w:sz w:val="20"/>
                <w:szCs w:val="20"/>
                <w:color w:val="auto"/>
              </w:rPr>
            </w:pPr>
            <w:r>
              <w:rPr>
                <w:rFonts w:ascii="Arial" w:cs="Arial" w:eastAsia="Arial" w:hAnsi="Arial"/>
                <w:sz w:val="15"/>
                <w:szCs w:val="15"/>
                <w:color w:val="auto"/>
              </w:rPr>
              <w:t>Lynne Harkel-Rumford</w:t>
            </w:r>
          </w:p>
        </w:tc>
        <w:tc>
          <w:tcPr>
            <w:tcW w:w="78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249,375</w:t>
            </w:r>
          </w:p>
        </w:tc>
        <w:tc>
          <w:tcPr>
            <w:tcW w:w="180" w:type="dxa"/>
            <w:vAlign w:val="bottom"/>
          </w:tcPr>
          <w:p>
            <w:pPr>
              <w:ind w:left="8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415,625</w:t>
            </w:r>
          </w:p>
        </w:tc>
        <w:tc>
          <w:tcPr>
            <w:tcW w:w="180" w:type="dxa"/>
            <w:vAlign w:val="bottom"/>
          </w:tcPr>
          <w:p>
            <w:pPr>
              <w:ind w:left="80"/>
              <w:spacing w:after="0"/>
              <w:rPr>
                <w:sz w:val="20"/>
                <w:szCs w:val="20"/>
                <w:color w:val="auto"/>
              </w:rPr>
            </w:pPr>
            <w:r>
              <w:rPr>
                <w:rFonts w:ascii="Arial" w:cs="Arial" w:eastAsia="Arial" w:hAnsi="Arial"/>
                <w:sz w:val="15"/>
                <w:szCs w:val="15"/>
                <w:color w:val="auto"/>
              </w:rPr>
              <w:t>​</w:t>
            </w:r>
          </w:p>
        </w:tc>
        <w:tc>
          <w:tcPr>
            <w:tcW w:w="670" w:type="dxa"/>
            <w:vAlign w:val="bottom"/>
          </w:tcPr>
          <w:p>
            <w:pPr>
              <w:jc w:val="right"/>
              <w:spacing w:after="0"/>
              <w:rPr>
                <w:sz w:val="20"/>
                <w:szCs w:val="20"/>
                <w:color w:val="auto"/>
              </w:rPr>
            </w:pPr>
            <w:r>
              <w:rPr>
                <w:rFonts w:ascii="Arial" w:cs="Arial" w:eastAsia="Arial" w:hAnsi="Arial"/>
                <w:sz w:val="15"/>
                <w:szCs w:val="15"/>
                <w:color w:val="auto"/>
              </w:rPr>
              <w:t>665,000</w:t>
            </w:r>
          </w:p>
        </w:tc>
        <w:tc>
          <w:tcPr>
            <w:tcW w:w="23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23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 8,522</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237,508</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 3,937</w:t>
            </w:r>
          </w:p>
        </w:tc>
        <w:tc>
          <w:tcPr>
            <w:tcW w:w="740" w:type="dxa"/>
            <w:vAlign w:val="bottom"/>
          </w:tcPr>
          <w:p>
            <w:pPr>
              <w:jc w:val="center"/>
              <w:spacing w:after="0"/>
              <w:rPr>
                <w:sz w:val="20"/>
                <w:szCs w:val="20"/>
                <w:color w:val="auto"/>
              </w:rPr>
            </w:pPr>
            <w:r>
              <w:rPr>
                <w:rFonts w:ascii="Arial" w:cs="Arial" w:eastAsia="Arial" w:hAnsi="Arial"/>
                <w:sz w:val="15"/>
                <w:szCs w:val="15"/>
                <w:color w:val="auto"/>
              </w:rPr>
              <w:t>​11,930</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 23,860</w:t>
            </w:r>
          </w:p>
        </w:tc>
        <w:tc>
          <w:tcPr>
            <w:tcW w:w="104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332,489</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750" w:type="dxa"/>
            <w:vAlign w:val="bottom"/>
            <w:tcBorders>
              <w:bottom w:val="single" w:sz="8" w:color="CCCCCC"/>
            </w:tcBorders>
            <w:gridSpan w:val="2"/>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760" w:type="dxa"/>
            <w:vAlign w:val="bottom"/>
            <w:tcBorders>
              <w:bottom w:val="single" w:sz="8" w:color="CCCCCC"/>
            </w:tcBorders>
            <w:gridSpan w:val="2"/>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58"/>
        </w:trPr>
        <w:tc>
          <w:tcPr>
            <w:tcW w:w="1660" w:type="dxa"/>
            <w:vAlign w:val="bottom"/>
          </w:tcPr>
          <w:p>
            <w:pPr>
              <w:spacing w:after="0"/>
              <w:rPr>
                <w:sz w:val="22"/>
                <w:szCs w:val="22"/>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750" w:type="dxa"/>
            <w:vAlign w:val="bottom"/>
            <w:gridSpan w:val="2"/>
          </w:tcPr>
          <w:p>
            <w:pPr>
              <w:jc w:val="right"/>
              <w:ind w:right="69"/>
              <w:spacing w:after="0"/>
              <w:rPr>
                <w:sz w:val="20"/>
                <w:szCs w:val="20"/>
                <w:color w:val="auto"/>
              </w:rPr>
            </w:pPr>
            <w:r>
              <w:rPr>
                <w:rFonts w:ascii="Arial" w:cs="Arial" w:eastAsia="Arial" w:hAnsi="Arial"/>
                <w:sz w:val="15"/>
                <w:szCs w:val="15"/>
                <w:color w:val="auto"/>
              </w:rPr>
              <w:t>​ 5,965</w:t>
            </w:r>
          </w:p>
        </w:tc>
        <w:tc>
          <w:tcPr>
            <w:tcW w:w="740" w:type="dxa"/>
            <w:vAlign w:val="bottom"/>
          </w:tcPr>
          <w:p>
            <w:pPr>
              <w:jc w:val="center"/>
              <w:spacing w:after="0"/>
              <w:rPr>
                <w:sz w:val="20"/>
                <w:szCs w:val="20"/>
                <w:color w:val="auto"/>
              </w:rPr>
            </w:pPr>
            <w:r>
              <w:rPr>
                <w:rFonts w:ascii="Arial" w:cs="Arial" w:eastAsia="Arial" w:hAnsi="Arial"/>
                <w:sz w:val="15"/>
                <w:szCs w:val="15"/>
                <w:color w:val="auto"/>
              </w:rPr>
              <w:t>​11,930</w:t>
            </w:r>
          </w:p>
        </w:tc>
        <w:tc>
          <w:tcPr>
            <w:tcW w:w="760" w:type="dxa"/>
            <w:vAlign w:val="bottom"/>
            <w:gridSpan w:val="2"/>
          </w:tcPr>
          <w:p>
            <w:pPr>
              <w:jc w:val="right"/>
              <w:ind w:right="7"/>
              <w:spacing w:after="0"/>
              <w:rPr>
                <w:sz w:val="20"/>
                <w:szCs w:val="20"/>
                <w:color w:val="auto"/>
              </w:rPr>
            </w:pPr>
            <w:r>
              <w:rPr>
                <w:rFonts w:ascii="Arial" w:cs="Arial" w:eastAsia="Arial" w:hAnsi="Arial"/>
                <w:sz w:val="15"/>
                <w:szCs w:val="15"/>
                <w:color w:val="auto"/>
              </w:rPr>
              <w:t>​ 23,860</w:t>
            </w:r>
          </w:p>
        </w:tc>
        <w:tc>
          <w:tcPr>
            <w:tcW w:w="104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332,489</w:t>
            </w:r>
          </w:p>
        </w:tc>
      </w:tr>
      <w:tr>
        <w:trPr>
          <w:trHeight w:val="60"/>
        </w:trPr>
        <w:tc>
          <w:tcPr>
            <w:tcW w:w="1660" w:type="dxa"/>
            <w:vAlign w:val="bottom"/>
          </w:tcPr>
          <w:p>
            <w:pPr>
              <w:spacing w:after="0"/>
              <w:rPr>
                <w:sz w:val="5"/>
                <w:szCs w:val="5"/>
                <w:color w:val="auto"/>
              </w:rPr>
            </w:pPr>
          </w:p>
        </w:tc>
        <w:tc>
          <w:tcPr>
            <w:tcW w:w="1040" w:type="dxa"/>
            <w:vAlign w:val="bottom"/>
            <w:tcBorders>
              <w:bottom w:val="single" w:sz="8" w:color="CCCCCC"/>
            </w:tcBorders>
            <w:gridSpan w:val="2"/>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244"/>
        </w:trPr>
        <w:tc>
          <w:tcPr>
            <w:tcW w:w="1660" w:type="dxa"/>
            <w:vAlign w:val="bottom"/>
          </w:tcPr>
          <w:p>
            <w:pPr>
              <w:spacing w:after="0"/>
              <w:rPr>
                <w:sz w:val="21"/>
                <w:szCs w:val="21"/>
                <w:color w:val="auto"/>
              </w:rPr>
            </w:pPr>
          </w:p>
        </w:tc>
        <w:tc>
          <w:tcPr>
            <w:tcW w:w="1040" w:type="dxa"/>
            <w:vAlign w:val="bottom"/>
            <w:gridSpan w:val="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230" w:type="dxa"/>
            <w:vAlign w:val="bottom"/>
          </w:tcPr>
          <w:p>
            <w:pPr>
              <w:ind w:left="13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9"/>
              <w:spacing w:after="0"/>
              <w:rPr>
                <w:sz w:val="20"/>
                <w:szCs w:val="20"/>
                <w:color w:val="auto"/>
              </w:rPr>
            </w:pPr>
            <w:r>
              <w:rPr>
                <w:rFonts w:ascii="Arial" w:cs="Arial" w:eastAsia="Arial" w:hAnsi="Arial"/>
                <w:sz w:val="15"/>
                <w:szCs w:val="15"/>
                <w:color w:val="auto"/>
              </w:rPr>
              <w:t>852</w:t>
            </w:r>
          </w:p>
        </w:tc>
        <w:tc>
          <w:tcPr>
            <w:tcW w:w="740" w:type="dxa"/>
            <w:vAlign w:val="bottom"/>
          </w:tcPr>
          <w:p>
            <w:pPr>
              <w:jc w:val="center"/>
              <w:spacing w:after="0"/>
              <w:rPr>
                <w:sz w:val="20"/>
                <w:szCs w:val="20"/>
                <w:color w:val="auto"/>
              </w:rPr>
            </w:pPr>
            <w:r>
              <w:rPr>
                <w:rFonts w:ascii="Arial" w:cs="Arial" w:eastAsia="Arial" w:hAnsi="Arial"/>
                <w:sz w:val="15"/>
                <w:szCs w:val="15"/>
                <w:color w:val="auto"/>
              </w:rPr>
              <w:t>​ 1,704</w:t>
            </w:r>
          </w:p>
        </w:tc>
        <w:tc>
          <w:tcPr>
            <w:tcW w:w="160" w:type="dxa"/>
            <w:vAlign w:val="bottom"/>
          </w:tcPr>
          <w:p>
            <w:pPr>
              <w:ind w:left="10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3,408</w:t>
            </w:r>
          </w:p>
        </w:tc>
        <w:tc>
          <w:tcPr>
            <w:tcW w:w="104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47,490</w:t>
            </w:r>
          </w:p>
        </w:tc>
      </w:tr>
      <w:tr>
        <w:trPr>
          <w:trHeight w:val="60"/>
        </w:trPr>
        <w:tc>
          <w:tcPr>
            <w:tcW w:w="1660" w:type="dxa"/>
            <w:vAlign w:val="bottom"/>
            <w:tcBorders>
              <w:bottom w:val="single" w:sz="8" w:color="CCCCCC"/>
            </w:tcBorders>
          </w:tcPr>
          <w:p>
            <w:pPr>
              <w:spacing w:after="0"/>
              <w:rPr>
                <w:sz w:val="5"/>
                <w:szCs w:val="5"/>
                <w:color w:val="auto"/>
              </w:rPr>
            </w:pPr>
          </w:p>
        </w:tc>
        <w:tc>
          <w:tcPr>
            <w:tcW w:w="780" w:type="dxa"/>
            <w:vAlign w:val="bottom"/>
            <w:tcBorders>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7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70" w:type="dxa"/>
            <w:vAlign w:val="bottom"/>
            <w:tcBorders>
              <w:bottom w:val="single" w:sz="8" w:color="CCCCCC"/>
            </w:tcBorders>
          </w:tcPr>
          <w:p>
            <w:pPr>
              <w:spacing w:after="0"/>
              <w:rPr>
                <w:sz w:val="5"/>
                <w:szCs w:val="5"/>
                <w:color w:val="auto"/>
              </w:rPr>
            </w:pPr>
          </w:p>
        </w:tc>
        <w:tc>
          <w:tcPr>
            <w:tcW w:w="230" w:type="dxa"/>
            <w:vAlign w:val="bottom"/>
            <w:tcBorders>
              <w:bottom w:val="single" w:sz="8" w:color="CCCCCC"/>
            </w:tcBorders>
          </w:tcPr>
          <w:p>
            <w:pPr>
              <w:spacing w:after="0"/>
              <w:rPr>
                <w:sz w:val="5"/>
                <w:szCs w:val="5"/>
                <w:color w:val="auto"/>
              </w:rPr>
            </w:pPr>
          </w:p>
        </w:tc>
        <w:tc>
          <w:tcPr>
            <w:tcW w:w="520" w:type="dxa"/>
            <w:vAlign w:val="bottom"/>
            <w:tcBorders>
              <w:bottom w:val="single" w:sz="8" w:color="CCCCCC"/>
            </w:tcBorders>
          </w:tcPr>
          <w:p>
            <w:pPr>
              <w:spacing w:after="0"/>
              <w:rPr>
                <w:sz w:val="5"/>
                <w:szCs w:val="5"/>
                <w:color w:val="auto"/>
              </w:rPr>
            </w:pPr>
          </w:p>
        </w:tc>
        <w:tc>
          <w:tcPr>
            <w:tcW w:w="74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tcPr>
          <w:p>
            <w:pPr>
              <w:spacing w:after="0"/>
              <w:rPr>
                <w:sz w:val="5"/>
                <w:szCs w:val="5"/>
                <w:color w:val="auto"/>
              </w:rPr>
            </w:pPr>
          </w:p>
        </w:tc>
      </w:tr>
      <w:tr>
        <w:trPr>
          <w:trHeight w:val="309"/>
        </w:trPr>
        <w:tc>
          <w:tcPr>
            <w:tcW w:w="16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color w:val="auto"/>
              </w:rPr>
              <w:t>Lynnae K. Wilson</w:t>
            </w:r>
            <w:r>
              <w:rPr>
                <w:rFonts w:ascii="Arial" w:cs="Arial" w:eastAsia="Arial" w:hAnsi="Arial"/>
                <w:sz w:val="19"/>
                <w:szCs w:val="19"/>
                <w:color w:val="auto"/>
                <w:vertAlign w:val="superscript"/>
              </w:rPr>
              <w:t>(3)</w:t>
            </w:r>
          </w:p>
        </w:tc>
        <w:tc>
          <w:tcPr>
            <w:tcW w:w="78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226,688</w:t>
            </w:r>
          </w:p>
        </w:tc>
        <w:tc>
          <w:tcPr>
            <w:tcW w:w="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5"/>
                <w:szCs w:val="15"/>
                <w:color w:val="auto"/>
              </w:rPr>
              <w:t>377,813</w:t>
            </w:r>
          </w:p>
        </w:tc>
        <w:tc>
          <w:tcPr>
            <w:tcW w:w="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67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604,500</w:t>
            </w:r>
          </w:p>
        </w:tc>
        <w:tc>
          <w:tcPr>
            <w:tcW w:w="230" w:type="dxa"/>
            <w:vAlign w:val="bottom"/>
            <w:tcBorders>
              <w:bottom w:val="single" w:sz="8" w:color="F2F2F2"/>
            </w:tcBorders>
            <w:shd w:val="clear" w:color="auto" w:fill="F2F2F2"/>
          </w:tcPr>
          <w:p>
            <w:pPr>
              <w:spacing w:after="0"/>
              <w:rPr>
                <w:sz w:val="24"/>
                <w:szCs w:val="24"/>
                <w:color w:val="auto"/>
              </w:rPr>
            </w:pPr>
          </w:p>
        </w:tc>
        <w:tc>
          <w:tcPr>
            <w:tcW w:w="52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spacing w:after="0"/>
              <w:rPr>
                <w:sz w:val="24"/>
                <w:szCs w:val="24"/>
                <w:color w:val="auto"/>
              </w:rPr>
            </w:pPr>
          </w:p>
        </w:tc>
        <w:tc>
          <w:tcPr>
            <w:tcW w:w="160" w:type="dxa"/>
            <w:vAlign w:val="bottom"/>
            <w:tcBorders>
              <w:bottom w:val="single" w:sz="8" w:color="F2F2F2"/>
            </w:tcBorders>
            <w:shd w:val="clear" w:color="auto" w:fill="F2F2F2"/>
          </w:tcPr>
          <w:p>
            <w:pPr>
              <w:spacing w:after="0"/>
              <w:rPr>
                <w:sz w:val="24"/>
                <w:szCs w:val="24"/>
                <w:color w:val="auto"/>
              </w:rPr>
            </w:pPr>
          </w:p>
        </w:tc>
        <w:tc>
          <w:tcPr>
            <w:tcW w:w="600" w:type="dxa"/>
            <w:vAlign w:val="bottom"/>
            <w:tcBorders>
              <w:bottom w:val="single" w:sz="8" w:color="F2F2F2"/>
            </w:tcBorders>
            <w:shd w:val="clear" w:color="auto" w:fill="F2F2F2"/>
          </w:tcPr>
          <w:p>
            <w:pPr>
              <w:spacing w:after="0"/>
              <w:rPr>
                <w:sz w:val="24"/>
                <w:szCs w:val="24"/>
                <w:color w:val="auto"/>
              </w:rPr>
            </w:pPr>
          </w:p>
        </w:tc>
        <w:tc>
          <w:tcPr>
            <w:tcW w:w="104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spacing w:after="0"/>
              <w:rPr>
                <w:sz w:val="24"/>
                <w:szCs w:val="24"/>
                <w:color w:val="auto"/>
              </w:rPr>
            </w:pPr>
          </w:p>
        </w:tc>
        <w:tc>
          <w:tcPr>
            <w:tcW w:w="720" w:type="dxa"/>
            <w:vAlign w:val="bottom"/>
            <w:tcBorders>
              <w:bottom w:val="single" w:sz="8" w:color="F2F2F2"/>
            </w:tcBorders>
            <w:shd w:val="clear" w:color="auto" w:fill="F2F2F2"/>
          </w:tcPr>
          <w:p>
            <w:pPr>
              <w:spacing w:after="0"/>
              <w:rPr>
                <w:sz w:val="24"/>
                <w:szCs w:val="24"/>
                <w:color w:val="auto"/>
              </w:rPr>
            </w:pP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gridSpan w:val="2"/>
            <w:shd w:val="clear" w:color="auto" w:fill="F2F2F2"/>
          </w:tcPr>
          <w:p>
            <w:pPr>
              <w:jc w:val="right"/>
              <w:ind w:right="205"/>
              <w:spacing w:after="0"/>
              <w:rPr>
                <w:sz w:val="20"/>
                <w:szCs w:val="20"/>
                <w:color w:val="auto"/>
              </w:rPr>
            </w:pPr>
            <w:r>
              <w:rPr>
                <w:rFonts w:ascii="Arial" w:cs="Arial" w:eastAsia="Arial" w:hAnsi="Arial"/>
                <w:sz w:val="15"/>
                <w:szCs w:val="15"/>
                <w:color w:val="auto"/>
              </w:rPr>
              <w:t>​2/15/2024</w:t>
            </w: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230" w:type="dxa"/>
            <w:vAlign w:val="bottom"/>
            <w:tcBorders>
              <w:top w:val="single" w:sz="8" w:color="CCCCCC"/>
              <w:bottom w:val="single" w:sz="8" w:color="F2F2F2"/>
            </w:tcBorders>
            <w:shd w:val="clear" w:color="auto" w:fill="F2F2F2"/>
          </w:tcPr>
          <w:p>
            <w:pPr>
              <w:spacing w:after="0"/>
              <w:rPr>
                <w:sz w:val="24"/>
                <w:szCs w:val="24"/>
                <w:color w:val="auto"/>
              </w:rPr>
            </w:pPr>
          </w:p>
        </w:tc>
        <w:tc>
          <w:tcPr>
            <w:tcW w:w="520" w:type="dxa"/>
            <w:vAlign w:val="bottom"/>
            <w:tcBorders>
              <w:top w:val="single" w:sz="8" w:color="CCCCCC"/>
              <w:bottom w:val="single" w:sz="8" w:color="F2F2F2"/>
            </w:tcBorders>
            <w:shd w:val="clear" w:color="auto" w:fill="F2F2F2"/>
          </w:tcPr>
          <w:p>
            <w:pPr>
              <w:spacing w:after="0"/>
              <w:rPr>
                <w:sz w:val="24"/>
                <w:szCs w:val="24"/>
                <w:color w:val="auto"/>
              </w:rPr>
            </w:pPr>
          </w:p>
        </w:tc>
        <w:tc>
          <w:tcPr>
            <w:tcW w:w="740" w:type="dxa"/>
            <w:vAlign w:val="bottom"/>
            <w:tcBorders>
              <w:top w:val="single" w:sz="8" w:color="CCCCCC"/>
              <w:bottom w:val="single" w:sz="8" w:color="F2F2F2"/>
            </w:tcBorders>
            <w:shd w:val="clear" w:color="auto" w:fill="F2F2F2"/>
          </w:tcPr>
          <w:p>
            <w:pPr>
              <w:spacing w:after="0"/>
              <w:rPr>
                <w:sz w:val="24"/>
                <w:szCs w:val="24"/>
                <w:color w:val="auto"/>
              </w:rPr>
            </w:pPr>
          </w:p>
        </w:tc>
        <w:tc>
          <w:tcPr>
            <w:tcW w:w="160" w:type="dxa"/>
            <w:vAlign w:val="bottom"/>
            <w:tcBorders>
              <w:top w:val="single" w:sz="8" w:color="CCCCCC"/>
              <w:bottom w:val="single" w:sz="8" w:color="F2F2F2"/>
            </w:tcBorders>
            <w:shd w:val="clear" w:color="auto" w:fill="F2F2F2"/>
          </w:tcPr>
          <w:p>
            <w:pPr>
              <w:spacing w:after="0"/>
              <w:rPr>
                <w:sz w:val="24"/>
                <w:szCs w:val="24"/>
                <w:color w:val="auto"/>
              </w:rPr>
            </w:pPr>
          </w:p>
        </w:tc>
        <w:tc>
          <w:tcPr>
            <w:tcW w:w="600" w:type="dxa"/>
            <w:vAlign w:val="bottom"/>
            <w:tcBorders>
              <w:top w:val="single" w:sz="8" w:color="CCCCCC"/>
              <w:bottom w:val="single" w:sz="8" w:color="F2F2F2"/>
            </w:tcBorders>
            <w:shd w:val="clear" w:color="auto" w:fill="F2F2F2"/>
          </w:tcPr>
          <w:p>
            <w:pPr>
              <w:spacing w:after="0"/>
              <w:rPr>
                <w:sz w:val="24"/>
                <w:szCs w:val="24"/>
                <w:color w:val="auto"/>
              </w:rPr>
            </w:pPr>
          </w:p>
        </w:tc>
        <w:tc>
          <w:tcPr>
            <w:tcW w:w="10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6,674</w:t>
            </w: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186,004</w:t>
            </w:r>
          </w:p>
        </w:tc>
      </w:tr>
      <w:tr>
        <w:trPr>
          <w:trHeight w:val="323"/>
        </w:trPr>
        <w:tc>
          <w:tcPr>
            <w:tcW w:w="1660" w:type="dxa"/>
            <w:vAlign w:val="bottom"/>
            <w:tcBorders>
              <w:top w:val="single" w:sz="8" w:color="F2F2F2"/>
              <w:bottom w:val="single" w:sz="8" w:color="F2F2F2"/>
            </w:tcBorders>
            <w:shd w:val="clear" w:color="auto" w:fill="F2F2F2"/>
          </w:tcPr>
          <w:p>
            <w:pPr>
              <w:spacing w:after="0"/>
              <w:rPr>
                <w:sz w:val="24"/>
                <w:szCs w:val="24"/>
                <w:color w:val="auto"/>
              </w:rPr>
            </w:pPr>
          </w:p>
        </w:tc>
        <w:tc>
          <w:tcPr>
            <w:tcW w:w="780" w:type="dxa"/>
            <w:vAlign w:val="bottom"/>
            <w:tcBorders>
              <w:top w:val="single" w:sz="8" w:color="CCCCCC"/>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700" w:type="dxa"/>
            <w:vAlign w:val="bottom"/>
            <w:tcBorders>
              <w:top w:val="single" w:sz="8" w:color="CCCCCC"/>
              <w:bottom w:val="single" w:sz="8" w:color="F2F2F2"/>
            </w:tcBorders>
            <w:shd w:val="clear" w:color="auto" w:fill="F2F2F2"/>
          </w:tcPr>
          <w:p>
            <w:pPr>
              <w:spacing w:after="0"/>
              <w:rPr>
                <w:sz w:val="24"/>
                <w:szCs w:val="24"/>
                <w:color w:val="auto"/>
              </w:rPr>
            </w:pPr>
          </w:p>
        </w:tc>
        <w:tc>
          <w:tcPr>
            <w:tcW w:w="180" w:type="dxa"/>
            <w:vAlign w:val="bottom"/>
            <w:tcBorders>
              <w:top w:val="single" w:sz="8" w:color="CCCCCC"/>
              <w:bottom w:val="single" w:sz="8" w:color="F2F2F2"/>
            </w:tcBorders>
            <w:shd w:val="clear" w:color="auto" w:fill="F2F2F2"/>
          </w:tcPr>
          <w:p>
            <w:pPr>
              <w:spacing w:after="0"/>
              <w:rPr>
                <w:sz w:val="24"/>
                <w:szCs w:val="24"/>
                <w:color w:val="auto"/>
              </w:rPr>
            </w:pPr>
          </w:p>
        </w:tc>
        <w:tc>
          <w:tcPr>
            <w:tcW w:w="670" w:type="dxa"/>
            <w:vAlign w:val="bottom"/>
            <w:tcBorders>
              <w:top w:val="single" w:sz="8" w:color="CCCCCC"/>
              <w:bottom w:val="single" w:sz="8" w:color="F2F2F2"/>
            </w:tcBorders>
            <w:shd w:val="clear" w:color="auto" w:fill="F2F2F2"/>
          </w:tcPr>
          <w:p>
            <w:pPr>
              <w:spacing w:after="0"/>
              <w:rPr>
                <w:sz w:val="24"/>
                <w:szCs w:val="24"/>
                <w:color w:val="auto"/>
              </w:rPr>
            </w:pPr>
          </w:p>
        </w:tc>
        <w:tc>
          <w:tcPr>
            <w:tcW w:w="750" w:type="dxa"/>
            <w:vAlign w:val="bottom"/>
            <w:tcBorders>
              <w:top w:val="single" w:sz="8" w:color="CCCCCC"/>
              <w:bottom w:val="single" w:sz="8" w:color="F2F2F2"/>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3,084</w:t>
            </w:r>
          </w:p>
        </w:tc>
        <w:tc>
          <w:tcPr>
            <w:tcW w:w="740" w:type="dxa"/>
            <w:vAlign w:val="bottom"/>
            <w:tcBorders>
              <w:top w:val="single" w:sz="8" w:color="CCCCCC"/>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9,343</w:t>
            </w:r>
          </w:p>
        </w:tc>
        <w:tc>
          <w:tcPr>
            <w:tcW w:w="760" w:type="dxa"/>
            <w:vAlign w:val="bottom"/>
            <w:tcBorders>
              <w:top w:val="single" w:sz="8" w:color="CCCCCC"/>
              <w:bottom w:val="single" w:sz="8" w:color="F2F2F2"/>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18,686</w:t>
            </w:r>
          </w:p>
        </w:tc>
        <w:tc>
          <w:tcPr>
            <w:tcW w:w="1040" w:type="dxa"/>
            <w:vAlign w:val="bottom"/>
            <w:tcBorders>
              <w:top w:val="single" w:sz="8" w:color="CCCCCC"/>
              <w:bottom w:val="single" w:sz="8" w:color="F2F2F2"/>
            </w:tcBorders>
            <w:shd w:val="clear" w:color="auto" w:fill="F2F2F2"/>
          </w:tcPr>
          <w:p>
            <w:pPr>
              <w:spacing w:after="0"/>
              <w:rPr>
                <w:sz w:val="24"/>
                <w:szCs w:val="24"/>
                <w:color w:val="auto"/>
              </w:rPr>
            </w:pPr>
          </w:p>
        </w:tc>
        <w:tc>
          <w:tcPr>
            <w:tcW w:w="120" w:type="dxa"/>
            <w:vAlign w:val="bottom"/>
            <w:tcBorders>
              <w:top w:val="single" w:sz="8" w:color="CCCCCC"/>
              <w:bottom w:val="single" w:sz="8" w:color="F2F2F2"/>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bottom w:val="single" w:sz="8" w:color="F2F2F2"/>
            </w:tcBorders>
            <w:shd w:val="clear" w:color="auto" w:fill="F2F2F2"/>
          </w:tcPr>
          <w:p>
            <w:pPr>
              <w:jc w:val="right"/>
              <w:ind w:right="5"/>
              <w:spacing w:after="0"/>
              <w:rPr>
                <w:sz w:val="20"/>
                <w:szCs w:val="20"/>
                <w:color w:val="auto"/>
              </w:rPr>
            </w:pPr>
            <w:r>
              <w:rPr>
                <w:rFonts w:ascii="Arial" w:cs="Arial" w:eastAsia="Arial" w:hAnsi="Arial"/>
                <w:sz w:val="15"/>
                <w:szCs w:val="15"/>
                <w:color w:val="auto"/>
              </w:rPr>
              <w:t>260,389</w:t>
            </w:r>
          </w:p>
        </w:tc>
      </w:tr>
      <w:tr>
        <w:trPr>
          <w:trHeight w:val="257"/>
        </w:trPr>
        <w:tc>
          <w:tcPr>
            <w:tcW w:w="1660" w:type="dxa"/>
            <w:vAlign w:val="bottom"/>
            <w:tcBorders>
              <w:top w:val="single" w:sz="8" w:color="F2F2F2"/>
            </w:tcBorders>
            <w:shd w:val="clear" w:color="auto" w:fill="F2F2F2"/>
          </w:tcPr>
          <w:p>
            <w:pPr>
              <w:spacing w:after="0"/>
              <w:rPr>
                <w:sz w:val="22"/>
                <w:szCs w:val="22"/>
                <w:color w:val="auto"/>
              </w:rPr>
            </w:pPr>
          </w:p>
        </w:tc>
        <w:tc>
          <w:tcPr>
            <w:tcW w:w="780" w:type="dxa"/>
            <w:vAlign w:val="bottom"/>
            <w:tcBorders>
              <w:top w:val="single" w:sz="8" w:color="CCCCCC"/>
            </w:tcBorders>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tcBorders>
              <w:top w:val="single" w:sz="8" w:color="CCCCCC"/>
            </w:tcBorders>
            <w:shd w:val="clear" w:color="auto" w:fill="F2F2F2"/>
          </w:tcPr>
          <w:p>
            <w:pPr>
              <w:spacing w:after="0"/>
              <w:rPr>
                <w:sz w:val="22"/>
                <w:szCs w:val="22"/>
                <w:color w:val="auto"/>
              </w:rPr>
            </w:pPr>
          </w:p>
        </w:tc>
        <w:tc>
          <w:tcPr>
            <w:tcW w:w="700" w:type="dxa"/>
            <w:vAlign w:val="bottom"/>
            <w:tcBorders>
              <w:top w:val="single" w:sz="8" w:color="CCCCCC"/>
            </w:tcBorders>
            <w:shd w:val="clear" w:color="auto" w:fill="F2F2F2"/>
          </w:tcPr>
          <w:p>
            <w:pPr>
              <w:spacing w:after="0"/>
              <w:rPr>
                <w:sz w:val="22"/>
                <w:szCs w:val="22"/>
                <w:color w:val="auto"/>
              </w:rPr>
            </w:pPr>
          </w:p>
        </w:tc>
        <w:tc>
          <w:tcPr>
            <w:tcW w:w="180" w:type="dxa"/>
            <w:vAlign w:val="bottom"/>
            <w:tcBorders>
              <w:top w:val="single" w:sz="8" w:color="CCCCCC"/>
            </w:tcBorders>
            <w:shd w:val="clear" w:color="auto" w:fill="F2F2F2"/>
          </w:tcPr>
          <w:p>
            <w:pPr>
              <w:spacing w:after="0"/>
              <w:rPr>
                <w:sz w:val="22"/>
                <w:szCs w:val="22"/>
                <w:color w:val="auto"/>
              </w:rPr>
            </w:pPr>
          </w:p>
        </w:tc>
        <w:tc>
          <w:tcPr>
            <w:tcW w:w="700" w:type="dxa"/>
            <w:vAlign w:val="bottom"/>
            <w:tcBorders>
              <w:top w:val="single" w:sz="8" w:color="CCCCCC"/>
            </w:tcBorders>
            <w:shd w:val="clear" w:color="auto" w:fill="F2F2F2"/>
          </w:tcPr>
          <w:p>
            <w:pPr>
              <w:spacing w:after="0"/>
              <w:rPr>
                <w:sz w:val="22"/>
                <w:szCs w:val="22"/>
                <w:color w:val="auto"/>
              </w:rPr>
            </w:pPr>
          </w:p>
        </w:tc>
        <w:tc>
          <w:tcPr>
            <w:tcW w:w="180" w:type="dxa"/>
            <w:vAlign w:val="bottom"/>
            <w:tcBorders>
              <w:top w:val="single" w:sz="8" w:color="CCCCCC"/>
            </w:tcBorders>
            <w:shd w:val="clear" w:color="auto" w:fill="F2F2F2"/>
          </w:tcPr>
          <w:p>
            <w:pPr>
              <w:spacing w:after="0"/>
              <w:rPr>
                <w:sz w:val="22"/>
                <w:szCs w:val="22"/>
                <w:color w:val="auto"/>
              </w:rPr>
            </w:pPr>
          </w:p>
        </w:tc>
        <w:tc>
          <w:tcPr>
            <w:tcW w:w="670" w:type="dxa"/>
            <w:vAlign w:val="bottom"/>
            <w:tcBorders>
              <w:top w:val="single" w:sz="8" w:color="CCCCCC"/>
            </w:tcBorders>
            <w:shd w:val="clear" w:color="auto" w:fill="F2F2F2"/>
          </w:tcPr>
          <w:p>
            <w:pPr>
              <w:spacing w:after="0"/>
              <w:rPr>
                <w:sz w:val="22"/>
                <w:szCs w:val="22"/>
                <w:color w:val="auto"/>
              </w:rPr>
            </w:pPr>
          </w:p>
        </w:tc>
        <w:tc>
          <w:tcPr>
            <w:tcW w:w="750" w:type="dxa"/>
            <w:vAlign w:val="bottom"/>
            <w:tcBorders>
              <w:top w:val="single" w:sz="8" w:color="CCCCCC"/>
            </w:tcBorders>
            <w:gridSpan w:val="2"/>
            <w:shd w:val="clear" w:color="auto" w:fill="F2F2F2"/>
          </w:tcPr>
          <w:p>
            <w:pPr>
              <w:jc w:val="right"/>
              <w:ind w:right="69"/>
              <w:spacing w:after="0"/>
              <w:rPr>
                <w:sz w:val="20"/>
                <w:szCs w:val="20"/>
                <w:color w:val="auto"/>
              </w:rPr>
            </w:pPr>
            <w:r>
              <w:rPr>
                <w:rFonts w:ascii="Arial" w:cs="Arial" w:eastAsia="Arial" w:hAnsi="Arial"/>
                <w:sz w:val="15"/>
                <w:szCs w:val="15"/>
                <w:color w:val="auto"/>
              </w:rPr>
              <w:t>​ 4,672</w:t>
            </w:r>
          </w:p>
        </w:tc>
        <w:tc>
          <w:tcPr>
            <w:tcW w:w="740" w:type="dxa"/>
            <w:vAlign w:val="bottom"/>
            <w:tcBorders>
              <w:top w:val="single" w:sz="8" w:color="CCCCCC"/>
            </w:tcBorders>
            <w:shd w:val="clear" w:color="auto" w:fill="F2F2F2"/>
          </w:tcPr>
          <w:p>
            <w:pPr>
              <w:jc w:val="center"/>
              <w:spacing w:after="0"/>
              <w:rPr>
                <w:sz w:val="20"/>
                <w:szCs w:val="20"/>
                <w:color w:val="auto"/>
              </w:rPr>
            </w:pPr>
            <w:r>
              <w:rPr>
                <w:rFonts w:ascii="Arial" w:cs="Arial" w:eastAsia="Arial" w:hAnsi="Arial"/>
                <w:sz w:val="15"/>
                <w:szCs w:val="15"/>
                <w:color w:val="auto"/>
              </w:rPr>
              <w:t>​ 9,343</w:t>
            </w:r>
          </w:p>
        </w:tc>
        <w:tc>
          <w:tcPr>
            <w:tcW w:w="760" w:type="dxa"/>
            <w:vAlign w:val="bottom"/>
            <w:tcBorders>
              <w:top w:val="single" w:sz="8" w:color="CCCCCC"/>
            </w:tcBorders>
            <w:gridSpan w:val="2"/>
            <w:shd w:val="clear" w:color="auto" w:fill="F2F2F2"/>
          </w:tcPr>
          <w:p>
            <w:pPr>
              <w:jc w:val="right"/>
              <w:ind w:right="7"/>
              <w:spacing w:after="0"/>
              <w:rPr>
                <w:sz w:val="20"/>
                <w:szCs w:val="20"/>
                <w:color w:val="auto"/>
              </w:rPr>
            </w:pPr>
            <w:r>
              <w:rPr>
                <w:rFonts w:ascii="Arial" w:cs="Arial" w:eastAsia="Arial" w:hAnsi="Arial"/>
                <w:sz w:val="15"/>
                <w:szCs w:val="15"/>
                <w:color w:val="auto"/>
              </w:rPr>
              <w:t>​ 18,686</w:t>
            </w:r>
          </w:p>
        </w:tc>
        <w:tc>
          <w:tcPr>
            <w:tcW w:w="1040" w:type="dxa"/>
            <w:vAlign w:val="bottom"/>
            <w:tcBorders>
              <w:top w:val="single" w:sz="8" w:color="CCCCCC"/>
            </w:tcBorders>
            <w:shd w:val="clear" w:color="auto" w:fill="F2F2F2"/>
          </w:tcPr>
          <w:p>
            <w:pPr>
              <w:spacing w:after="0"/>
              <w:rPr>
                <w:sz w:val="22"/>
                <w:szCs w:val="22"/>
                <w:color w:val="auto"/>
              </w:rPr>
            </w:pPr>
          </w:p>
        </w:tc>
        <w:tc>
          <w:tcPr>
            <w:tcW w:w="120" w:type="dxa"/>
            <w:vAlign w:val="bottom"/>
            <w:tcBorders>
              <w:top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CCCCCC"/>
            </w:tcBorders>
            <w:shd w:val="clear" w:color="auto" w:fill="F2F2F2"/>
          </w:tcPr>
          <w:p>
            <w:pPr>
              <w:jc w:val="right"/>
              <w:ind w:right="5"/>
              <w:spacing w:after="0"/>
              <w:rPr>
                <w:sz w:val="20"/>
                <w:szCs w:val="20"/>
                <w:color w:val="auto"/>
              </w:rPr>
            </w:pPr>
            <w:r>
              <w:rPr>
                <w:rFonts w:ascii="Arial" w:cs="Arial" w:eastAsia="Arial" w:hAnsi="Arial"/>
                <w:sz w:val="15"/>
                <w:szCs w:val="15"/>
                <w:color w:val="auto"/>
              </w:rPr>
              <w:t>260,389</w:t>
            </w:r>
          </w:p>
        </w:tc>
      </w:tr>
      <w:tr>
        <w:trPr>
          <w:trHeight w:val="60"/>
        </w:trPr>
        <w:tc>
          <w:tcPr>
            <w:tcW w:w="1660" w:type="dxa"/>
            <w:vAlign w:val="bottom"/>
            <w:tcBorders>
              <w:bottom w:val="single" w:sz="8" w:color="F2F2F2"/>
            </w:tcBorders>
            <w:shd w:val="clear" w:color="auto" w:fill="F2F2F2"/>
          </w:tcPr>
          <w:p>
            <w:pPr>
              <w:spacing w:after="0"/>
              <w:rPr>
                <w:sz w:val="5"/>
                <w:szCs w:val="5"/>
                <w:color w:val="auto"/>
              </w:rPr>
            </w:pPr>
          </w:p>
        </w:tc>
        <w:tc>
          <w:tcPr>
            <w:tcW w:w="780" w:type="dxa"/>
            <w:vAlign w:val="bottom"/>
            <w:tcBorders>
              <w:bottom w:val="single" w:sz="8" w:color="CCCCCC"/>
            </w:tcBorders>
            <w:shd w:val="clear" w:color="auto" w:fill="F2F2F2"/>
          </w:tcPr>
          <w:p>
            <w:pPr>
              <w:spacing w:after="0"/>
              <w:rPr>
                <w:sz w:val="5"/>
                <w:szCs w:val="5"/>
                <w:color w:val="auto"/>
              </w:rPr>
            </w:pPr>
          </w:p>
        </w:tc>
        <w:tc>
          <w:tcPr>
            <w:tcW w:w="26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670" w:type="dxa"/>
            <w:vAlign w:val="bottom"/>
            <w:tcBorders>
              <w:bottom w:val="single" w:sz="8" w:color="CCCCCC"/>
            </w:tcBorders>
            <w:shd w:val="clear" w:color="auto" w:fill="F2F2F2"/>
          </w:tcPr>
          <w:p>
            <w:pPr>
              <w:spacing w:after="0"/>
              <w:rPr>
                <w:sz w:val="5"/>
                <w:szCs w:val="5"/>
                <w:color w:val="auto"/>
              </w:rPr>
            </w:pPr>
          </w:p>
        </w:tc>
        <w:tc>
          <w:tcPr>
            <w:tcW w:w="230" w:type="dxa"/>
            <w:vAlign w:val="bottom"/>
            <w:tcBorders>
              <w:bottom w:val="single" w:sz="8" w:color="CCCCCC"/>
            </w:tcBorders>
            <w:shd w:val="clear" w:color="auto" w:fill="F2F2F2"/>
          </w:tcPr>
          <w:p>
            <w:pPr>
              <w:spacing w:after="0"/>
              <w:rPr>
                <w:sz w:val="5"/>
                <w:szCs w:val="5"/>
                <w:color w:val="auto"/>
              </w:rPr>
            </w:pPr>
          </w:p>
        </w:tc>
        <w:tc>
          <w:tcPr>
            <w:tcW w:w="520" w:type="dxa"/>
            <w:vAlign w:val="bottom"/>
            <w:tcBorders>
              <w:bottom w:val="single" w:sz="8" w:color="CCCCCC"/>
            </w:tcBorders>
            <w:shd w:val="clear" w:color="auto" w:fill="F2F2F2"/>
          </w:tcPr>
          <w:p>
            <w:pPr>
              <w:spacing w:after="0"/>
              <w:rPr>
                <w:sz w:val="5"/>
                <w:szCs w:val="5"/>
                <w:color w:val="auto"/>
              </w:rPr>
            </w:pPr>
          </w:p>
        </w:tc>
        <w:tc>
          <w:tcPr>
            <w:tcW w:w="740" w:type="dxa"/>
            <w:vAlign w:val="bottom"/>
            <w:tcBorders>
              <w:bottom w:val="single" w:sz="8" w:color="CCCCCC"/>
            </w:tcBorders>
            <w:shd w:val="clear" w:color="auto" w:fill="F2F2F2"/>
          </w:tcPr>
          <w:p>
            <w:pPr>
              <w:spacing w:after="0"/>
              <w:rPr>
                <w:sz w:val="5"/>
                <w:szCs w:val="5"/>
                <w:color w:val="auto"/>
              </w:rPr>
            </w:pPr>
          </w:p>
        </w:tc>
        <w:tc>
          <w:tcPr>
            <w:tcW w:w="160" w:type="dxa"/>
            <w:vAlign w:val="bottom"/>
            <w:tcBorders>
              <w:bottom w:val="single" w:sz="8" w:color="CCCCCC"/>
            </w:tcBorders>
            <w:shd w:val="clear" w:color="auto" w:fill="F2F2F2"/>
          </w:tcPr>
          <w:p>
            <w:pPr>
              <w:spacing w:after="0"/>
              <w:rPr>
                <w:sz w:val="5"/>
                <w:szCs w:val="5"/>
                <w:color w:val="auto"/>
              </w:rPr>
            </w:pPr>
          </w:p>
        </w:tc>
        <w:tc>
          <w:tcPr>
            <w:tcW w:w="600" w:type="dxa"/>
            <w:vAlign w:val="bottom"/>
            <w:tcBorders>
              <w:bottom w:val="single" w:sz="8" w:color="CCCCCC"/>
            </w:tcBorders>
            <w:shd w:val="clear" w:color="auto" w:fill="F2F2F2"/>
          </w:tcPr>
          <w:p>
            <w:pPr>
              <w:spacing w:after="0"/>
              <w:rPr>
                <w:sz w:val="5"/>
                <w:szCs w:val="5"/>
                <w:color w:val="auto"/>
              </w:rPr>
            </w:pPr>
          </w:p>
        </w:tc>
        <w:tc>
          <w:tcPr>
            <w:tcW w:w="1040" w:type="dxa"/>
            <w:vAlign w:val="bottom"/>
            <w:tcBorders>
              <w:bottom w:val="single" w:sz="8" w:color="CCCCCC"/>
            </w:tcBorders>
            <w:shd w:val="clear" w:color="auto" w:fill="F2F2F2"/>
          </w:tcPr>
          <w:p>
            <w:pPr>
              <w:spacing w:after="0"/>
              <w:rPr>
                <w:sz w:val="5"/>
                <w:szCs w:val="5"/>
                <w:color w:val="auto"/>
              </w:rPr>
            </w:pPr>
          </w:p>
        </w:tc>
        <w:tc>
          <w:tcPr>
            <w:tcW w:w="120" w:type="dxa"/>
            <w:vAlign w:val="bottom"/>
            <w:tcBorders>
              <w:bottom w:val="single" w:sz="8" w:color="CCCCCC"/>
            </w:tcBorders>
            <w:shd w:val="clear" w:color="auto" w:fill="F2F2F2"/>
          </w:tcPr>
          <w:p>
            <w:pPr>
              <w:spacing w:after="0"/>
              <w:rPr>
                <w:sz w:val="5"/>
                <w:szCs w:val="5"/>
                <w:color w:val="auto"/>
              </w:rPr>
            </w:pPr>
          </w:p>
        </w:tc>
        <w:tc>
          <w:tcPr>
            <w:tcW w:w="720" w:type="dxa"/>
            <w:vAlign w:val="bottom"/>
            <w:tcBorders>
              <w:bottom w:val="single" w:sz="8" w:color="CCCCCC"/>
            </w:tcBorders>
            <w:shd w:val="clear" w:color="auto" w:fill="F2F2F2"/>
          </w:tcPr>
          <w:p>
            <w:pPr>
              <w:spacing w:after="0"/>
              <w:rPr>
                <w:sz w:val="5"/>
                <w:szCs w:val="5"/>
                <w:color w:val="auto"/>
              </w:rPr>
            </w:pPr>
          </w:p>
        </w:tc>
      </w:tr>
      <w:tr>
        <w:trPr>
          <w:trHeight w:val="257"/>
        </w:trPr>
        <w:tc>
          <w:tcPr>
            <w:tcW w:w="1660" w:type="dxa"/>
            <w:vAlign w:val="bottom"/>
            <w:shd w:val="clear" w:color="auto" w:fill="F2F2F2"/>
          </w:tcPr>
          <w:p>
            <w:pPr>
              <w:spacing w:after="0"/>
              <w:rPr>
                <w:sz w:val="22"/>
                <w:szCs w:val="22"/>
                <w:color w:val="auto"/>
              </w:rPr>
            </w:pPr>
          </w:p>
        </w:tc>
        <w:tc>
          <w:tcPr>
            <w:tcW w:w="780" w:type="dxa"/>
            <w:vAlign w:val="bottom"/>
            <w:shd w:val="clear" w:color="auto" w:fill="F2F2F2"/>
          </w:tcPr>
          <w:p>
            <w:pPr>
              <w:jc w:val="right"/>
              <w:spacing w:after="0"/>
              <w:rPr>
                <w:sz w:val="20"/>
                <w:szCs w:val="20"/>
                <w:color w:val="auto"/>
              </w:rPr>
            </w:pPr>
            <w:r>
              <w:rPr>
                <w:rFonts w:ascii="Arial" w:cs="Arial" w:eastAsia="Arial" w:hAnsi="Arial"/>
                <w:sz w:val="15"/>
                <w:szCs w:val="15"/>
                <w:color w:val="auto"/>
              </w:rPr>
              <w:t>​2/15/2024</w:t>
            </w:r>
          </w:p>
        </w:tc>
        <w:tc>
          <w:tcPr>
            <w:tcW w:w="260" w:type="dxa"/>
            <w:vAlign w:val="bottom"/>
            <w:shd w:val="clear" w:color="auto" w:fill="F2F2F2"/>
          </w:tcPr>
          <w:p>
            <w:pPr>
              <w:spacing w:after="0"/>
              <w:rPr>
                <w:sz w:val="22"/>
                <w:szCs w:val="22"/>
                <w:color w:val="auto"/>
              </w:rPr>
            </w:pPr>
          </w:p>
        </w:tc>
        <w:tc>
          <w:tcPr>
            <w:tcW w:w="700" w:type="dxa"/>
            <w:vAlign w:val="bottom"/>
            <w:shd w:val="clear" w:color="auto" w:fill="F2F2F2"/>
          </w:tcPr>
          <w:p>
            <w:pPr>
              <w:spacing w:after="0"/>
              <w:rPr>
                <w:sz w:val="22"/>
                <w:szCs w:val="22"/>
                <w:color w:val="auto"/>
              </w:rPr>
            </w:pPr>
          </w:p>
        </w:tc>
        <w:tc>
          <w:tcPr>
            <w:tcW w:w="180" w:type="dxa"/>
            <w:vAlign w:val="bottom"/>
            <w:shd w:val="clear" w:color="auto" w:fill="F2F2F2"/>
          </w:tcPr>
          <w:p>
            <w:pPr>
              <w:spacing w:after="0"/>
              <w:rPr>
                <w:sz w:val="22"/>
                <w:szCs w:val="22"/>
                <w:color w:val="auto"/>
              </w:rPr>
            </w:pPr>
          </w:p>
        </w:tc>
        <w:tc>
          <w:tcPr>
            <w:tcW w:w="700" w:type="dxa"/>
            <w:vAlign w:val="bottom"/>
            <w:shd w:val="clear" w:color="auto" w:fill="F2F2F2"/>
          </w:tcPr>
          <w:p>
            <w:pPr>
              <w:spacing w:after="0"/>
              <w:rPr>
                <w:sz w:val="22"/>
                <w:szCs w:val="22"/>
                <w:color w:val="auto"/>
              </w:rPr>
            </w:pPr>
          </w:p>
        </w:tc>
        <w:tc>
          <w:tcPr>
            <w:tcW w:w="180" w:type="dxa"/>
            <w:vAlign w:val="bottom"/>
            <w:shd w:val="clear" w:color="auto" w:fill="F2F2F2"/>
          </w:tcPr>
          <w:p>
            <w:pPr>
              <w:spacing w:after="0"/>
              <w:rPr>
                <w:sz w:val="22"/>
                <w:szCs w:val="22"/>
                <w:color w:val="auto"/>
              </w:rPr>
            </w:pPr>
          </w:p>
        </w:tc>
        <w:tc>
          <w:tcPr>
            <w:tcW w:w="670" w:type="dxa"/>
            <w:vAlign w:val="bottom"/>
            <w:shd w:val="clear" w:color="auto" w:fill="F2F2F2"/>
          </w:tcPr>
          <w:p>
            <w:pPr>
              <w:spacing w:after="0"/>
              <w:rPr>
                <w:sz w:val="22"/>
                <w:szCs w:val="22"/>
                <w:color w:val="auto"/>
              </w:rPr>
            </w:pPr>
          </w:p>
        </w:tc>
        <w:tc>
          <w:tcPr>
            <w:tcW w:w="230" w:type="dxa"/>
            <w:vAlign w:val="bottom"/>
            <w:shd w:val="clear" w:color="auto" w:fill="F2F2F2"/>
          </w:tcPr>
          <w:p>
            <w:pPr>
              <w:ind w:left="130"/>
              <w:spacing w:after="0"/>
              <w:rPr>
                <w:sz w:val="20"/>
                <w:szCs w:val="20"/>
                <w:color w:val="auto"/>
              </w:rPr>
            </w:pPr>
            <w:r>
              <w:rPr>
                <w:rFonts w:ascii="Arial" w:cs="Arial" w:eastAsia="Arial" w:hAnsi="Arial"/>
                <w:sz w:val="15"/>
                <w:szCs w:val="15"/>
                <w:color w:val="auto"/>
              </w:rPr>
              <w:t>​</w:t>
            </w:r>
          </w:p>
        </w:tc>
        <w:tc>
          <w:tcPr>
            <w:tcW w:w="520" w:type="dxa"/>
            <w:vAlign w:val="bottom"/>
            <w:shd w:val="clear" w:color="auto" w:fill="F2F2F2"/>
          </w:tcPr>
          <w:p>
            <w:pPr>
              <w:jc w:val="right"/>
              <w:ind w:right="69"/>
              <w:spacing w:after="0"/>
              <w:rPr>
                <w:sz w:val="20"/>
                <w:szCs w:val="20"/>
                <w:color w:val="auto"/>
              </w:rPr>
            </w:pPr>
            <w:r>
              <w:rPr>
                <w:rFonts w:ascii="Arial" w:cs="Arial" w:eastAsia="Arial" w:hAnsi="Arial"/>
                <w:sz w:val="15"/>
                <w:szCs w:val="15"/>
                <w:color w:val="auto"/>
              </w:rPr>
              <w:t>668</w:t>
            </w:r>
          </w:p>
        </w:tc>
        <w:tc>
          <w:tcPr>
            <w:tcW w:w="74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 1,335</w:t>
            </w:r>
          </w:p>
        </w:tc>
        <w:tc>
          <w:tcPr>
            <w:tcW w:w="160" w:type="dxa"/>
            <w:vAlign w:val="bottom"/>
            <w:shd w:val="clear" w:color="auto" w:fill="F2F2F2"/>
          </w:tcPr>
          <w:p>
            <w:pPr>
              <w:ind w:lef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F2F2F2"/>
          </w:tcPr>
          <w:p>
            <w:pPr>
              <w:jc w:val="right"/>
              <w:ind w:right="7"/>
              <w:spacing w:after="0"/>
              <w:rPr>
                <w:sz w:val="20"/>
                <w:szCs w:val="20"/>
                <w:color w:val="auto"/>
              </w:rPr>
            </w:pPr>
            <w:r>
              <w:rPr>
                <w:rFonts w:ascii="Arial" w:cs="Arial" w:eastAsia="Arial" w:hAnsi="Arial"/>
                <w:sz w:val="15"/>
                <w:szCs w:val="15"/>
                <w:color w:val="auto"/>
              </w:rPr>
              <w:t>2,670</w:t>
            </w:r>
          </w:p>
        </w:tc>
        <w:tc>
          <w:tcPr>
            <w:tcW w:w="1040" w:type="dxa"/>
            <w:vAlign w:val="bottom"/>
            <w:shd w:val="clear" w:color="auto" w:fill="F2F2F2"/>
          </w:tcPr>
          <w:p>
            <w:pPr>
              <w:spacing w:after="0"/>
              <w:rPr>
                <w:sz w:val="22"/>
                <w:szCs w:val="22"/>
                <w:color w:val="auto"/>
              </w:rPr>
            </w:pPr>
          </w:p>
        </w:tc>
        <w:tc>
          <w:tcPr>
            <w:tcW w:w="12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F2F2F2"/>
          </w:tcPr>
          <w:p>
            <w:pPr>
              <w:jc w:val="right"/>
              <w:ind w:right="5"/>
              <w:spacing w:after="0"/>
              <w:rPr>
                <w:sz w:val="20"/>
                <w:szCs w:val="20"/>
                <w:color w:val="auto"/>
              </w:rPr>
            </w:pPr>
            <w:r>
              <w:rPr>
                <w:rFonts w:ascii="Arial" w:cs="Arial" w:eastAsia="Arial" w:hAnsi="Arial"/>
                <w:sz w:val="15"/>
                <w:szCs w:val="15"/>
                <w:color w:val="auto"/>
              </w:rPr>
              <w:t>37,206</w:t>
            </w:r>
          </w:p>
        </w:tc>
      </w:tr>
      <w:tr>
        <w:trPr>
          <w:trHeight w:val="60"/>
        </w:trPr>
        <w:tc>
          <w:tcPr>
            <w:tcW w:w="1660" w:type="dxa"/>
            <w:vAlign w:val="bottom"/>
            <w:tcBorders>
              <w:bottom w:val="single" w:sz="8" w:color="CCCCCC"/>
            </w:tcBorders>
            <w:shd w:val="clear" w:color="auto" w:fill="F2F2F2"/>
          </w:tcPr>
          <w:p>
            <w:pPr>
              <w:spacing w:after="0"/>
              <w:rPr>
                <w:sz w:val="5"/>
                <w:szCs w:val="5"/>
                <w:color w:val="auto"/>
              </w:rPr>
            </w:pPr>
          </w:p>
        </w:tc>
        <w:tc>
          <w:tcPr>
            <w:tcW w:w="780" w:type="dxa"/>
            <w:vAlign w:val="bottom"/>
            <w:tcBorders>
              <w:bottom w:val="single" w:sz="8" w:color="CCCCCC"/>
            </w:tcBorders>
            <w:shd w:val="clear" w:color="auto" w:fill="F2F2F2"/>
          </w:tcPr>
          <w:p>
            <w:pPr>
              <w:spacing w:after="0"/>
              <w:rPr>
                <w:sz w:val="5"/>
                <w:szCs w:val="5"/>
                <w:color w:val="auto"/>
              </w:rPr>
            </w:pPr>
          </w:p>
        </w:tc>
        <w:tc>
          <w:tcPr>
            <w:tcW w:w="26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700" w:type="dxa"/>
            <w:vAlign w:val="bottom"/>
            <w:tcBorders>
              <w:bottom w:val="single" w:sz="8" w:color="CCCCCC"/>
            </w:tcBorders>
            <w:shd w:val="clear" w:color="auto" w:fill="F2F2F2"/>
          </w:tcPr>
          <w:p>
            <w:pPr>
              <w:spacing w:after="0"/>
              <w:rPr>
                <w:sz w:val="5"/>
                <w:szCs w:val="5"/>
                <w:color w:val="auto"/>
              </w:rPr>
            </w:pPr>
          </w:p>
        </w:tc>
        <w:tc>
          <w:tcPr>
            <w:tcW w:w="180" w:type="dxa"/>
            <w:vAlign w:val="bottom"/>
            <w:tcBorders>
              <w:bottom w:val="single" w:sz="8" w:color="CCCCCC"/>
            </w:tcBorders>
            <w:shd w:val="clear" w:color="auto" w:fill="F2F2F2"/>
          </w:tcPr>
          <w:p>
            <w:pPr>
              <w:spacing w:after="0"/>
              <w:rPr>
                <w:sz w:val="5"/>
                <w:szCs w:val="5"/>
                <w:color w:val="auto"/>
              </w:rPr>
            </w:pPr>
          </w:p>
        </w:tc>
        <w:tc>
          <w:tcPr>
            <w:tcW w:w="670" w:type="dxa"/>
            <w:vAlign w:val="bottom"/>
            <w:tcBorders>
              <w:bottom w:val="single" w:sz="8" w:color="CCCCCC"/>
            </w:tcBorders>
            <w:shd w:val="clear" w:color="auto" w:fill="F2F2F2"/>
          </w:tcPr>
          <w:p>
            <w:pPr>
              <w:spacing w:after="0"/>
              <w:rPr>
                <w:sz w:val="5"/>
                <w:szCs w:val="5"/>
                <w:color w:val="auto"/>
              </w:rPr>
            </w:pPr>
          </w:p>
        </w:tc>
        <w:tc>
          <w:tcPr>
            <w:tcW w:w="230" w:type="dxa"/>
            <w:vAlign w:val="bottom"/>
            <w:tcBorders>
              <w:bottom w:val="single" w:sz="8" w:color="CCCCCC"/>
            </w:tcBorders>
            <w:shd w:val="clear" w:color="auto" w:fill="F2F2F2"/>
          </w:tcPr>
          <w:p>
            <w:pPr>
              <w:spacing w:after="0"/>
              <w:rPr>
                <w:sz w:val="5"/>
                <w:szCs w:val="5"/>
                <w:color w:val="auto"/>
              </w:rPr>
            </w:pPr>
          </w:p>
        </w:tc>
        <w:tc>
          <w:tcPr>
            <w:tcW w:w="520" w:type="dxa"/>
            <w:vAlign w:val="bottom"/>
            <w:tcBorders>
              <w:bottom w:val="single" w:sz="8" w:color="CCCCCC"/>
            </w:tcBorders>
            <w:shd w:val="clear" w:color="auto" w:fill="F2F2F2"/>
          </w:tcPr>
          <w:p>
            <w:pPr>
              <w:spacing w:after="0"/>
              <w:rPr>
                <w:sz w:val="5"/>
                <w:szCs w:val="5"/>
                <w:color w:val="auto"/>
              </w:rPr>
            </w:pPr>
          </w:p>
        </w:tc>
        <w:tc>
          <w:tcPr>
            <w:tcW w:w="740" w:type="dxa"/>
            <w:vAlign w:val="bottom"/>
            <w:tcBorders>
              <w:bottom w:val="single" w:sz="8" w:color="CCCCCC"/>
            </w:tcBorders>
            <w:shd w:val="clear" w:color="auto" w:fill="F2F2F2"/>
          </w:tcPr>
          <w:p>
            <w:pPr>
              <w:spacing w:after="0"/>
              <w:rPr>
                <w:sz w:val="5"/>
                <w:szCs w:val="5"/>
                <w:color w:val="auto"/>
              </w:rPr>
            </w:pPr>
          </w:p>
        </w:tc>
        <w:tc>
          <w:tcPr>
            <w:tcW w:w="160" w:type="dxa"/>
            <w:vAlign w:val="bottom"/>
            <w:tcBorders>
              <w:bottom w:val="single" w:sz="8" w:color="CCCCCC"/>
            </w:tcBorders>
            <w:shd w:val="clear" w:color="auto" w:fill="F2F2F2"/>
          </w:tcPr>
          <w:p>
            <w:pPr>
              <w:spacing w:after="0"/>
              <w:rPr>
                <w:sz w:val="5"/>
                <w:szCs w:val="5"/>
                <w:color w:val="auto"/>
              </w:rPr>
            </w:pPr>
          </w:p>
        </w:tc>
        <w:tc>
          <w:tcPr>
            <w:tcW w:w="600" w:type="dxa"/>
            <w:vAlign w:val="bottom"/>
            <w:tcBorders>
              <w:bottom w:val="single" w:sz="8" w:color="CCCCCC"/>
            </w:tcBorders>
            <w:shd w:val="clear" w:color="auto" w:fill="F2F2F2"/>
          </w:tcPr>
          <w:p>
            <w:pPr>
              <w:spacing w:after="0"/>
              <w:rPr>
                <w:sz w:val="5"/>
                <w:szCs w:val="5"/>
                <w:color w:val="auto"/>
              </w:rPr>
            </w:pPr>
          </w:p>
        </w:tc>
        <w:tc>
          <w:tcPr>
            <w:tcW w:w="1040" w:type="dxa"/>
            <w:vAlign w:val="bottom"/>
            <w:tcBorders>
              <w:bottom w:val="single" w:sz="8" w:color="CCCCCC"/>
            </w:tcBorders>
            <w:shd w:val="clear" w:color="auto" w:fill="F2F2F2"/>
          </w:tcPr>
          <w:p>
            <w:pPr>
              <w:spacing w:after="0"/>
              <w:rPr>
                <w:sz w:val="5"/>
                <w:szCs w:val="5"/>
                <w:color w:val="auto"/>
              </w:rPr>
            </w:pPr>
          </w:p>
        </w:tc>
        <w:tc>
          <w:tcPr>
            <w:tcW w:w="120" w:type="dxa"/>
            <w:vAlign w:val="bottom"/>
            <w:tcBorders>
              <w:bottom w:val="single" w:sz="8" w:color="CCCCCC"/>
            </w:tcBorders>
            <w:shd w:val="clear" w:color="auto" w:fill="F2F2F2"/>
          </w:tcPr>
          <w:p>
            <w:pPr>
              <w:spacing w:after="0"/>
              <w:rPr>
                <w:sz w:val="5"/>
                <w:szCs w:val="5"/>
                <w:color w:val="auto"/>
              </w:rPr>
            </w:pPr>
          </w:p>
        </w:tc>
        <w:tc>
          <w:tcPr>
            <w:tcW w:w="720" w:type="dxa"/>
            <w:vAlign w:val="bottom"/>
            <w:tcBorders>
              <w:bottom w:val="single" w:sz="8" w:color="CCCCCC"/>
            </w:tcBorders>
            <w:shd w:val="clear" w:color="auto" w:fill="F2F2F2"/>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-6797040</wp:posOffset>
            </wp:positionV>
            <wp:extent cx="47834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39"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​60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0" w:right="420"/>
        <w:spacing w:after="0" w:line="264" w:lineRule="auto"/>
        <w:rPr>
          <w:sz w:val="20"/>
          <w:szCs w:val="20"/>
          <w:color w:val="auto"/>
        </w:rPr>
      </w:pPr>
      <w:r>
        <w:rPr>
          <w:rFonts w:ascii="Arial" w:cs="Arial" w:eastAsia="Arial" w:hAnsi="Arial"/>
          <w:sz w:val="13"/>
          <w:szCs w:val="13"/>
          <w:color w:val="auto"/>
        </w:rPr>
        <w:t>There were no other equity awards granted to the named executive officers during the year. Mr. Lesar departed from the Company on January 5, 2024 and did not receive any grants of non-equity or equity incentive plan awards during 2024.</w:t>
      </w:r>
    </w:p>
    <w:p>
      <w:pPr>
        <w:spacing w:after="0" w:line="63" w:lineRule="exact"/>
        <w:rPr>
          <w:sz w:val="20"/>
          <w:szCs w:val="20"/>
          <w:color w:val="auto"/>
        </w:rPr>
      </w:pPr>
    </w:p>
    <w:p>
      <w:pPr>
        <w:ind w:left="920" w:right="140" w:hanging="189"/>
        <w:spacing w:after="0" w:line="224" w:lineRule="auto"/>
        <w:tabs>
          <w:tab w:leader="none" w:pos="920" w:val="left"/>
        </w:tabs>
        <w:numPr>
          <w:ilvl w:val="0"/>
          <w:numId w:val="111"/>
        </w:numPr>
        <w:rPr>
          <w:rFonts w:ascii="Arial" w:cs="Arial" w:eastAsia="Arial" w:hAnsi="Arial"/>
          <w:sz w:val="20"/>
          <w:szCs w:val="20"/>
          <w:color w:val="auto"/>
          <w:vertAlign w:val="superscript"/>
        </w:rPr>
      </w:pPr>
      <w:r>
        <w:rPr>
          <w:rFonts w:ascii="Arial" w:cs="Arial" w:eastAsia="Arial" w:hAnsi="Arial"/>
          <w:sz w:val="13"/>
          <w:szCs w:val="13"/>
          <w:color w:val="auto"/>
        </w:rPr>
        <w:t>The estimated payouts under non-equity incentive plan awards are based on the terms of our 2024 short-term incentive plan. Based on the goals adopted in 2024, the maximum payout amount (as shown in the Maximum column) is 200% of target for our named executive officers. Actual amounts paid in 2025 for 2024 performance are shown in the Non-Equity Incentive Plan Compensation column of the Summary Compensation Table. Any amount awarded by the Human Capital and Compensation Committee to an individual executive officer in excess of the actual performance level of the underlying performance objectives is reflected in the Summary Compensation Table in the Bonus column.</w:t>
      </w:r>
    </w:p>
    <w:p>
      <w:pPr>
        <w:spacing w:after="0" w:line="77" w:lineRule="exact"/>
        <w:rPr>
          <w:rFonts w:ascii="Arial" w:cs="Arial" w:eastAsia="Arial" w:hAnsi="Arial"/>
          <w:sz w:val="20"/>
          <w:szCs w:val="20"/>
          <w:color w:val="auto"/>
          <w:vertAlign w:val="superscript"/>
        </w:rPr>
      </w:pPr>
    </w:p>
    <w:p>
      <w:pPr>
        <w:ind w:left="920" w:right="20" w:hanging="189"/>
        <w:spacing w:after="0" w:line="248" w:lineRule="auto"/>
        <w:tabs>
          <w:tab w:leader="none" w:pos="920" w:val="left"/>
        </w:tabs>
        <w:numPr>
          <w:ilvl w:val="0"/>
          <w:numId w:val="111"/>
        </w:numPr>
        <w:rPr>
          <w:rFonts w:ascii="Arial" w:cs="Arial" w:eastAsia="Arial" w:hAnsi="Arial"/>
          <w:sz w:val="19"/>
          <w:szCs w:val="19"/>
          <w:color w:val="auto"/>
          <w:vertAlign w:val="superscript"/>
        </w:rPr>
      </w:pPr>
      <w:r>
        <w:rPr>
          <w:rFonts w:ascii="Arial" w:cs="Arial" w:eastAsia="Arial" w:hAnsi="Arial"/>
          <w:sz w:val="12"/>
          <w:szCs w:val="12"/>
          <w:color w:val="auto"/>
        </w:rPr>
        <w:t>The annual grants of equity incentive plan awards consist of two types of awards for each named executive officer: a restricted stock unit award covering a number of shares listed in the All Other Stock Awards column, and three performance share unit awards, for which threshold, target and maximum numbers of shares are shown in the columns under Estimated Future Payouts Under Equity Incentive Plan Awards.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2024 table for the vesting date of each of these awards.</w:t>
      </w:r>
    </w:p>
    <w:p>
      <w:pPr>
        <w:spacing w:after="0" w:line="73" w:lineRule="exact"/>
        <w:rPr>
          <w:rFonts w:ascii="Arial" w:cs="Arial" w:eastAsia="Arial" w:hAnsi="Arial"/>
          <w:sz w:val="19"/>
          <w:szCs w:val="19"/>
          <w:color w:val="auto"/>
          <w:vertAlign w:val="superscript"/>
        </w:rPr>
      </w:pPr>
    </w:p>
    <w:p>
      <w:pPr>
        <w:ind w:left="920" w:right="260" w:hanging="189"/>
        <w:spacing w:after="0" w:line="198" w:lineRule="auto"/>
        <w:tabs>
          <w:tab w:leader="none" w:pos="920" w:val="left"/>
        </w:tabs>
        <w:numPr>
          <w:ilvl w:val="0"/>
          <w:numId w:val="111"/>
        </w:numPr>
        <w:rPr>
          <w:rFonts w:ascii="Arial" w:cs="Arial" w:eastAsia="Arial" w:hAnsi="Arial"/>
          <w:sz w:val="20"/>
          <w:szCs w:val="20"/>
          <w:color w:val="auto"/>
          <w:vertAlign w:val="superscript"/>
        </w:rPr>
      </w:pPr>
      <w:r>
        <w:rPr>
          <w:rFonts w:ascii="Arial" w:cs="Arial" w:eastAsia="Arial" w:hAnsi="Arial"/>
          <w:sz w:val="13"/>
          <w:szCs w:val="13"/>
          <w:color w:val="auto"/>
        </w:rPr>
        <w:t>All of Ms. Wilson’s non-equity and equity incentive plan awards granted during 2024 were forfeited upon her departure from the Company in accordance with their terms.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Non-Equity Incentive Plan Awards</w:t>
      </w:r>
    </w:p>
    <w:p>
      <w:pPr>
        <w:spacing w:after="0" w:line="126" w:lineRule="exact"/>
        <w:rPr>
          <w:sz w:val="20"/>
          <w:szCs w:val="20"/>
          <w:color w:val="auto"/>
        </w:rPr>
      </w:pPr>
    </w:p>
    <w:p>
      <w:pPr>
        <w:ind w:left="740" w:right="160"/>
        <w:spacing w:after="0" w:line="304" w:lineRule="auto"/>
        <w:rPr>
          <w:sz w:val="20"/>
          <w:szCs w:val="20"/>
          <w:color w:val="auto"/>
        </w:rPr>
      </w:pPr>
      <w:r>
        <w:rPr>
          <w:rFonts w:ascii="Arial" w:cs="Arial" w:eastAsia="Arial" w:hAnsi="Arial"/>
          <w:sz w:val="16"/>
          <w:szCs w:val="16"/>
          <w:color w:val="auto"/>
        </w:rPr>
        <w:t>For our named executive officers, awards under the short-term incentive plan for 2024 are solely based on achieving a non-GAAP EPS goal, “Adjusted EPS”, subject to a negative-only modifier focused on diversity and inclusion.</w:t>
      </w:r>
    </w:p>
    <w:p>
      <w:pPr>
        <w:spacing w:after="0" w:line="74" w:lineRule="exact"/>
        <w:rPr>
          <w:sz w:val="20"/>
          <w:szCs w:val="20"/>
          <w:color w:val="auto"/>
        </w:rPr>
      </w:pPr>
    </w:p>
    <w:p>
      <w:pPr>
        <w:ind w:left="740" w:right="200"/>
        <w:spacing w:after="0" w:line="275" w:lineRule="auto"/>
        <w:rPr>
          <w:sz w:val="20"/>
          <w:szCs w:val="20"/>
          <w:color w:val="auto"/>
        </w:rPr>
      </w:pPr>
      <w:r>
        <w:rPr>
          <w:rFonts w:ascii="Arial" w:cs="Arial" w:eastAsia="Arial" w:hAnsi="Arial"/>
          <w:sz w:val="16"/>
          <w:szCs w:val="16"/>
          <w:color w:val="auto"/>
        </w:rPr>
        <w:t>Adjusted EPS is a non-GAAP metric which includes net income from electric and natural gas segments, as well as after-tax corporate and other operating income and corporate overhead. It is also adjusted for certain factors to reflect what we consider to be our fundamental business performance.</w:t>
      </w:r>
    </w:p>
    <w:p>
      <w:pPr>
        <w:spacing w:after="0" w:line="11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2024, Adjusted EPS excluded:</w:t>
      </w:r>
    </w:p>
    <w:p>
      <w:pPr>
        <w:spacing w:after="0" w:line="127" w:lineRule="exact"/>
        <w:rPr>
          <w:sz w:val="20"/>
          <w:szCs w:val="20"/>
          <w:color w:val="auto"/>
        </w:rPr>
      </w:pPr>
    </w:p>
    <w:p>
      <w:pPr>
        <w:ind w:left="920" w:right="60" w:hanging="189"/>
        <w:spacing w:after="0" w:line="304" w:lineRule="auto"/>
        <w:tabs>
          <w:tab w:leader="none" w:pos="9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earnings or losses from the change in value of the Company’s 2.0% Zero-Premium Exchangeable Subordinated Notes due 2029 (ZENS) and related securities, and</w:t>
      </w:r>
    </w:p>
    <w:p>
      <w:pPr>
        <w:spacing w:after="0" w:line="60" w:lineRule="exact"/>
        <w:rPr>
          <w:rFonts w:ascii="Arial" w:cs="Arial" w:eastAsia="Arial" w:hAnsi="Arial"/>
          <w:sz w:val="16"/>
          <w:szCs w:val="16"/>
          <w:color w:val="auto"/>
        </w:rPr>
      </w:pPr>
    </w:p>
    <w:p>
      <w:pPr>
        <w:ind w:left="920" w:right="640" w:hanging="189"/>
        <w:spacing w:after="0" w:line="286" w:lineRule="auto"/>
        <w:tabs>
          <w:tab w:leader="none" w:pos="9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gain and impact, including related expenses, associated with mergers and divestitures, such as the divestiture of Energy Systems Group, LLC and the Louisiana and Mississippi gas LDC sales.</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a reconciliation of our Adjusted EPS to the nearest GAAP metric, please see Appendix A hereto.</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Equity Incentive Plan Awards—Additional Information</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Three-Year Cumulative Adjusted EPS</w:t>
      </w:r>
    </w:p>
    <w:p>
      <w:pPr>
        <w:spacing w:after="0" w:line="122" w:lineRule="exact"/>
        <w:rPr>
          <w:sz w:val="20"/>
          <w:szCs w:val="20"/>
          <w:color w:val="auto"/>
        </w:rPr>
      </w:pPr>
    </w:p>
    <w:p>
      <w:pPr>
        <w:ind w:left="740" w:right="320"/>
        <w:spacing w:after="0" w:line="275" w:lineRule="auto"/>
        <w:rPr>
          <w:sz w:val="20"/>
          <w:szCs w:val="20"/>
          <w:color w:val="auto"/>
        </w:rPr>
      </w:pPr>
      <w:r>
        <w:rPr>
          <w:rFonts w:ascii="Arial" w:cs="Arial" w:eastAsia="Arial" w:hAnsi="Arial"/>
          <w:sz w:val="16"/>
          <w:szCs w:val="16"/>
          <w:color w:val="auto"/>
        </w:rPr>
        <w:t>For awards granted in February 2022, the performance share unit award vests based on our achievement of a three-year cumulative Adjusted EPS goal. For the three-year performance cycle ending on December 31, 2024, the cumulative net income performance goal reflects Adjusted EPS target from our approved ten-year capital plan.</w:t>
      </w:r>
    </w:p>
    <w:p>
      <w:pPr>
        <w:spacing w:after="0" w:line="11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Reported consolidated diluted earnings per share pursuant to GAAP is adjusted for the following:</w:t>
      </w:r>
    </w:p>
    <w:p>
      <w:pPr>
        <w:spacing w:after="0" w:line="127" w:lineRule="exact"/>
        <w:rPr>
          <w:sz w:val="20"/>
          <w:szCs w:val="20"/>
          <w:color w:val="auto"/>
        </w:rPr>
      </w:pPr>
    </w:p>
    <w:p>
      <w:pPr>
        <w:ind w:left="920" w:hanging="189"/>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earnings or losses from the change in value of ZENS and related securities, and</w:t>
      </w:r>
    </w:p>
    <w:p>
      <w:pPr>
        <w:spacing w:after="0" w:line="140" w:lineRule="exact"/>
        <w:rPr>
          <w:rFonts w:ascii="Arial" w:cs="Arial" w:eastAsia="Arial" w:hAnsi="Arial"/>
          <w:sz w:val="16"/>
          <w:szCs w:val="16"/>
          <w:color w:val="auto"/>
        </w:rPr>
      </w:pPr>
    </w:p>
    <w:p>
      <w:pPr>
        <w:ind w:left="920" w:right="640" w:hanging="189"/>
        <w:spacing w:after="0" w:line="304" w:lineRule="auto"/>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gain and impact, including related expenses, associated with mergers and divestitures, such as the divestiture of Energy Systems Group, LLC and the Louisiana and Mississippi gas LDC sales.</w:t>
      </w:r>
    </w:p>
    <w:p>
      <w:pPr>
        <w:spacing w:after="0" w:line="74" w:lineRule="exact"/>
        <w:rPr>
          <w:sz w:val="20"/>
          <w:szCs w:val="20"/>
          <w:color w:val="auto"/>
        </w:rPr>
      </w:pPr>
    </w:p>
    <w:p>
      <w:pPr>
        <w:ind w:left="740" w:right="140"/>
        <w:spacing w:after="0" w:line="284" w:lineRule="auto"/>
        <w:rPr>
          <w:sz w:val="20"/>
          <w:szCs w:val="20"/>
          <w:color w:val="auto"/>
        </w:rPr>
      </w:pPr>
      <w:r>
        <w:rPr>
          <w:rFonts w:ascii="Arial" w:cs="Arial" w:eastAsia="Arial" w:hAnsi="Arial"/>
          <w:sz w:val="16"/>
          <w:szCs w:val="16"/>
          <w:color w:val="auto"/>
        </w:rPr>
        <w:t>Cumulative Adjusted EPS is calculated by aggregating three years of Adjusted EPS as reported by the Company. For a reconciliation of our Adjusted EPS to the nearest GAAP metric for each of the years in the performance cycle noted above, please see Appendix A hereto.</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Definitions of Scope 1, 2 and 3 Carbon Emissions</w:t>
      </w:r>
    </w:p>
    <w:p>
      <w:pPr>
        <w:spacing w:after="0" w:line="149" w:lineRule="exact"/>
        <w:rPr>
          <w:sz w:val="20"/>
          <w:szCs w:val="20"/>
          <w:color w:val="auto"/>
        </w:rPr>
      </w:pPr>
    </w:p>
    <w:p>
      <w:pPr>
        <w:ind w:left="920" w:right="760" w:hanging="189"/>
        <w:spacing w:after="0" w:line="286" w:lineRule="auto"/>
        <w:tabs>
          <w:tab w:leader="none" w:pos="9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Scope 1 carbon emissions</w:t>
      </w:r>
      <w:r>
        <w:rPr>
          <w:rFonts w:ascii="Arial" w:cs="Arial" w:eastAsia="Arial" w:hAnsi="Arial"/>
          <w:sz w:val="16"/>
          <w:szCs w:val="16"/>
          <w:color w:val="auto"/>
        </w:rPr>
        <w:t xml:space="preserve"> estimates are calculated from greenhouse gas emissions that directly come from our operations.</w:t>
      </w:r>
    </w:p>
    <w:p>
      <w:pPr>
        <w:spacing w:after="0" w:line="74" w:lineRule="exact"/>
        <w:rPr>
          <w:rFonts w:ascii="Arial" w:cs="Arial" w:eastAsia="Arial" w:hAnsi="Arial"/>
          <w:sz w:val="16"/>
          <w:szCs w:val="16"/>
          <w:color w:val="auto"/>
        </w:rPr>
      </w:pPr>
    </w:p>
    <w:p>
      <w:pPr>
        <w:jc w:val="both"/>
        <w:ind w:left="920" w:right="120" w:hanging="189"/>
        <w:spacing w:after="0" w:line="271" w:lineRule="auto"/>
        <w:tabs>
          <w:tab w:leader="none" w:pos="9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Scope 2 carbon emissions</w:t>
      </w:r>
      <w:r>
        <w:rPr>
          <w:rFonts w:ascii="Arial" w:cs="Arial" w:eastAsia="Arial" w:hAnsi="Arial"/>
          <w:sz w:val="16"/>
          <w:szCs w:val="16"/>
          <w:color w:val="auto"/>
        </w:rPr>
        <w:t xml:space="preserve"> estimates are calculated from greenhouse gas emissions that indirectly come from our energy usage, but because Texas is in an unregulated market, our Scope 2 carbon emissions estimates do not take into account Texas electric transmission and distribution assets in the line loss calculation and exclude greenhouse emissions related to purchased power between 2024E-2026E.</w:t>
      </w:r>
    </w:p>
    <w:p>
      <w:pPr>
        <w:spacing w:after="0" w:line="86" w:lineRule="exact"/>
        <w:rPr>
          <w:rFonts w:ascii="Arial" w:cs="Arial" w:eastAsia="Arial" w:hAnsi="Arial"/>
          <w:sz w:val="16"/>
          <w:szCs w:val="16"/>
          <w:color w:val="auto"/>
        </w:rPr>
      </w:pPr>
    </w:p>
    <w:p>
      <w:pPr>
        <w:jc w:val="both"/>
        <w:ind w:left="920" w:right="260" w:hanging="189"/>
        <w:spacing w:after="0" w:line="301" w:lineRule="auto"/>
        <w:tabs>
          <w:tab w:leader="none" w:pos="92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b w:val="1"/>
          <w:bCs w:val="1"/>
          <w:color w:val="auto"/>
        </w:rPr>
        <w:t>Scope 3 carbon emissions</w:t>
      </w:r>
      <w:r>
        <w:rPr>
          <w:rFonts w:ascii="Arial" w:cs="Arial" w:eastAsia="Arial" w:hAnsi="Arial"/>
          <w:sz w:val="15"/>
          <w:szCs w:val="15"/>
          <w:color w:val="auto"/>
        </w:rPr>
        <w:t xml:space="preserve"> estimates are based on the total natural gas supply delivered to residential and commercial customers as reported in the U.S. Energy Information Administration (EIA) Form EIA-176 reports and do not take into account the greenhouse gas emissions of transport customers and greenhouse gas emissions related to upstream extraction.</w:t>
      </w:r>
    </w:p>
    <w:p>
      <w:pPr>
        <w:spacing w:after="0" w:line="211"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Additional Information Regarding Our Equity Incentive Plan Awards</w:t>
      </w:r>
    </w:p>
    <w:p>
      <w:pPr>
        <w:spacing w:after="0" w:line="122" w:lineRule="exact"/>
        <w:rPr>
          <w:sz w:val="20"/>
          <w:szCs w:val="20"/>
          <w:color w:val="auto"/>
        </w:rPr>
      </w:pPr>
    </w:p>
    <w:p>
      <w:pPr>
        <w:ind w:left="740" w:right="120"/>
        <w:spacing w:after="0" w:line="265" w:lineRule="auto"/>
        <w:rPr>
          <w:sz w:val="20"/>
          <w:szCs w:val="20"/>
          <w:color w:val="auto"/>
        </w:rPr>
      </w:pPr>
      <w:r>
        <w:rPr>
          <w:rFonts w:ascii="Arial" w:cs="Arial" w:eastAsia="Arial" w:hAnsi="Arial"/>
          <w:sz w:val="16"/>
          <w:szCs w:val="16"/>
          <w:color w:val="auto"/>
        </w:rPr>
        <w:t>For outstanding performance share unit awards and stock awards granted prior to February 2024 (other than any sign-on or buy-out awards), “retirement eligible” participants (age 55 or greater with at least five years of service or, for Mr. Lesar, at least three years of service) who terminate employment for any reason (other than by the Company for cause or due to death or disability) will receive a payment under the award, if any, based on the actual achievement of the applicable performance objective at the end of the performance or vesting period with any such amount pro-rated for the period of their employment during the performance or vesting period, as applicable. Upon termination for cause, no benefits are payable under the award agreements.</w:t>
      </w:r>
    </w:p>
    <w:p>
      <w:pPr>
        <w:spacing w:after="0" w:line="104" w:lineRule="exact"/>
        <w:rPr>
          <w:sz w:val="20"/>
          <w:szCs w:val="20"/>
          <w:color w:val="auto"/>
        </w:rPr>
      </w:pPr>
    </w:p>
    <w:p>
      <w:pPr>
        <w:ind w:left="740" w:right="20"/>
        <w:spacing w:after="0" w:line="340" w:lineRule="auto"/>
        <w:rPr>
          <w:sz w:val="20"/>
          <w:szCs w:val="20"/>
          <w:color w:val="auto"/>
        </w:rPr>
      </w:pPr>
      <w:r>
        <w:rPr>
          <w:rFonts w:ascii="Arial" w:cs="Arial" w:eastAsia="Arial" w:hAnsi="Arial"/>
          <w:sz w:val="15"/>
          <w:szCs w:val="15"/>
          <w:color w:val="auto"/>
        </w:rPr>
        <w:t>Subject to Human Capital and Compensation Committee approval, a named executive officer who is “retirement eligible” will also vest in amounts that would otherwise be forfeited upon retirement due to the proration described above (“Enhanced Retirement”), if:</w:t>
      </w:r>
    </w:p>
    <w:p>
      <w:pPr>
        <w:spacing w:after="0" w:line="11" w:lineRule="exact"/>
        <w:rPr>
          <w:sz w:val="20"/>
          <w:szCs w:val="20"/>
          <w:color w:val="auto"/>
        </w:rPr>
      </w:pPr>
    </w:p>
    <w:p>
      <w:pPr>
        <w:ind w:left="920" w:hanging="189"/>
        <w:spacing w:after="0"/>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award was granted prior to the year of termination of employment;</w:t>
      </w:r>
    </w:p>
    <w:p>
      <w:pPr>
        <w:spacing w:after="0" w:line="126" w:lineRule="exact"/>
        <w:rPr>
          <w:rFonts w:ascii="Arial" w:cs="Arial" w:eastAsia="Arial" w:hAnsi="Arial"/>
          <w:sz w:val="16"/>
          <w:szCs w:val="16"/>
          <w:color w:val="auto"/>
        </w:rPr>
      </w:pPr>
    </w:p>
    <w:p>
      <w:pPr>
        <w:ind w:left="920" w:hanging="189"/>
        <w:spacing w:after="0"/>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sum of the retirement eligible executive’s service and age is 65 or greater;</w:t>
      </w:r>
    </w:p>
    <w:p>
      <w:pPr>
        <w:spacing w:after="0" w:line="126" w:lineRule="exact"/>
        <w:rPr>
          <w:rFonts w:ascii="Arial" w:cs="Arial" w:eastAsia="Arial" w:hAnsi="Arial"/>
          <w:sz w:val="16"/>
          <w:szCs w:val="16"/>
          <w:color w:val="auto"/>
        </w:rPr>
      </w:pPr>
    </w:p>
    <w:p>
      <w:pPr>
        <w:ind w:left="920" w:right="460" w:hanging="189"/>
        <w:spacing w:after="0" w:line="286" w:lineRule="auto"/>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retirement eligible executive provides reasonable advanced written notice of his or her retirement, as determined by the Human Capital and Compensation Committee; and</w:t>
      </w:r>
    </w:p>
    <w:p>
      <w:pPr>
        <w:spacing w:after="0" w:line="61" w:lineRule="exact"/>
        <w:rPr>
          <w:rFonts w:ascii="Arial" w:cs="Arial" w:eastAsia="Arial" w:hAnsi="Arial"/>
          <w:sz w:val="16"/>
          <w:szCs w:val="16"/>
          <w:color w:val="auto"/>
        </w:rPr>
      </w:pPr>
    </w:p>
    <w:p>
      <w:pPr>
        <w:ind w:left="920" w:hanging="189"/>
        <w:spacing w:after="0"/>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retirement eligible executive submits a transition plan.</w:t>
      </w:r>
    </w:p>
    <w:p>
      <w:pPr>
        <w:spacing w:after="0" w:line="154" w:lineRule="exact"/>
        <w:rPr>
          <w:sz w:val="20"/>
          <w:szCs w:val="20"/>
          <w:color w:val="auto"/>
        </w:rPr>
      </w:pPr>
    </w:p>
    <w:p>
      <w:pPr>
        <w:ind w:left="740" w:right="100"/>
        <w:spacing w:after="0" w:line="271" w:lineRule="auto"/>
        <w:rPr>
          <w:sz w:val="20"/>
          <w:szCs w:val="20"/>
          <w:color w:val="auto"/>
        </w:rPr>
      </w:pPr>
      <w:r>
        <w:rPr>
          <w:rFonts w:ascii="Arial" w:cs="Arial" w:eastAsia="Arial" w:hAnsi="Arial"/>
          <w:sz w:val="16"/>
          <w:szCs w:val="16"/>
          <w:color w:val="auto"/>
        </w:rPr>
        <w:t>Any such Enhanced Retirement vesting for our named executive officers will be at the sole discretion of the Human Capital and Compensation Committee. Moreover, the Human Capital and Compensation Committee may elect to approve such vesting for any named executive officer who does not otherwise meet one or more of the requirements described above if it is determined to be in the best interests of the Company.</w:t>
      </w:r>
    </w:p>
    <w:p>
      <w:pPr>
        <w:spacing w:after="0" w:line="114"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For awards granted beginning February 2024, the Human Capital and Compensation Committee simplified the above retirement provisions. For such awards (other than any sign-on or buy-out awards), a named executive officer is eligible for the retirement provisions under the awards if the executive terminates employment for any reason (other than by the Company for cause or due to death or disability) and:</w:t>
      </w:r>
    </w:p>
    <w:p>
      <w:pPr>
        <w:spacing w:after="0" w:line="60" w:lineRule="exact"/>
        <w:rPr>
          <w:sz w:val="20"/>
          <w:szCs w:val="20"/>
          <w:color w:val="auto"/>
        </w:rPr>
      </w:pPr>
    </w:p>
    <w:p>
      <w:pPr>
        <w:ind w:left="920" w:hanging="189"/>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executive is at least age 55 and the sum of the participant’s service and age is 65 or greater;</w:t>
      </w:r>
    </w:p>
    <w:p>
      <w:pPr>
        <w:spacing w:after="0" w:line="126" w:lineRule="exact"/>
        <w:rPr>
          <w:rFonts w:ascii="Arial" w:cs="Arial" w:eastAsia="Arial" w:hAnsi="Arial"/>
          <w:sz w:val="16"/>
          <w:szCs w:val="16"/>
          <w:color w:val="auto"/>
        </w:rPr>
      </w:pPr>
    </w:p>
    <w:p>
      <w:pPr>
        <w:ind w:left="920" w:right="340" w:hanging="189"/>
        <w:spacing w:after="0" w:line="304" w:lineRule="auto"/>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executive provides reasonable advanced written notice of his or her retirement, as determined by the Human Capital and Compensation Committee;</w:t>
      </w:r>
    </w:p>
    <w:p>
      <w:pPr>
        <w:spacing w:after="0" w:line="33" w:lineRule="exact"/>
        <w:rPr>
          <w:rFonts w:ascii="Arial" w:cs="Arial" w:eastAsia="Arial" w:hAnsi="Arial"/>
          <w:sz w:val="16"/>
          <w:szCs w:val="16"/>
          <w:color w:val="auto"/>
        </w:rPr>
      </w:pPr>
    </w:p>
    <w:p>
      <w:pPr>
        <w:ind w:left="920" w:hanging="189"/>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executive submits a transition plan accepted and approved by the Company; and</w:t>
      </w:r>
    </w:p>
    <w:p>
      <w:pPr>
        <w:spacing w:after="0" w:line="126" w:lineRule="exact"/>
        <w:rPr>
          <w:rFonts w:ascii="Arial" w:cs="Arial" w:eastAsia="Arial" w:hAnsi="Arial"/>
          <w:sz w:val="16"/>
          <w:szCs w:val="16"/>
          <w:color w:val="auto"/>
        </w:rPr>
      </w:pPr>
    </w:p>
    <w:p>
      <w:pPr>
        <w:ind w:left="920" w:hanging="189"/>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Human Capital and Compensation Committee approves, in its sole discretion, the executive’s retirement under the award.</w:t>
      </w:r>
    </w:p>
    <w:p>
      <w:pPr>
        <w:spacing w:after="0" w:line="154" w:lineRule="exact"/>
        <w:rPr>
          <w:sz w:val="20"/>
          <w:szCs w:val="20"/>
          <w:color w:val="auto"/>
        </w:rPr>
      </w:pPr>
    </w:p>
    <w:p>
      <w:pPr>
        <w:ind w:left="740" w:right="80"/>
        <w:spacing w:after="0" w:line="262" w:lineRule="auto"/>
        <w:rPr>
          <w:sz w:val="20"/>
          <w:szCs w:val="20"/>
          <w:color w:val="auto"/>
        </w:rPr>
      </w:pPr>
      <w:r>
        <w:rPr>
          <w:rFonts w:ascii="Arial" w:cs="Arial" w:eastAsia="Arial" w:hAnsi="Arial"/>
          <w:sz w:val="16"/>
          <w:szCs w:val="16"/>
          <w:color w:val="auto"/>
        </w:rPr>
        <w:t>A named executive officer who satisfies these requirements will receive full payment of the awards based on the actual achievement of the applicable performance objective at the end of the performance period, provided, however, that if the award was granted during the year of the executive’s termination of employment, payment of the award is subject to proration based on the period of the executive’s employment during the performance or vesting period, as applicable. Moreover, the Human Capital and Compensation Committee may elect to approve such retirement vesting for any named executive officer who does not otherwise meet one or more of the requirements described above if it is determined to be in the best interests of the Company. The Human Capital and Compensation Committee modified the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while continuing to provide an opportunity for executives to become eligible for compensation that was previously awarded and was designated as total compensation but would otherwise forfeit upon retirement.</w:t>
      </w:r>
    </w:p>
    <w:p>
      <w:pPr>
        <w:spacing w:after="0" w:line="113"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All outstanding awards also include restrictive covenants that are beneficial to the Company by requiring forfeiture of unpaid awards and return of paid awards upon breach of confidentiality, non-solicitation and non-competition obligations. The awards (other than sign-on awards) also provide for full vesting upon the participant’s death or termination of employment due to disability (as defined under our long-term disability plan). For performance share units, such vesting is at the target level of achievement.</w:t>
      </w:r>
    </w:p>
    <w:p>
      <w:pPr>
        <w:spacing w:after="0" w:line="100" w:lineRule="exact"/>
        <w:rPr>
          <w:sz w:val="20"/>
          <w:szCs w:val="20"/>
          <w:color w:val="auto"/>
        </w:rPr>
      </w:pPr>
    </w:p>
    <w:p>
      <w:pPr>
        <w:ind w:left="740" w:right="40"/>
        <w:spacing w:after="0" w:line="269" w:lineRule="auto"/>
        <w:rPr>
          <w:sz w:val="20"/>
          <w:szCs w:val="20"/>
          <w:color w:val="auto"/>
        </w:rPr>
      </w:pPr>
      <w:r>
        <w:rPr>
          <w:rFonts w:ascii="Arial" w:cs="Arial" w:eastAsia="Arial" w:hAnsi="Arial"/>
          <w:sz w:val="16"/>
          <w:szCs w:val="16"/>
          <w:color w:val="auto"/>
        </w:rPr>
        <w:t>Finally, all outstanding awards (other than buy-out awards) also provide for pro-rata vesting upon the “sale of a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pro-rata vesting is based on the number of days employed in the performance cycle and the target level of achievement for performance share units and on the number of days employed in the vesting period for stock awards.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Outstanding Equity Awards at Fiscal Year-End 2024</w:t>
      </w:r>
    </w:p>
    <w:p>
      <w:pPr>
        <w:spacing w:after="0" w:line="112" w:lineRule="exact"/>
        <w:rPr>
          <w:sz w:val="20"/>
          <w:szCs w:val="20"/>
          <w:color w:val="auto"/>
        </w:rPr>
      </w:pPr>
    </w:p>
    <w:p>
      <w:pPr>
        <w:ind w:left="740" w:right="580"/>
        <w:spacing w:after="0" w:line="286" w:lineRule="auto"/>
        <w:rPr>
          <w:sz w:val="20"/>
          <w:szCs w:val="20"/>
          <w:color w:val="auto"/>
        </w:rPr>
      </w:pPr>
      <w:r>
        <w:rPr>
          <w:rFonts w:ascii="Arial" w:cs="Arial" w:eastAsia="Arial" w:hAnsi="Arial"/>
          <w:sz w:val="16"/>
          <w:szCs w:val="16"/>
          <w:color w:val="auto"/>
        </w:rPr>
        <w:t>The following table provides information regarding the outstanding equity awards held by our named executive officers as of December 31, 2024. The closing price of our common stock on the NYSE on December 31, 2024 was $31.73.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90805</wp:posOffset>
            </wp:positionV>
            <wp:extent cx="51435" cy="17830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1783080"/>
                    </a:xfrm>
                    <a:prstGeom prst="rect">
                      <a:avLst/>
                    </a:prstGeom>
                    <a:noFill/>
                  </pic:spPr>
                </pic:pic>
              </a:graphicData>
            </a:graphic>
          </wp:anchor>
        </w:drawing>
      </w:r>
    </w:p>
    <w:p>
      <w:pPr>
        <w:spacing w:after="0" w:line="123" w:lineRule="exact"/>
        <w:rPr>
          <w:sz w:val="20"/>
          <w:szCs w:val="20"/>
          <w:color w:val="auto"/>
        </w:rPr>
      </w:pPr>
    </w:p>
    <w:tbl>
      <w:tblPr>
        <w:tblLayout w:type="fixed"/>
        <w:tblInd w:w="740" w:type="dxa"/>
        <w:tblCellMar>
          <w:top w:w="0" w:type="dxa"/>
          <w:left w:w="0" w:type="dxa"/>
          <w:bottom w:w="0" w:type="dxa"/>
          <w:right w:w="0" w:type="dxa"/>
        </w:tblCellMar>
      </w:tblPr>
      <w:tr>
        <w:trPr>
          <w:trHeight w:val="208"/>
        </w:trPr>
        <w:tc>
          <w:tcPr>
            <w:tcW w:w="1240" w:type="dxa"/>
            <w:vAlign w:val="bottom"/>
            <w:gridSpan w:val="2"/>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120" w:type="dxa"/>
            <w:vAlign w:val="bottom"/>
            <w:vMerge w:val="restart"/>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8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3763"/>
          </w:tcPr>
          <w:p>
            <w:pPr>
              <w:spacing w:after="0"/>
              <w:rPr>
                <w:sz w:val="18"/>
                <w:szCs w:val="18"/>
                <w:color w:val="auto"/>
              </w:rPr>
            </w:pPr>
          </w:p>
        </w:tc>
        <w:tc>
          <w:tcPr>
            <w:tcW w:w="200" w:type="dxa"/>
            <w:vAlign w:val="bottom"/>
            <w:shd w:val="clear" w:color="auto" w:fill="003763"/>
          </w:tcPr>
          <w:p>
            <w:pPr>
              <w:spacing w:after="0"/>
              <w:rPr>
                <w:sz w:val="18"/>
                <w:szCs w:val="18"/>
                <w:color w:val="auto"/>
              </w:rPr>
            </w:pPr>
          </w:p>
        </w:tc>
        <w:tc>
          <w:tcPr>
            <w:tcW w:w="1840" w:type="dxa"/>
            <w:vAlign w:val="bottom"/>
            <w:gridSpan w:val="3"/>
            <w:shd w:val="clear" w:color="auto" w:fill="003763"/>
          </w:tcPr>
          <w:p>
            <w:pPr>
              <w:ind w:left="800"/>
              <w:spacing w:after="0"/>
              <w:rPr>
                <w:sz w:val="20"/>
                <w:szCs w:val="20"/>
                <w:color w:val="auto"/>
              </w:rPr>
            </w:pPr>
            <w:r>
              <w:rPr>
                <w:rFonts w:ascii="Arial" w:cs="Arial" w:eastAsia="Arial" w:hAnsi="Arial"/>
                <w:sz w:val="13"/>
                <w:szCs w:val="13"/>
                <w:b w:val="1"/>
                <w:bCs w:val="1"/>
                <w:color w:val="FFFFFF"/>
              </w:rPr>
              <w:t>Option Awards</w:t>
            </w:r>
          </w:p>
        </w:tc>
        <w:tc>
          <w:tcPr>
            <w:tcW w:w="220" w:type="dxa"/>
            <w:vAlign w:val="bottom"/>
            <w:shd w:val="clear" w:color="auto" w:fill="003763"/>
          </w:tcPr>
          <w:p>
            <w:pPr>
              <w:spacing w:after="0"/>
              <w:rPr>
                <w:sz w:val="18"/>
                <w:szCs w:val="18"/>
                <w:color w:val="auto"/>
              </w:rPr>
            </w:pPr>
          </w:p>
        </w:tc>
        <w:tc>
          <w:tcPr>
            <w:tcW w:w="520" w:type="dxa"/>
            <w:vAlign w:val="bottom"/>
            <w:shd w:val="clear" w:color="auto" w:fill="003763"/>
          </w:tcPr>
          <w:p>
            <w:pPr>
              <w:spacing w:after="0"/>
              <w:rPr>
                <w:sz w:val="18"/>
                <w:szCs w:val="18"/>
                <w:color w:val="auto"/>
              </w:rPr>
            </w:pPr>
          </w:p>
        </w:tc>
        <w:tc>
          <w:tcPr>
            <w:tcW w:w="220" w:type="dxa"/>
            <w:vAlign w:val="bottom"/>
            <w:shd w:val="clear" w:color="auto" w:fill="003763"/>
          </w:tcPr>
          <w:p>
            <w:pPr>
              <w:spacing w:after="0"/>
              <w:rPr>
                <w:sz w:val="18"/>
                <w:szCs w:val="18"/>
                <w:color w:val="auto"/>
              </w:rPr>
            </w:pPr>
          </w:p>
        </w:tc>
        <w:tc>
          <w:tcPr>
            <w:tcW w:w="620" w:type="dxa"/>
            <w:vAlign w:val="bottom"/>
            <w:shd w:val="clear" w:color="auto" w:fill="003763"/>
          </w:tcPr>
          <w:p>
            <w:pPr>
              <w:spacing w:after="0"/>
              <w:rPr>
                <w:sz w:val="18"/>
                <w:szCs w:val="18"/>
                <w:color w:val="auto"/>
              </w:rPr>
            </w:pPr>
          </w:p>
        </w:tc>
        <w:tc>
          <w:tcPr>
            <w:tcW w:w="40" w:type="dxa"/>
            <w:vAlign w:val="bottom"/>
            <w:shd w:val="clear" w:color="auto" w:fill="003763"/>
          </w:tcPr>
          <w:p>
            <w:pPr>
              <w:spacing w:after="0"/>
              <w:rPr>
                <w:sz w:val="18"/>
                <w:szCs w:val="18"/>
                <w:color w:val="auto"/>
              </w:rPr>
            </w:pPr>
          </w:p>
        </w:tc>
        <w:tc>
          <w:tcPr>
            <w:tcW w:w="10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16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003763"/>
          </w:tcPr>
          <w:p>
            <w:pPr>
              <w:spacing w:after="0"/>
              <w:rPr>
                <w:sz w:val="18"/>
                <w:szCs w:val="18"/>
                <w:color w:val="auto"/>
              </w:rPr>
            </w:pPr>
          </w:p>
        </w:tc>
        <w:tc>
          <w:tcPr>
            <w:tcW w:w="260" w:type="dxa"/>
            <w:vAlign w:val="bottom"/>
            <w:shd w:val="clear" w:color="auto" w:fill="003763"/>
          </w:tcPr>
          <w:p>
            <w:pPr>
              <w:spacing w:after="0"/>
              <w:rPr>
                <w:sz w:val="18"/>
                <w:szCs w:val="18"/>
                <w:color w:val="auto"/>
              </w:rPr>
            </w:pPr>
          </w:p>
        </w:tc>
        <w:tc>
          <w:tcPr>
            <w:tcW w:w="1400" w:type="dxa"/>
            <w:vAlign w:val="bottom"/>
            <w:gridSpan w:val="3"/>
            <w:shd w:val="clear" w:color="auto" w:fill="003763"/>
          </w:tcPr>
          <w:p>
            <w:pPr>
              <w:ind w:left="340"/>
              <w:spacing w:after="0"/>
              <w:rPr>
                <w:sz w:val="20"/>
                <w:szCs w:val="20"/>
                <w:color w:val="auto"/>
              </w:rPr>
            </w:pPr>
            <w:r>
              <w:rPr>
                <w:rFonts w:ascii="Arial" w:cs="Arial" w:eastAsia="Arial" w:hAnsi="Arial"/>
                <w:sz w:val="13"/>
                <w:szCs w:val="13"/>
                <w:b w:val="1"/>
                <w:bCs w:val="1"/>
                <w:color w:val="FFFFFF"/>
              </w:rPr>
              <w:t>Stock Awards</w:t>
            </w:r>
          </w:p>
        </w:tc>
        <w:tc>
          <w:tcPr>
            <w:tcW w:w="240" w:type="dxa"/>
            <w:vAlign w:val="bottom"/>
            <w:shd w:val="clear" w:color="auto" w:fill="003763"/>
          </w:tcPr>
          <w:p>
            <w:pPr>
              <w:spacing w:after="0"/>
              <w:rPr>
                <w:sz w:val="18"/>
                <w:szCs w:val="18"/>
                <w:color w:val="auto"/>
              </w:rPr>
            </w:pPr>
          </w:p>
        </w:tc>
        <w:tc>
          <w:tcPr>
            <w:tcW w:w="680" w:type="dxa"/>
            <w:vAlign w:val="bottom"/>
            <w:shd w:val="clear" w:color="auto" w:fill="003763"/>
          </w:tcPr>
          <w:p>
            <w:pPr>
              <w:spacing w:after="0"/>
              <w:rPr>
                <w:sz w:val="18"/>
                <w:szCs w:val="18"/>
                <w:color w:val="auto"/>
              </w:rPr>
            </w:pPr>
          </w:p>
        </w:tc>
        <w:tc>
          <w:tcPr>
            <w:tcW w:w="8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1240" w:type="dxa"/>
            <w:vAlign w:val="bottom"/>
            <w:gridSpan w:val="2"/>
            <w:vMerge w:val="continue"/>
            <w:shd w:val="clear" w:color="auto" w:fill="003763"/>
          </w:tcPr>
          <w:p>
            <w:pPr>
              <w:spacing w:after="0"/>
              <w:rPr>
                <w:sz w:val="4"/>
                <w:szCs w:val="4"/>
                <w:color w:val="auto"/>
              </w:rPr>
            </w:pPr>
          </w:p>
        </w:tc>
        <w:tc>
          <w:tcPr>
            <w:tcW w:w="120" w:type="dxa"/>
            <w:vAlign w:val="bottom"/>
            <w:vMerge w:val="continue"/>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760" w:type="dxa"/>
            <w:vAlign w:val="bottom"/>
            <w:shd w:val="clear" w:color="auto" w:fill="003763"/>
          </w:tcPr>
          <w:p>
            <w:pPr>
              <w:spacing w:after="0"/>
              <w:rPr>
                <w:sz w:val="4"/>
                <w:szCs w:val="4"/>
                <w:color w:val="auto"/>
              </w:rPr>
            </w:pPr>
          </w:p>
        </w:tc>
        <w:tc>
          <w:tcPr>
            <w:tcW w:w="200" w:type="dxa"/>
            <w:vAlign w:val="bottom"/>
            <w:shd w:val="clear" w:color="auto" w:fill="003763"/>
          </w:tcPr>
          <w:p>
            <w:pPr>
              <w:spacing w:after="0"/>
              <w:rPr>
                <w:sz w:val="4"/>
                <w:szCs w:val="4"/>
                <w:color w:val="auto"/>
              </w:rPr>
            </w:pPr>
          </w:p>
        </w:tc>
        <w:tc>
          <w:tcPr>
            <w:tcW w:w="880" w:type="dxa"/>
            <w:vAlign w:val="bottom"/>
            <w:shd w:val="clear" w:color="auto" w:fill="003763"/>
          </w:tcPr>
          <w:p>
            <w:pPr>
              <w:spacing w:after="0"/>
              <w:rPr>
                <w:sz w:val="4"/>
                <w:szCs w:val="4"/>
                <w:color w:val="auto"/>
              </w:rPr>
            </w:pPr>
          </w:p>
        </w:tc>
        <w:tc>
          <w:tcPr>
            <w:tcW w:w="200" w:type="dxa"/>
            <w:vAlign w:val="bottom"/>
            <w:shd w:val="clear" w:color="auto" w:fill="003763"/>
          </w:tcPr>
          <w:p>
            <w:pPr>
              <w:spacing w:after="0"/>
              <w:rPr>
                <w:sz w:val="4"/>
                <w:szCs w:val="4"/>
                <w:color w:val="auto"/>
              </w:rPr>
            </w:pPr>
          </w:p>
        </w:tc>
        <w:tc>
          <w:tcPr>
            <w:tcW w:w="760" w:type="dxa"/>
            <w:vAlign w:val="bottom"/>
            <w:shd w:val="clear" w:color="auto" w:fill="003763"/>
          </w:tcPr>
          <w:p>
            <w:pPr>
              <w:spacing w:after="0"/>
              <w:rPr>
                <w:sz w:val="4"/>
                <w:szCs w:val="4"/>
                <w:color w:val="auto"/>
              </w:rPr>
            </w:pPr>
          </w:p>
        </w:tc>
        <w:tc>
          <w:tcPr>
            <w:tcW w:w="220" w:type="dxa"/>
            <w:vAlign w:val="bottom"/>
            <w:shd w:val="clear" w:color="auto" w:fill="003763"/>
          </w:tcPr>
          <w:p>
            <w:pPr>
              <w:spacing w:after="0"/>
              <w:rPr>
                <w:sz w:val="4"/>
                <w:szCs w:val="4"/>
                <w:color w:val="auto"/>
              </w:rPr>
            </w:pPr>
          </w:p>
        </w:tc>
        <w:tc>
          <w:tcPr>
            <w:tcW w:w="520" w:type="dxa"/>
            <w:vAlign w:val="bottom"/>
            <w:shd w:val="clear" w:color="auto" w:fill="003763"/>
          </w:tcPr>
          <w:p>
            <w:pPr>
              <w:spacing w:after="0"/>
              <w:rPr>
                <w:sz w:val="4"/>
                <w:szCs w:val="4"/>
                <w:color w:val="auto"/>
              </w:rPr>
            </w:pPr>
          </w:p>
        </w:tc>
        <w:tc>
          <w:tcPr>
            <w:tcW w:w="220" w:type="dxa"/>
            <w:vAlign w:val="bottom"/>
            <w:shd w:val="clear" w:color="auto" w:fill="003763"/>
          </w:tcPr>
          <w:p>
            <w:pPr>
              <w:spacing w:after="0"/>
              <w:rPr>
                <w:sz w:val="4"/>
                <w:szCs w:val="4"/>
                <w:color w:val="auto"/>
              </w:rPr>
            </w:pPr>
          </w:p>
        </w:tc>
        <w:tc>
          <w:tcPr>
            <w:tcW w:w="62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100" w:type="dxa"/>
            <w:vAlign w:val="bottom"/>
            <w:vMerge w:val="continue"/>
            <w:shd w:val="clear" w:color="auto" w:fill="003763"/>
          </w:tcPr>
          <w:p>
            <w:pPr>
              <w:spacing w:after="0"/>
              <w:rPr>
                <w:sz w:val="4"/>
                <w:szCs w:val="4"/>
                <w:color w:val="auto"/>
              </w:rPr>
            </w:pPr>
          </w:p>
        </w:tc>
        <w:tc>
          <w:tcPr>
            <w:tcW w:w="160" w:type="dxa"/>
            <w:vAlign w:val="bottom"/>
            <w:vMerge w:val="continue"/>
            <w:shd w:val="clear" w:color="auto" w:fill="003763"/>
          </w:tcPr>
          <w:p>
            <w:pPr>
              <w:spacing w:after="0"/>
              <w:rPr>
                <w:sz w:val="4"/>
                <w:szCs w:val="4"/>
                <w:color w:val="auto"/>
              </w:rPr>
            </w:pPr>
          </w:p>
        </w:tc>
        <w:tc>
          <w:tcPr>
            <w:tcW w:w="480" w:type="dxa"/>
            <w:vAlign w:val="bottom"/>
            <w:shd w:val="clear" w:color="auto" w:fill="003763"/>
          </w:tcPr>
          <w:p>
            <w:pPr>
              <w:spacing w:after="0"/>
              <w:rPr>
                <w:sz w:val="4"/>
                <w:szCs w:val="4"/>
                <w:color w:val="auto"/>
              </w:rPr>
            </w:pPr>
          </w:p>
        </w:tc>
        <w:tc>
          <w:tcPr>
            <w:tcW w:w="260" w:type="dxa"/>
            <w:vAlign w:val="bottom"/>
            <w:shd w:val="clear" w:color="auto" w:fill="003763"/>
          </w:tcPr>
          <w:p>
            <w:pPr>
              <w:spacing w:after="0"/>
              <w:rPr>
                <w:sz w:val="4"/>
                <w:szCs w:val="4"/>
                <w:color w:val="auto"/>
              </w:rPr>
            </w:pPr>
          </w:p>
        </w:tc>
        <w:tc>
          <w:tcPr>
            <w:tcW w:w="540" w:type="dxa"/>
            <w:vAlign w:val="bottom"/>
            <w:shd w:val="clear" w:color="auto" w:fill="003763"/>
          </w:tcPr>
          <w:p>
            <w:pPr>
              <w:spacing w:after="0"/>
              <w:rPr>
                <w:sz w:val="4"/>
                <w:szCs w:val="4"/>
                <w:color w:val="auto"/>
              </w:rPr>
            </w:pPr>
          </w:p>
        </w:tc>
        <w:tc>
          <w:tcPr>
            <w:tcW w:w="320" w:type="dxa"/>
            <w:vAlign w:val="bottom"/>
            <w:shd w:val="clear" w:color="auto" w:fill="003763"/>
          </w:tcPr>
          <w:p>
            <w:pPr>
              <w:spacing w:after="0"/>
              <w:rPr>
                <w:sz w:val="4"/>
                <w:szCs w:val="4"/>
                <w:color w:val="auto"/>
              </w:rPr>
            </w:pPr>
          </w:p>
        </w:tc>
        <w:tc>
          <w:tcPr>
            <w:tcW w:w="540" w:type="dxa"/>
            <w:vAlign w:val="bottom"/>
            <w:shd w:val="clear" w:color="auto" w:fill="003763"/>
          </w:tcPr>
          <w:p>
            <w:pPr>
              <w:spacing w:after="0"/>
              <w:rPr>
                <w:sz w:val="4"/>
                <w:szCs w:val="4"/>
                <w:color w:val="auto"/>
              </w:rPr>
            </w:pPr>
          </w:p>
        </w:tc>
        <w:tc>
          <w:tcPr>
            <w:tcW w:w="240" w:type="dxa"/>
            <w:vAlign w:val="bottom"/>
            <w:shd w:val="clear" w:color="auto" w:fill="003763"/>
          </w:tcPr>
          <w:p>
            <w:pPr>
              <w:spacing w:after="0"/>
              <w:rPr>
                <w:sz w:val="4"/>
                <w:szCs w:val="4"/>
                <w:color w:val="auto"/>
              </w:rPr>
            </w:pPr>
          </w:p>
        </w:tc>
        <w:tc>
          <w:tcPr>
            <w:tcW w:w="680" w:type="dxa"/>
            <w:vAlign w:val="bottom"/>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160" w:type="dxa"/>
            <w:vAlign w:val="bottom"/>
            <w:shd w:val="clear" w:color="auto" w:fill="003763"/>
          </w:tcPr>
          <w:p>
            <w:pPr>
              <w:spacing w:after="0"/>
              <w:rPr>
                <w:sz w:val="17"/>
                <w:szCs w:val="17"/>
                <w:color w:val="auto"/>
              </w:rPr>
            </w:pPr>
          </w:p>
        </w:tc>
        <w:tc>
          <w:tcPr>
            <w:tcW w:w="12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760" w:type="dxa"/>
            <w:vAlign w:val="bottom"/>
            <w:shd w:val="clear" w:color="auto" w:fill="003763"/>
          </w:tcPr>
          <w:p>
            <w:pPr>
              <w:spacing w:after="0"/>
              <w:rPr>
                <w:sz w:val="17"/>
                <w:szCs w:val="17"/>
                <w:color w:val="auto"/>
              </w:rPr>
            </w:pPr>
          </w:p>
        </w:tc>
        <w:tc>
          <w:tcPr>
            <w:tcW w:w="200" w:type="dxa"/>
            <w:vAlign w:val="bottom"/>
            <w:shd w:val="clear" w:color="auto" w:fill="003763"/>
          </w:tcPr>
          <w:p>
            <w:pPr>
              <w:spacing w:after="0"/>
              <w:rPr>
                <w:sz w:val="17"/>
                <w:szCs w:val="17"/>
                <w:color w:val="auto"/>
              </w:rPr>
            </w:pPr>
          </w:p>
        </w:tc>
        <w:tc>
          <w:tcPr>
            <w:tcW w:w="880" w:type="dxa"/>
            <w:vAlign w:val="bottom"/>
            <w:shd w:val="clear" w:color="auto" w:fill="003763"/>
          </w:tcPr>
          <w:p>
            <w:pPr>
              <w:spacing w:after="0"/>
              <w:rPr>
                <w:sz w:val="17"/>
                <w:szCs w:val="17"/>
                <w:color w:val="auto"/>
              </w:rPr>
            </w:pPr>
          </w:p>
        </w:tc>
        <w:tc>
          <w:tcPr>
            <w:tcW w:w="200" w:type="dxa"/>
            <w:vAlign w:val="bottom"/>
            <w:shd w:val="clear" w:color="auto" w:fill="003763"/>
          </w:tcPr>
          <w:p>
            <w:pPr>
              <w:spacing w:after="0"/>
              <w:rPr>
                <w:sz w:val="17"/>
                <w:szCs w:val="17"/>
                <w:color w:val="auto"/>
              </w:rPr>
            </w:pPr>
          </w:p>
        </w:tc>
        <w:tc>
          <w:tcPr>
            <w:tcW w:w="760" w:type="dxa"/>
            <w:vAlign w:val="bottom"/>
            <w:shd w:val="clear" w:color="auto" w:fill="003763"/>
          </w:tcPr>
          <w:p>
            <w:pPr>
              <w:spacing w:after="0"/>
              <w:rPr>
                <w:sz w:val="17"/>
                <w:szCs w:val="17"/>
                <w:color w:val="auto"/>
              </w:rPr>
            </w:pPr>
          </w:p>
        </w:tc>
        <w:tc>
          <w:tcPr>
            <w:tcW w:w="220" w:type="dxa"/>
            <w:vAlign w:val="bottom"/>
            <w:shd w:val="clear" w:color="auto" w:fill="003763"/>
          </w:tcPr>
          <w:p>
            <w:pPr>
              <w:spacing w:after="0"/>
              <w:rPr>
                <w:sz w:val="17"/>
                <w:szCs w:val="17"/>
                <w:color w:val="auto"/>
              </w:rPr>
            </w:pPr>
          </w:p>
        </w:tc>
        <w:tc>
          <w:tcPr>
            <w:tcW w:w="520" w:type="dxa"/>
            <w:vAlign w:val="bottom"/>
            <w:shd w:val="clear" w:color="auto" w:fill="003763"/>
          </w:tcPr>
          <w:p>
            <w:pPr>
              <w:spacing w:after="0"/>
              <w:rPr>
                <w:sz w:val="17"/>
                <w:szCs w:val="17"/>
                <w:color w:val="auto"/>
              </w:rPr>
            </w:pPr>
          </w:p>
        </w:tc>
        <w:tc>
          <w:tcPr>
            <w:tcW w:w="220" w:type="dxa"/>
            <w:vAlign w:val="bottom"/>
            <w:shd w:val="clear" w:color="auto" w:fill="003763"/>
          </w:tcPr>
          <w:p>
            <w:pPr>
              <w:spacing w:after="0"/>
              <w:rPr>
                <w:sz w:val="17"/>
                <w:szCs w:val="17"/>
                <w:color w:val="auto"/>
              </w:rPr>
            </w:pPr>
          </w:p>
        </w:tc>
        <w:tc>
          <w:tcPr>
            <w:tcW w:w="620" w:type="dxa"/>
            <w:vAlign w:val="bottom"/>
            <w:shd w:val="clear" w:color="auto" w:fill="003763"/>
          </w:tcPr>
          <w:p>
            <w:pPr>
              <w:spacing w:after="0"/>
              <w:rPr>
                <w:sz w:val="17"/>
                <w:szCs w:val="17"/>
                <w:color w:val="auto"/>
              </w:rPr>
            </w:pPr>
          </w:p>
        </w:tc>
        <w:tc>
          <w:tcPr>
            <w:tcW w:w="4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160" w:type="dxa"/>
            <w:vAlign w:val="bottom"/>
            <w:shd w:val="clear" w:color="auto" w:fill="003763"/>
          </w:tcPr>
          <w:p>
            <w:pPr>
              <w:spacing w:after="0"/>
              <w:rPr>
                <w:sz w:val="17"/>
                <w:szCs w:val="17"/>
                <w:color w:val="auto"/>
              </w:rPr>
            </w:pPr>
          </w:p>
        </w:tc>
        <w:tc>
          <w:tcPr>
            <w:tcW w:w="48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540" w:type="dxa"/>
            <w:vAlign w:val="bottom"/>
            <w:shd w:val="clear" w:color="auto" w:fill="003763"/>
          </w:tcPr>
          <w:p>
            <w:pPr>
              <w:spacing w:after="0"/>
              <w:rPr>
                <w:sz w:val="17"/>
                <w:szCs w:val="17"/>
                <w:color w:val="auto"/>
              </w:rPr>
            </w:pPr>
          </w:p>
        </w:tc>
        <w:tc>
          <w:tcPr>
            <w:tcW w:w="320" w:type="dxa"/>
            <w:vAlign w:val="bottom"/>
            <w:shd w:val="clear" w:color="auto" w:fill="003763"/>
          </w:tcPr>
          <w:p>
            <w:pPr>
              <w:spacing w:after="0"/>
              <w:rPr>
                <w:sz w:val="17"/>
                <w:szCs w:val="17"/>
                <w:color w:val="auto"/>
              </w:rPr>
            </w:pPr>
          </w:p>
        </w:tc>
        <w:tc>
          <w:tcPr>
            <w:tcW w:w="540" w:type="dxa"/>
            <w:vAlign w:val="bottom"/>
            <w:shd w:val="clear" w:color="auto" w:fill="003763"/>
          </w:tcPr>
          <w:p>
            <w:pPr>
              <w:spacing w:after="0"/>
              <w:rPr>
                <w:sz w:val="17"/>
                <w:szCs w:val="17"/>
                <w:color w:val="auto"/>
              </w:rPr>
            </w:pPr>
          </w:p>
        </w:tc>
        <w:tc>
          <w:tcPr>
            <w:tcW w:w="240" w:type="dxa"/>
            <w:vAlign w:val="bottom"/>
            <w:shd w:val="clear" w:color="auto" w:fill="003763"/>
          </w:tcPr>
          <w:p>
            <w:pPr>
              <w:spacing w:after="0"/>
              <w:rPr>
                <w:sz w:val="17"/>
                <w:szCs w:val="17"/>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5"/>
              </w:rPr>
              <w:t>Equity</w:t>
            </w:r>
          </w:p>
        </w:tc>
        <w:tc>
          <w:tcPr>
            <w:tcW w:w="80" w:type="dxa"/>
            <w:vAlign w:val="bottom"/>
            <w:shd w:val="clear" w:color="auto" w:fill="003763"/>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5"/>
              </w:rPr>
              <w:t>Equity</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5"/>
              </w:rPr>
              <w:t>Incentive</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spacing w:after="0"/>
              <w:rPr>
                <w:sz w:val="12"/>
                <w:szCs w:val="12"/>
                <w:color w:val="auto"/>
              </w:rPr>
            </w:pPr>
          </w:p>
        </w:tc>
        <w:tc>
          <w:tcPr>
            <w:tcW w:w="860" w:type="dxa"/>
            <w:vAlign w:val="bottom"/>
            <w:gridSpan w:val="2"/>
            <w:shd w:val="clear" w:color="auto" w:fill="003763"/>
          </w:tcPr>
          <w:p>
            <w:pPr>
              <w:jc w:val="center"/>
              <w:ind w:left="137"/>
              <w:spacing w:after="0"/>
              <w:rPr>
                <w:sz w:val="20"/>
                <w:szCs w:val="20"/>
                <w:color w:val="auto"/>
              </w:rPr>
            </w:pPr>
            <w:r>
              <w:rPr>
                <w:rFonts w:ascii="Arial" w:cs="Arial" w:eastAsia="Arial" w:hAnsi="Arial"/>
                <w:sz w:val="13"/>
                <w:szCs w:val="13"/>
                <w:b w:val="1"/>
                <w:bCs w:val="1"/>
                <w:color w:val="FFFFFF"/>
                <w:w w:val="95"/>
              </w:rPr>
              <w:t>Incentive</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4"/>
              </w:rPr>
              <w:t>Plan</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Market</w:t>
            </w:r>
          </w:p>
        </w:tc>
        <w:tc>
          <w:tcPr>
            <w:tcW w:w="32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4"/>
              </w:rPr>
              <w:t>Plan</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7"/>
              </w:rPr>
              <w:t>Awards:</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16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6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88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76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52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48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2"/>
              </w:rPr>
              <w:t>Value</w:t>
            </w:r>
          </w:p>
        </w:tc>
        <w:tc>
          <w:tcPr>
            <w:tcW w:w="860" w:type="dxa"/>
            <w:vAlign w:val="bottom"/>
            <w:gridSpan w:val="2"/>
            <w:shd w:val="clear" w:color="auto" w:fill="003763"/>
          </w:tcPr>
          <w:p>
            <w:pPr>
              <w:jc w:val="center"/>
              <w:ind w:left="137"/>
              <w:spacing w:after="0"/>
              <w:rPr>
                <w:sz w:val="20"/>
                <w:szCs w:val="20"/>
                <w:color w:val="auto"/>
              </w:rPr>
            </w:pPr>
            <w:r>
              <w:rPr>
                <w:rFonts w:ascii="Arial" w:cs="Arial" w:eastAsia="Arial" w:hAnsi="Arial"/>
                <w:sz w:val="13"/>
                <w:szCs w:val="13"/>
                <w:b w:val="1"/>
                <w:bCs w:val="1"/>
                <w:color w:val="FFFFFF"/>
                <w:w w:val="97"/>
              </w:rPr>
              <w:t>Awards:</w:t>
            </w:r>
          </w:p>
        </w:tc>
        <w:tc>
          <w:tcPr>
            <w:tcW w:w="240" w:type="dxa"/>
            <w:vAlign w:val="bottom"/>
            <w:shd w:val="clear" w:color="auto" w:fill="003763"/>
          </w:tcPr>
          <w:p>
            <w:pPr>
              <w:spacing w:after="0"/>
              <w:rPr>
                <w:sz w:val="14"/>
                <w:szCs w:val="14"/>
                <w:color w:val="auto"/>
              </w:rPr>
            </w:pPr>
          </w:p>
        </w:tc>
        <w:tc>
          <w:tcPr>
            <w:tcW w:w="680" w:type="dxa"/>
            <w:vAlign w:val="bottom"/>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5"/>
              </w:rPr>
              <w:t>Market</w:t>
            </w: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Equity</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w:t>
            </w:r>
          </w:p>
        </w:tc>
        <w:tc>
          <w:tcPr>
            <w:tcW w:w="860" w:type="dxa"/>
            <w:vAlign w:val="bottom"/>
            <w:gridSpan w:val="2"/>
            <w:shd w:val="clear" w:color="auto" w:fill="003763"/>
          </w:tcPr>
          <w:p>
            <w:pPr>
              <w:jc w:val="center"/>
              <w:ind w:left="117"/>
              <w:spacing w:after="0"/>
              <w:rPr>
                <w:sz w:val="20"/>
                <w:szCs w:val="20"/>
                <w:color w:val="auto"/>
              </w:rPr>
            </w:pPr>
            <w:r>
              <w:rPr>
                <w:rFonts w:ascii="Arial" w:cs="Arial" w:eastAsia="Arial" w:hAnsi="Arial"/>
                <w:sz w:val="13"/>
                <w:szCs w:val="13"/>
                <w:b w:val="1"/>
                <w:bCs w:val="1"/>
                <w:color w:val="FFFFFF"/>
                <w:w w:val="97"/>
              </w:rPr>
              <w:t>Number</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6"/>
              </w:rPr>
              <w:t>or Payout</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Incentive</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6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Number</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w w:val="96"/>
              </w:rPr>
              <w:t>Shares</w:t>
            </w:r>
          </w:p>
        </w:tc>
        <w:tc>
          <w:tcPr>
            <w:tcW w:w="32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76"/>
              <w:spacing w:after="0"/>
              <w:rPr>
                <w:sz w:val="20"/>
                <w:szCs w:val="20"/>
                <w:color w:val="auto"/>
              </w:rPr>
            </w:pPr>
            <w:r>
              <w:rPr>
                <w:rFonts w:ascii="Arial" w:cs="Arial" w:eastAsia="Arial" w:hAnsi="Arial"/>
                <w:sz w:val="13"/>
                <w:szCs w:val="13"/>
                <w:b w:val="1"/>
                <w:bCs w:val="1"/>
                <w:color w:val="FFFFFF"/>
                <w:w w:val="97"/>
              </w:rPr>
              <w:t>of</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4"/>
              </w:rPr>
              <w:t>Value of</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Plan</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7"/>
              </w:rPr>
              <w:t>of</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1"/>
              </w:rPr>
              <w:t>or</w:t>
            </w:r>
          </w:p>
        </w:tc>
        <w:tc>
          <w:tcPr>
            <w:tcW w:w="860" w:type="dxa"/>
            <w:vAlign w:val="bottom"/>
            <w:gridSpan w:val="2"/>
            <w:shd w:val="clear" w:color="auto" w:fill="003763"/>
          </w:tcPr>
          <w:p>
            <w:pPr>
              <w:jc w:val="center"/>
              <w:ind w:left="137"/>
              <w:spacing w:after="0"/>
              <w:rPr>
                <w:sz w:val="20"/>
                <w:szCs w:val="20"/>
                <w:color w:val="auto"/>
              </w:rPr>
            </w:pPr>
            <w:r>
              <w:rPr>
                <w:rFonts w:ascii="Arial" w:cs="Arial" w:eastAsia="Arial" w:hAnsi="Arial"/>
                <w:sz w:val="13"/>
                <w:szCs w:val="13"/>
                <w:b w:val="1"/>
                <w:bCs w:val="1"/>
                <w:color w:val="FFFFFF"/>
                <w:w w:val="96"/>
              </w:rPr>
              <w:t>Unearned</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6"/>
              </w:rPr>
              <w:t>Unearned</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16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Number</w:t>
            </w:r>
          </w:p>
        </w:tc>
        <w:tc>
          <w:tcPr>
            <w:tcW w:w="200" w:type="dxa"/>
            <w:vAlign w:val="bottom"/>
            <w:shd w:val="clear" w:color="auto" w:fill="003763"/>
          </w:tcPr>
          <w:p>
            <w:pPr>
              <w:spacing w:after="0"/>
              <w:rPr>
                <w:sz w:val="14"/>
                <w:szCs w:val="14"/>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Number</w:t>
            </w:r>
          </w:p>
        </w:tc>
        <w:tc>
          <w:tcPr>
            <w:tcW w:w="20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220" w:type="dxa"/>
            <w:vAlign w:val="bottom"/>
            <w:shd w:val="clear" w:color="auto" w:fill="003763"/>
          </w:tcPr>
          <w:p>
            <w:pPr>
              <w:spacing w:after="0"/>
              <w:rPr>
                <w:sz w:val="14"/>
                <w:szCs w:val="14"/>
                <w:color w:val="auto"/>
              </w:rPr>
            </w:pPr>
          </w:p>
        </w:tc>
        <w:tc>
          <w:tcPr>
            <w:tcW w:w="52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6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260" w:type="dxa"/>
            <w:vAlign w:val="bottom"/>
            <w:shd w:val="clear" w:color="auto" w:fill="003763"/>
          </w:tcPr>
          <w:p>
            <w:pPr>
              <w:spacing w:after="0"/>
              <w:rPr>
                <w:sz w:val="14"/>
                <w:szCs w:val="14"/>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Units</w:t>
            </w:r>
          </w:p>
        </w:tc>
        <w:tc>
          <w:tcPr>
            <w:tcW w:w="860" w:type="dxa"/>
            <w:vAlign w:val="bottom"/>
            <w:gridSpan w:val="2"/>
            <w:shd w:val="clear" w:color="auto" w:fill="003763"/>
          </w:tcPr>
          <w:p>
            <w:pPr>
              <w:jc w:val="center"/>
              <w:ind w:left="137"/>
              <w:spacing w:after="0"/>
              <w:rPr>
                <w:sz w:val="20"/>
                <w:szCs w:val="20"/>
                <w:color w:val="auto"/>
              </w:rPr>
            </w:pPr>
            <w:r>
              <w:rPr>
                <w:rFonts w:ascii="Arial" w:cs="Arial" w:eastAsia="Arial" w:hAnsi="Arial"/>
                <w:sz w:val="13"/>
                <w:szCs w:val="13"/>
                <w:b w:val="1"/>
                <w:bCs w:val="1"/>
                <w:color w:val="FFFFFF"/>
                <w:w w:val="97"/>
              </w:rPr>
              <w:t>Shares,</w:t>
            </w:r>
          </w:p>
        </w:tc>
        <w:tc>
          <w:tcPr>
            <w:tcW w:w="240" w:type="dxa"/>
            <w:vAlign w:val="bottom"/>
            <w:shd w:val="clear" w:color="auto" w:fill="003763"/>
          </w:tcPr>
          <w:p>
            <w:pPr>
              <w:spacing w:after="0"/>
              <w:rPr>
                <w:sz w:val="14"/>
                <w:szCs w:val="14"/>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7"/>
              </w:rPr>
              <w:t>Shares,</w:t>
            </w: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1"/>
              </w:rPr>
              <w:t>of</w:t>
            </w: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w:t>
            </w: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6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or Units</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w:t>
            </w:r>
          </w:p>
        </w:tc>
        <w:tc>
          <w:tcPr>
            <w:tcW w:w="860" w:type="dxa"/>
            <w:vAlign w:val="bottom"/>
            <w:gridSpan w:val="2"/>
            <w:shd w:val="clear" w:color="auto" w:fill="003763"/>
          </w:tcPr>
          <w:p>
            <w:pPr>
              <w:jc w:val="center"/>
              <w:ind w:left="117"/>
              <w:spacing w:after="0"/>
              <w:rPr>
                <w:sz w:val="20"/>
                <w:szCs w:val="20"/>
                <w:color w:val="auto"/>
              </w:rPr>
            </w:pPr>
            <w:r>
              <w:rPr>
                <w:rFonts w:ascii="Arial" w:cs="Arial" w:eastAsia="Arial" w:hAnsi="Arial"/>
                <w:sz w:val="13"/>
                <w:szCs w:val="13"/>
                <w:b w:val="1"/>
                <w:bCs w:val="1"/>
                <w:color w:val="FFFFFF"/>
                <w:w w:val="97"/>
              </w:rPr>
              <w:t>Units or</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7"/>
              </w:rPr>
              <w:t>Units or</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6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of Stock</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w w:val="95"/>
              </w:rPr>
              <w:t>Stock</w:t>
            </w:r>
          </w:p>
        </w:tc>
        <w:tc>
          <w:tcPr>
            <w:tcW w:w="32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7"/>
              </w:rPr>
              <w:t>Other</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7"/>
              </w:rPr>
              <w:t>Other</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16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200" w:type="dxa"/>
            <w:vAlign w:val="bottom"/>
            <w:shd w:val="clear" w:color="auto" w:fill="003763"/>
          </w:tcPr>
          <w:p>
            <w:pPr>
              <w:spacing w:after="0"/>
              <w:rPr>
                <w:sz w:val="14"/>
                <w:szCs w:val="14"/>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20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220" w:type="dxa"/>
            <w:vAlign w:val="bottom"/>
            <w:shd w:val="clear" w:color="auto" w:fill="003763"/>
          </w:tcPr>
          <w:p>
            <w:pPr>
              <w:spacing w:after="0"/>
              <w:rPr>
                <w:sz w:val="14"/>
                <w:szCs w:val="14"/>
                <w:color w:val="auto"/>
              </w:rPr>
            </w:pPr>
          </w:p>
        </w:tc>
        <w:tc>
          <w:tcPr>
            <w:tcW w:w="52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620" w:type="dxa"/>
            <w:vAlign w:val="bottom"/>
            <w:shd w:val="clear" w:color="auto" w:fill="003763"/>
          </w:tcPr>
          <w:p>
            <w:pPr>
              <w:spacing w:after="0"/>
              <w:rPr>
                <w:sz w:val="14"/>
                <w:szCs w:val="14"/>
                <w:color w:val="auto"/>
              </w:rPr>
            </w:pPr>
          </w:p>
        </w:tc>
        <w:tc>
          <w:tcPr>
            <w:tcW w:w="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48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rPr>
              <w:t>That</w:t>
            </w:r>
          </w:p>
        </w:tc>
        <w:tc>
          <w:tcPr>
            <w:tcW w:w="260" w:type="dxa"/>
            <w:vAlign w:val="bottom"/>
            <w:shd w:val="clear" w:color="auto" w:fill="003763"/>
          </w:tcPr>
          <w:p>
            <w:pPr>
              <w:spacing w:after="0"/>
              <w:rPr>
                <w:sz w:val="14"/>
                <w:szCs w:val="14"/>
                <w:color w:val="auto"/>
              </w:rPr>
            </w:pPr>
          </w:p>
        </w:tc>
        <w:tc>
          <w:tcPr>
            <w:tcW w:w="54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w w:val="94"/>
              </w:rPr>
              <w:t>That</w:t>
            </w:r>
          </w:p>
        </w:tc>
        <w:tc>
          <w:tcPr>
            <w:tcW w:w="320" w:type="dxa"/>
            <w:vAlign w:val="bottom"/>
            <w:shd w:val="clear" w:color="auto" w:fill="003763"/>
          </w:tcPr>
          <w:p>
            <w:pPr>
              <w:spacing w:after="0"/>
              <w:rPr>
                <w:sz w:val="14"/>
                <w:szCs w:val="14"/>
                <w:color w:val="auto"/>
              </w:rPr>
            </w:pPr>
          </w:p>
        </w:tc>
        <w:tc>
          <w:tcPr>
            <w:tcW w:w="540" w:type="dxa"/>
            <w:vAlign w:val="bottom"/>
            <w:shd w:val="clear" w:color="auto" w:fill="003763"/>
          </w:tcPr>
          <w:p>
            <w:pPr>
              <w:jc w:val="center"/>
              <w:ind w:right="76"/>
              <w:spacing w:after="0"/>
              <w:rPr>
                <w:sz w:val="20"/>
                <w:szCs w:val="20"/>
                <w:color w:val="auto"/>
              </w:rPr>
            </w:pPr>
            <w:r>
              <w:rPr>
                <w:rFonts w:ascii="Arial" w:cs="Arial" w:eastAsia="Arial" w:hAnsi="Arial"/>
                <w:sz w:val="13"/>
                <w:szCs w:val="13"/>
                <w:b w:val="1"/>
                <w:bCs w:val="1"/>
                <w:color w:val="FFFFFF"/>
                <w:w w:val="98"/>
              </w:rPr>
              <w:t>Rights</w:t>
            </w:r>
          </w:p>
        </w:tc>
        <w:tc>
          <w:tcPr>
            <w:tcW w:w="240" w:type="dxa"/>
            <w:vAlign w:val="bottom"/>
            <w:shd w:val="clear" w:color="auto" w:fill="003763"/>
          </w:tcPr>
          <w:p>
            <w:pPr>
              <w:spacing w:after="0"/>
              <w:rPr>
                <w:sz w:val="14"/>
                <w:szCs w:val="14"/>
                <w:color w:val="auto"/>
              </w:rPr>
            </w:pPr>
          </w:p>
        </w:tc>
        <w:tc>
          <w:tcPr>
            <w:tcW w:w="680" w:type="dxa"/>
            <w:vAlign w:val="bottom"/>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8"/>
              </w:rPr>
              <w:t>Rights</w:t>
            </w: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spacing w:after="0"/>
              <w:rPr>
                <w:sz w:val="12"/>
                <w:szCs w:val="12"/>
                <w:color w:val="auto"/>
              </w:rPr>
            </w:pP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jc w:val="center"/>
              <w:ind w:right="76"/>
              <w:spacing w:after="0"/>
              <w:rPr>
                <w:sz w:val="20"/>
                <w:szCs w:val="20"/>
                <w:color w:val="auto"/>
              </w:rPr>
            </w:pPr>
            <w:r>
              <w:rPr>
                <w:rFonts w:ascii="Arial" w:cs="Arial" w:eastAsia="Arial" w:hAnsi="Arial"/>
                <w:sz w:val="13"/>
                <w:szCs w:val="13"/>
                <w:b w:val="1"/>
                <w:bCs w:val="1"/>
                <w:color w:val="FFFFFF"/>
                <w:w w:val="96"/>
              </w:rPr>
              <w:t>Have</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w w:val="96"/>
              </w:rPr>
              <w:t>Have</w:t>
            </w:r>
          </w:p>
        </w:tc>
        <w:tc>
          <w:tcPr>
            <w:tcW w:w="32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4"/>
              </w:rPr>
              <w:t>That</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4"/>
              </w:rPr>
              <w:t>That</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200" w:type="dxa"/>
            <w:vAlign w:val="bottom"/>
            <w:shd w:val="clear" w:color="auto" w:fill="003763"/>
          </w:tcPr>
          <w:p>
            <w:pPr>
              <w:spacing w:after="0"/>
              <w:rPr>
                <w:sz w:val="12"/>
                <w:szCs w:val="12"/>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200" w:type="dxa"/>
            <w:vAlign w:val="bottom"/>
            <w:shd w:val="clear" w:color="auto" w:fill="003763"/>
          </w:tcPr>
          <w:p>
            <w:pPr>
              <w:spacing w:after="0"/>
              <w:rPr>
                <w:sz w:val="12"/>
                <w:szCs w:val="12"/>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220" w:type="dxa"/>
            <w:vAlign w:val="bottom"/>
            <w:shd w:val="clear" w:color="auto" w:fill="003763"/>
          </w:tcPr>
          <w:p>
            <w:pPr>
              <w:spacing w:after="0"/>
              <w:rPr>
                <w:sz w:val="12"/>
                <w:szCs w:val="12"/>
                <w:color w:val="auto"/>
              </w:rPr>
            </w:pPr>
          </w:p>
        </w:tc>
        <w:tc>
          <w:tcPr>
            <w:tcW w:w="5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Option</w:t>
            </w:r>
          </w:p>
        </w:tc>
        <w:tc>
          <w:tcPr>
            <w:tcW w:w="4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48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92"/>
              </w:rPr>
              <w:t>Not</w:t>
            </w:r>
          </w:p>
        </w:tc>
        <w:tc>
          <w:tcPr>
            <w:tcW w:w="26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rPr>
              <w:t>Not</w:t>
            </w:r>
          </w:p>
        </w:tc>
        <w:tc>
          <w:tcPr>
            <w:tcW w:w="860" w:type="dxa"/>
            <w:vAlign w:val="bottom"/>
            <w:gridSpan w:val="2"/>
            <w:shd w:val="clear" w:color="auto" w:fill="003763"/>
          </w:tcPr>
          <w:p>
            <w:pPr>
              <w:jc w:val="center"/>
              <w:ind w:left="137"/>
              <w:spacing w:after="0"/>
              <w:rPr>
                <w:sz w:val="20"/>
                <w:szCs w:val="20"/>
                <w:color w:val="auto"/>
              </w:rPr>
            </w:pPr>
            <w:r>
              <w:rPr>
                <w:rFonts w:ascii="Arial" w:cs="Arial" w:eastAsia="Arial" w:hAnsi="Arial"/>
                <w:sz w:val="13"/>
                <w:szCs w:val="13"/>
                <w:b w:val="1"/>
                <w:bCs w:val="1"/>
                <w:color w:val="FFFFFF"/>
                <w:w w:val="95"/>
              </w:rPr>
              <w:t>Have Not</w:t>
            </w:r>
          </w:p>
        </w:tc>
        <w:tc>
          <w:tcPr>
            <w:tcW w:w="240" w:type="dxa"/>
            <w:vAlign w:val="bottom"/>
            <w:shd w:val="clear" w:color="auto" w:fill="003763"/>
          </w:tcPr>
          <w:p>
            <w:pPr>
              <w:spacing w:after="0"/>
              <w:rPr>
                <w:sz w:val="12"/>
                <w:szCs w:val="12"/>
                <w:color w:val="auto"/>
              </w:rPr>
            </w:pPr>
          </w:p>
        </w:tc>
        <w:tc>
          <w:tcPr>
            <w:tcW w:w="680" w:type="dxa"/>
            <w:vAlign w:val="bottom"/>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5"/>
              </w:rPr>
              <w:t>Have Not</w:t>
            </w: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16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200" w:type="dxa"/>
            <w:vAlign w:val="bottom"/>
            <w:shd w:val="clear" w:color="auto" w:fill="003763"/>
          </w:tcPr>
          <w:p>
            <w:pPr>
              <w:spacing w:after="0"/>
              <w:rPr>
                <w:sz w:val="14"/>
                <w:szCs w:val="14"/>
                <w:color w:val="auto"/>
              </w:rPr>
            </w:pP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200" w:type="dxa"/>
            <w:vAlign w:val="bottom"/>
            <w:shd w:val="clear" w:color="auto" w:fill="003763"/>
          </w:tcPr>
          <w:p>
            <w:pPr>
              <w:spacing w:after="0"/>
              <w:rPr>
                <w:sz w:val="14"/>
                <w:szCs w:val="14"/>
                <w:color w:val="auto"/>
              </w:rPr>
            </w:pP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220" w:type="dxa"/>
            <w:vAlign w:val="bottom"/>
            <w:shd w:val="clear" w:color="auto" w:fill="003763"/>
          </w:tcPr>
          <w:p>
            <w:pPr>
              <w:spacing w:after="0"/>
              <w:rPr>
                <w:sz w:val="14"/>
                <w:szCs w:val="14"/>
                <w:color w:val="auto"/>
              </w:rPr>
            </w:pPr>
          </w:p>
        </w:tc>
        <w:tc>
          <w:tcPr>
            <w:tcW w:w="5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Price</w:t>
            </w:r>
          </w:p>
        </w:tc>
        <w:tc>
          <w:tcPr>
            <w:tcW w:w="220" w:type="dxa"/>
            <w:vAlign w:val="bottom"/>
            <w:shd w:val="clear" w:color="auto" w:fill="003763"/>
          </w:tcPr>
          <w:p>
            <w:pPr>
              <w:spacing w:after="0"/>
              <w:rPr>
                <w:sz w:val="14"/>
                <w:szCs w:val="14"/>
                <w:color w:val="auto"/>
              </w:rPr>
            </w:pPr>
          </w:p>
        </w:tc>
        <w:tc>
          <w:tcPr>
            <w:tcW w:w="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640" w:type="dxa"/>
            <w:vAlign w:val="bottom"/>
            <w:gridSpan w:val="2"/>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(1)</w:t>
            </w:r>
          </w:p>
        </w:tc>
        <w:tc>
          <w:tcPr>
            <w:tcW w:w="260" w:type="dxa"/>
            <w:vAlign w:val="bottom"/>
            <w:shd w:val="clear" w:color="auto" w:fill="003763"/>
          </w:tcPr>
          <w:p>
            <w:pPr>
              <w:spacing w:after="0"/>
              <w:rPr>
                <w:sz w:val="14"/>
                <w:szCs w:val="14"/>
                <w:color w:val="auto"/>
              </w:rPr>
            </w:pP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860" w:type="dxa"/>
            <w:vAlign w:val="bottom"/>
            <w:gridSpan w:val="2"/>
            <w:shd w:val="clear" w:color="auto" w:fill="003763"/>
          </w:tcPr>
          <w:p>
            <w:pPr>
              <w:jc w:val="center"/>
              <w:ind w:left="137"/>
              <w:spacing w:after="0" w:line="162"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(2)</w:t>
            </w:r>
          </w:p>
        </w:tc>
        <w:tc>
          <w:tcPr>
            <w:tcW w:w="240" w:type="dxa"/>
            <w:vAlign w:val="bottom"/>
            <w:shd w:val="clear" w:color="auto" w:fill="003763"/>
          </w:tcPr>
          <w:p>
            <w:pPr>
              <w:spacing w:after="0"/>
              <w:rPr>
                <w:sz w:val="14"/>
                <w:szCs w:val="14"/>
                <w:color w:val="auto"/>
              </w:rPr>
            </w:pPr>
          </w:p>
        </w:tc>
        <w:tc>
          <w:tcPr>
            <w:tcW w:w="680" w:type="dxa"/>
            <w:vAlign w:val="bottom"/>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3"/>
              </w:rPr>
              <w:t>Vested</w:t>
            </w: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0" w:type="dxa"/>
            <w:vAlign w:val="bottom"/>
          </w:tcPr>
          <w:p>
            <w:pPr>
              <w:ind w:left="40"/>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8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2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7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5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6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Date</w:t>
            </w:r>
          </w:p>
        </w:tc>
        <w:tc>
          <w:tcPr>
            <w:tcW w:w="40" w:type="dxa"/>
            <w:vAlign w:val="bottom"/>
            <w:shd w:val="clear" w:color="auto" w:fill="003763"/>
          </w:tcPr>
          <w:p>
            <w:pPr>
              <w:spacing w:after="0"/>
              <w:rPr>
                <w:sz w:val="19"/>
                <w:szCs w:val="19"/>
                <w:color w:val="auto"/>
              </w:rPr>
            </w:pPr>
          </w:p>
        </w:tc>
        <w:tc>
          <w:tcPr>
            <w:tcW w:w="1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003763"/>
          </w:tcPr>
          <w:p>
            <w:pPr>
              <w:jc w:val="center"/>
              <w:ind w:right="16"/>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jc w:val="right"/>
              <w:ind w:right="37"/>
              <w:spacing w:after="0"/>
              <w:rPr>
                <w:sz w:val="20"/>
                <w:szCs w:val="20"/>
                <w:color w:val="auto"/>
              </w:rPr>
            </w:pPr>
            <w:r>
              <w:rPr>
                <w:rFonts w:ascii="Arial" w:cs="Arial" w:eastAsia="Arial" w:hAnsi="Arial"/>
                <w:sz w:val="13"/>
                <w:szCs w:val="13"/>
                <w:b w:val="1"/>
                <w:bCs w:val="1"/>
                <w:color w:val="FFFFFF"/>
              </w:rPr>
              <w:t>​ ​</w:t>
            </w:r>
          </w:p>
        </w:tc>
        <w:tc>
          <w:tcPr>
            <w:tcW w:w="5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32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 ​</w:t>
            </w:r>
          </w:p>
        </w:tc>
        <w:tc>
          <w:tcPr>
            <w:tcW w:w="540" w:type="dxa"/>
            <w:vAlign w:val="bottom"/>
            <w:shd w:val="clear" w:color="auto" w:fill="003763"/>
          </w:tcPr>
          <w:p>
            <w:pPr>
              <w:jc w:val="center"/>
              <w:ind w:right="36"/>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6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6"/>
        </w:trPr>
        <w:tc>
          <w:tcPr>
            <w:tcW w:w="1240" w:type="dxa"/>
            <w:vAlign w:val="bottom"/>
            <w:tcBorders>
              <w:bottom w:val="single" w:sz="8" w:color="CCCCCC"/>
            </w:tcBorders>
            <w:gridSpan w:val="2"/>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Wells</w:t>
            </w:r>
          </w:p>
        </w:tc>
        <w:tc>
          <w:tcPr>
            <w:tcW w:w="20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tcPr>
          <w:p>
            <w:pPr>
              <w:jc w:val="center"/>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tcPr>
          <w:p>
            <w:pPr>
              <w:jc w:val="center"/>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tcPr>
          <w:p>
            <w:pPr>
              <w:jc w:val="center"/>
              <w:spacing w:after="0" w:line="257"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tcPr>
          <w:p>
            <w:pPr>
              <w:jc w:val="center"/>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tcPr>
          <w:p>
            <w:pPr>
              <w:jc w:val="center"/>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40" w:type="dxa"/>
            <w:vAlign w:val="bottom"/>
            <w:tcBorders>
              <w:bottom w:val="single" w:sz="8" w:color="CCCCCC"/>
            </w:tcBorders>
            <w:gridSpan w:val="11"/>
          </w:tcPr>
          <w:p>
            <w:pPr>
              <w:jc w:val="right"/>
              <w:spacing w:after="0" w:line="257"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​101,375</w:t>
            </w:r>
            <w:r>
              <w:rPr>
                <w:rFonts w:ascii="Arial" w:cs="Arial" w:eastAsia="Arial" w:hAnsi="Arial"/>
                <w:sz w:val="28"/>
                <w:szCs w:val="28"/>
                <w:color w:val="auto"/>
                <w:vertAlign w:val="subscript"/>
              </w:rPr>
              <w:t>​​ ​​</w:t>
            </w:r>
            <w:r>
              <w:rPr>
                <w:rFonts w:ascii="Arial" w:cs="Arial" w:eastAsia="Arial" w:hAnsi="Arial"/>
                <w:sz w:val="14"/>
                <w:szCs w:val="14"/>
                <w:color w:val="auto"/>
              </w:rPr>
              <w:t>​3,216,629</w:t>
            </w:r>
            <w:r>
              <w:rPr>
                <w:rFonts w:ascii="Arial" w:cs="Arial" w:eastAsia="Arial" w:hAnsi="Arial"/>
                <w:sz w:val="28"/>
                <w:szCs w:val="28"/>
                <w:color w:val="auto"/>
                <w:vertAlign w:val="subscript"/>
              </w:rPr>
              <w:t>​​ ​ ​</w:t>
            </w:r>
            <w:r>
              <w:rPr>
                <w:rFonts w:ascii="Arial" w:cs="Arial" w:eastAsia="Arial" w:hAnsi="Arial"/>
                <w:sz w:val="14"/>
                <w:szCs w:val="14"/>
                <w:color w:val="auto"/>
              </w:rPr>
              <w:t xml:space="preserve">​326,591 </w:t>
            </w:r>
            <w:r>
              <w:rPr>
                <w:rFonts w:ascii="Arial" w:cs="Arial" w:eastAsia="Arial" w:hAnsi="Arial"/>
                <w:sz w:val="28"/>
                <w:szCs w:val="28"/>
                <w:color w:val="auto"/>
                <w:vertAlign w:val="subscript"/>
              </w:rPr>
              <w:t>​​ ​​</w:t>
            </w:r>
            <w:r>
              <w:rPr>
                <w:rFonts w:ascii="Arial" w:cs="Arial" w:eastAsia="Arial" w:hAnsi="Arial"/>
                <w:sz w:val="14"/>
                <w:szCs w:val="14"/>
                <w:color w:val="auto"/>
              </w:rPr>
              <w:t>​10,362,732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CCCC"/>
            </w:tcBorders>
            <w:gridSpan w:val="2"/>
            <w:shd w:val="clear" w:color="auto" w:fill="F2F2F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Foster</w:t>
            </w:r>
          </w:p>
        </w:tc>
        <w:tc>
          <w:tcPr>
            <w:tcW w:w="20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440" w:type="dxa"/>
            <w:vAlign w:val="bottom"/>
            <w:tcBorders>
              <w:bottom w:val="single" w:sz="8" w:color="CCCCCC"/>
            </w:tcBorders>
            <w:gridSpan w:val="11"/>
            <w:shd w:val="clear" w:color="auto" w:fill="F2F2F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95,709</w:t>
            </w:r>
            <w:r>
              <w:rPr>
                <w:rFonts w:ascii="Arial" w:cs="Arial" w:eastAsia="Arial" w:hAnsi="Arial"/>
                <w:sz w:val="27"/>
                <w:szCs w:val="27"/>
                <w:color w:val="auto"/>
                <w:vertAlign w:val="subscript"/>
              </w:rPr>
              <w:t>​​ ​​</w:t>
            </w:r>
            <w:r>
              <w:rPr>
                <w:rFonts w:ascii="Arial" w:cs="Arial" w:eastAsia="Arial" w:hAnsi="Arial"/>
                <w:sz w:val="14"/>
                <w:szCs w:val="14"/>
                <w:color w:val="auto"/>
              </w:rPr>
              <w:t>​3,036,847</w:t>
            </w:r>
            <w:r>
              <w:rPr>
                <w:rFonts w:ascii="Arial" w:cs="Arial" w:eastAsia="Arial" w:hAnsi="Arial"/>
                <w:sz w:val="27"/>
                <w:szCs w:val="27"/>
                <w:color w:val="auto"/>
                <w:vertAlign w:val="subscript"/>
              </w:rPr>
              <w:t>​​ ​ ​</w:t>
            </w:r>
            <w:r>
              <w:rPr>
                <w:rFonts w:ascii="Arial" w:cs="Arial" w:eastAsia="Arial" w:hAnsi="Arial"/>
                <w:sz w:val="14"/>
                <w:szCs w:val="14"/>
                <w:color w:val="auto"/>
              </w:rPr>
              <w:t xml:space="preserve">​124,136 </w:t>
            </w:r>
            <w:r>
              <w:rPr>
                <w:rFonts w:ascii="Arial" w:cs="Arial" w:eastAsia="Arial" w:hAnsi="Arial"/>
                <w:sz w:val="27"/>
                <w:szCs w:val="27"/>
                <w:color w:val="auto"/>
                <w:vertAlign w:val="subscript"/>
              </w:rPr>
              <w:t>​​ ​​</w:t>
            </w:r>
            <w:r>
              <w:rPr>
                <w:rFonts w:ascii="Arial" w:cs="Arial" w:eastAsia="Arial" w:hAnsi="Arial"/>
                <w:sz w:val="14"/>
                <w:szCs w:val="14"/>
                <w:color w:val="auto"/>
              </w:rPr>
              <w:t>​ 3,938,835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CCCC"/>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Karuturi</w:t>
            </w:r>
          </w:p>
        </w:tc>
        <w:tc>
          <w:tcPr>
            <w:tcW w:w="20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440" w:type="dxa"/>
            <w:vAlign w:val="bottom"/>
            <w:tcBorders>
              <w:bottom w:val="single" w:sz="8" w:color="CCCCCC"/>
            </w:tcBorders>
            <w:gridSpan w:val="1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42,774</w:t>
            </w:r>
            <w:r>
              <w:rPr>
                <w:rFonts w:ascii="Arial" w:cs="Arial" w:eastAsia="Arial" w:hAnsi="Arial"/>
                <w:sz w:val="27"/>
                <w:szCs w:val="27"/>
                <w:color w:val="auto"/>
                <w:vertAlign w:val="subscript"/>
              </w:rPr>
              <w:t>​​ ​​</w:t>
            </w:r>
            <w:r>
              <w:rPr>
                <w:rFonts w:ascii="Arial" w:cs="Arial" w:eastAsia="Arial" w:hAnsi="Arial"/>
                <w:sz w:val="14"/>
                <w:szCs w:val="14"/>
                <w:color w:val="auto"/>
              </w:rPr>
              <w:t>​1,357,219</w:t>
            </w:r>
            <w:r>
              <w:rPr>
                <w:rFonts w:ascii="Arial" w:cs="Arial" w:eastAsia="Arial" w:hAnsi="Arial"/>
                <w:sz w:val="27"/>
                <w:szCs w:val="27"/>
                <w:color w:val="auto"/>
                <w:vertAlign w:val="subscript"/>
              </w:rPr>
              <w:t>​​ ​ ​</w:t>
            </w:r>
            <w:r>
              <w:rPr>
                <w:rFonts w:ascii="Arial" w:cs="Arial" w:eastAsia="Arial" w:hAnsi="Arial"/>
                <w:sz w:val="14"/>
                <w:szCs w:val="14"/>
                <w:color w:val="auto"/>
              </w:rPr>
              <w:t xml:space="preserve">​127,263 </w:t>
            </w:r>
            <w:r>
              <w:rPr>
                <w:rFonts w:ascii="Arial" w:cs="Arial" w:eastAsia="Arial" w:hAnsi="Arial"/>
                <w:sz w:val="27"/>
                <w:szCs w:val="27"/>
                <w:color w:val="auto"/>
                <w:vertAlign w:val="subscript"/>
              </w:rPr>
              <w:t>​​ ​​</w:t>
            </w:r>
            <w:r>
              <w:rPr>
                <w:rFonts w:ascii="Arial" w:cs="Arial" w:eastAsia="Arial" w:hAnsi="Arial"/>
                <w:sz w:val="14"/>
                <w:szCs w:val="14"/>
                <w:color w:val="auto"/>
              </w:rPr>
              <w:t>​ 4,038,055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CCCC"/>
            </w:tcBorders>
            <w:gridSpan w:val="2"/>
            <w:shd w:val="clear" w:color="auto" w:fill="F2F2F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Ryan</w:t>
            </w:r>
          </w:p>
        </w:tc>
        <w:tc>
          <w:tcPr>
            <w:tcW w:w="20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040" w:type="dxa"/>
            <w:vAlign w:val="bottom"/>
            <w:tcBorders>
              <w:bottom w:val="single" w:sz="8" w:color="CCCCCC"/>
            </w:tcBorders>
            <w:gridSpan w:val="5"/>
            <w:shd w:val="clear" w:color="auto" w:fill="F2F2F2"/>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 30,668</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2400" w:type="dxa"/>
            <w:vAlign w:val="bottom"/>
            <w:tcBorders>
              <w:bottom w:val="single" w:sz="8" w:color="CCCCCC"/>
            </w:tcBorders>
            <w:gridSpan w:val="6"/>
            <w:shd w:val="clear" w:color="auto" w:fill="F2F2F2"/>
          </w:tcPr>
          <w:p>
            <w:pPr>
              <w:jc w:val="right"/>
              <w:spacing w:after="0" w:line="236" w:lineRule="exact"/>
              <w:rPr>
                <w:sz w:val="20"/>
                <w:szCs w:val="20"/>
                <w:color w:val="auto"/>
              </w:rPr>
            </w:pPr>
            <w:r>
              <w:rPr>
                <w:rFonts w:ascii="Arial" w:cs="Arial" w:eastAsia="Arial" w:hAnsi="Arial"/>
                <w:sz w:val="14"/>
                <w:szCs w:val="14"/>
                <w:color w:val="auto"/>
              </w:rPr>
              <w:t>973,096</w:t>
            </w:r>
            <w:r>
              <w:rPr>
                <w:rFonts w:ascii="Arial" w:cs="Arial" w:eastAsia="Arial" w:hAnsi="Arial"/>
                <w:sz w:val="27"/>
                <w:szCs w:val="27"/>
                <w:color w:val="auto"/>
                <w:vertAlign w:val="subscript"/>
              </w:rPr>
              <w:t>​​ ​ ​</w:t>
            </w:r>
            <w:r>
              <w:rPr>
                <w:rFonts w:ascii="Arial" w:cs="Arial" w:eastAsia="Arial" w:hAnsi="Arial"/>
                <w:sz w:val="14"/>
                <w:szCs w:val="14"/>
                <w:color w:val="auto"/>
              </w:rPr>
              <w:t xml:space="preserve">​ 91,675 </w:t>
            </w:r>
            <w:r>
              <w:rPr>
                <w:rFonts w:ascii="Arial" w:cs="Arial" w:eastAsia="Arial" w:hAnsi="Arial"/>
                <w:sz w:val="27"/>
                <w:szCs w:val="27"/>
                <w:color w:val="auto"/>
                <w:vertAlign w:val="subscript"/>
              </w:rPr>
              <w:t>​​ ​​</w:t>
            </w:r>
            <w:r>
              <w:rPr>
                <w:rFonts w:ascii="Arial" w:cs="Arial" w:eastAsia="Arial" w:hAnsi="Arial"/>
                <w:sz w:val="14"/>
                <w:szCs w:val="14"/>
                <w:color w:val="auto"/>
              </w:rPr>
              <w:t>​ 2,908,848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1240" w:type="dxa"/>
            <w:vAlign w:val="bottom"/>
            <w:tcBorders>
              <w:bottom w:val="single" w:sz="8" w:color="CCCCCC"/>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Harkel-Rumford</w:t>
            </w:r>
          </w:p>
        </w:tc>
        <w:tc>
          <w:tcPr>
            <w:tcW w:w="20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040" w:type="dxa"/>
            <w:vAlign w:val="bottom"/>
            <w:tcBorders>
              <w:bottom w:val="single" w:sz="8" w:color="CCCCCC"/>
            </w:tcBorders>
            <w:gridSpan w:val="5"/>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 22,624</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2400" w:type="dxa"/>
            <w:vAlign w:val="bottom"/>
            <w:tcBorders>
              <w:bottom w:val="single" w:sz="8" w:color="CCCCCC"/>
            </w:tcBorders>
            <w:gridSpan w:val="6"/>
          </w:tcPr>
          <w:p>
            <w:pPr>
              <w:jc w:val="right"/>
              <w:spacing w:after="0" w:line="236" w:lineRule="exact"/>
              <w:rPr>
                <w:sz w:val="20"/>
                <w:szCs w:val="20"/>
                <w:color w:val="auto"/>
              </w:rPr>
            </w:pPr>
            <w:r>
              <w:rPr>
                <w:rFonts w:ascii="Arial" w:cs="Arial" w:eastAsia="Arial" w:hAnsi="Arial"/>
                <w:sz w:val="14"/>
                <w:szCs w:val="14"/>
                <w:color w:val="auto"/>
              </w:rPr>
              <w:t>717,860</w:t>
            </w:r>
            <w:r>
              <w:rPr>
                <w:rFonts w:ascii="Arial" w:cs="Arial" w:eastAsia="Arial" w:hAnsi="Arial"/>
                <w:sz w:val="27"/>
                <w:szCs w:val="27"/>
                <w:color w:val="auto"/>
                <w:vertAlign w:val="subscript"/>
              </w:rPr>
              <w:t>​​ ​ ​</w:t>
            </w:r>
            <w:r>
              <w:rPr>
                <w:rFonts w:ascii="Arial" w:cs="Arial" w:eastAsia="Arial" w:hAnsi="Arial"/>
                <w:sz w:val="14"/>
                <w:szCs w:val="14"/>
                <w:color w:val="auto"/>
              </w:rPr>
              <w:t xml:space="preserve">​ 64,242 </w:t>
            </w:r>
            <w:r>
              <w:rPr>
                <w:rFonts w:ascii="Arial" w:cs="Arial" w:eastAsia="Arial" w:hAnsi="Arial"/>
                <w:sz w:val="27"/>
                <w:szCs w:val="27"/>
                <w:color w:val="auto"/>
                <w:vertAlign w:val="subscript"/>
              </w:rPr>
              <w:t>​​ ​​</w:t>
            </w:r>
            <w:r>
              <w:rPr>
                <w:rFonts w:ascii="Arial" w:cs="Arial" w:eastAsia="Arial" w:hAnsi="Arial"/>
                <w:sz w:val="14"/>
                <w:szCs w:val="14"/>
                <w:color w:val="auto"/>
              </w:rPr>
              <w:t>​ 2,038,399</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CCCC"/>
            </w:tcBorders>
            <w:gridSpan w:val="2"/>
            <w:shd w:val="clear" w:color="auto" w:fill="F2F2F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Lesar</w:t>
            </w:r>
          </w:p>
        </w:tc>
        <w:tc>
          <w:tcPr>
            <w:tcW w:w="20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shd w:val="clear" w:color="auto" w:fill="F2F2F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440" w:type="dxa"/>
            <w:vAlign w:val="bottom"/>
            <w:tcBorders>
              <w:bottom w:val="single" w:sz="8" w:color="CCCCCC"/>
            </w:tcBorders>
            <w:gridSpan w:val="11"/>
            <w:shd w:val="clear" w:color="auto" w:fill="F2F2F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​163,815</w:t>
            </w:r>
            <w:r>
              <w:rPr>
                <w:rFonts w:ascii="Arial" w:cs="Arial" w:eastAsia="Arial" w:hAnsi="Arial"/>
                <w:sz w:val="27"/>
                <w:szCs w:val="27"/>
                <w:color w:val="auto"/>
                <w:vertAlign w:val="subscript"/>
              </w:rPr>
              <w:t>​​ ​​</w:t>
            </w:r>
            <w:r>
              <w:rPr>
                <w:rFonts w:ascii="Arial" w:cs="Arial" w:eastAsia="Arial" w:hAnsi="Arial"/>
                <w:sz w:val="14"/>
                <w:szCs w:val="14"/>
                <w:color w:val="auto"/>
              </w:rPr>
              <w:t>​5,197,850</w:t>
            </w:r>
            <w:r>
              <w:rPr>
                <w:rFonts w:ascii="Arial" w:cs="Arial" w:eastAsia="Arial" w:hAnsi="Arial"/>
                <w:sz w:val="27"/>
                <w:szCs w:val="27"/>
                <w:color w:val="auto"/>
                <w:vertAlign w:val="subscript"/>
              </w:rPr>
              <w:t>​​ ​ ​</w:t>
            </w:r>
            <w:r>
              <w:rPr>
                <w:rFonts w:ascii="Arial" w:cs="Arial" w:eastAsia="Arial" w:hAnsi="Arial"/>
                <w:sz w:val="14"/>
                <w:szCs w:val="14"/>
                <w:color w:val="auto"/>
              </w:rPr>
              <w:t xml:space="preserve">​373,843 </w:t>
            </w:r>
            <w:r>
              <w:rPr>
                <w:rFonts w:ascii="Arial" w:cs="Arial" w:eastAsia="Arial" w:hAnsi="Arial"/>
                <w:sz w:val="27"/>
                <w:szCs w:val="27"/>
                <w:color w:val="auto"/>
                <w:vertAlign w:val="subscript"/>
              </w:rPr>
              <w:t>​​ ​​</w:t>
            </w:r>
            <w:r>
              <w:rPr>
                <w:rFonts w:ascii="Arial" w:cs="Arial" w:eastAsia="Arial" w:hAnsi="Arial"/>
                <w:sz w:val="14"/>
                <w:szCs w:val="14"/>
                <w:color w:val="auto"/>
              </w:rPr>
              <w:t>​11,862,038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1240" w:type="dxa"/>
            <w:vAlign w:val="bottom"/>
            <w:tcBorders>
              <w:bottom w:val="single" w:sz="8" w:color="CCCCCC"/>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Wilson</w:t>
            </w:r>
            <w:r>
              <w:rPr>
                <w:rFonts w:ascii="Arial" w:cs="Arial" w:eastAsia="Arial" w:hAnsi="Arial"/>
                <w:sz w:val="17"/>
                <w:szCs w:val="17"/>
                <w:color w:val="auto"/>
                <w:vertAlign w:val="superscript"/>
              </w:rPr>
              <w:t>(3)</w:t>
            </w:r>
          </w:p>
        </w:tc>
        <w:tc>
          <w:tcPr>
            <w:tcW w:w="200" w:type="dxa"/>
            <w:vAlign w:val="bottom"/>
            <w:tcBorders>
              <w:bottom w:val="single" w:sz="8" w:color="CCCCCC"/>
            </w:tcBorders>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88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76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w w:val="99"/>
                <w:vertAlign w:val="subscript"/>
              </w:rPr>
              <w:t>​</w:t>
            </w:r>
            <w:r>
              <w:rPr>
                <w:rFonts w:ascii="Arial" w:cs="Arial" w:eastAsia="Arial" w:hAnsi="Arial"/>
                <w:sz w:val="14"/>
                <w:szCs w:val="14"/>
                <w:color w:val="auto"/>
                <w:w w:val="99"/>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5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620" w:type="dxa"/>
            <w:vAlign w:val="bottom"/>
            <w:tcBorders>
              <w:bottom w:val="single" w:sz="8" w:color="CCCCCC"/>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300" w:type="dxa"/>
            <w:vAlign w:val="bottom"/>
            <w:tcBorders>
              <w:bottom w:val="single" w:sz="8" w:color="CCCCCC"/>
            </w:tcBorders>
            <w:gridSpan w:val="3"/>
          </w:tcPr>
          <w:p>
            <w:pPr>
              <w:ind w:left="2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CCCCCC"/>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60" w:type="dxa"/>
            <w:vAlign w:val="bottom"/>
            <w:tcBorders>
              <w:bottom w:val="single" w:sz="8" w:color="CCCCCC"/>
            </w:tcBorders>
            <w:gridSpan w:val="2"/>
          </w:tcPr>
          <w:p>
            <w:pPr>
              <w:ind w:left="4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 ​</w:t>
            </w:r>
            <w:r>
              <w:rPr>
                <w:rFonts w:ascii="Arial" w:cs="Arial" w:eastAsia="Arial" w:hAnsi="Arial"/>
                <w:sz w:val="27"/>
                <w:szCs w:val="27"/>
                <w:color w:val="auto"/>
                <w:vertAlign w:val="superscript"/>
              </w:rPr>
              <w:t>​</w:t>
            </w:r>
          </w:p>
        </w:tc>
        <w:tc>
          <w:tcPr>
            <w:tcW w:w="780" w:type="dxa"/>
            <w:vAlign w:val="bottom"/>
            <w:tcBorders>
              <w:bottom w:val="single" w:sz="8" w:color="CCCCCC"/>
            </w:tcBorders>
            <w:gridSpan w:val="2"/>
          </w:tcPr>
          <w:p>
            <w:pPr>
              <w:ind w:left="3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27"/>
                <w:szCs w:val="27"/>
                <w:color w:val="auto"/>
                <w:vertAlign w:val="superscript"/>
              </w:rPr>
              <w:t>​</w:t>
            </w:r>
          </w:p>
        </w:tc>
        <w:tc>
          <w:tcPr>
            <w:tcW w:w="760" w:type="dxa"/>
            <w:vAlign w:val="bottom"/>
            <w:tcBorders>
              <w:bottom w:val="single" w:sz="8" w:color="CCCCCC"/>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-2767965</wp:posOffset>
            </wp:positionV>
            <wp:extent cx="4920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47" w:lineRule="exact"/>
        <w:rPr>
          <w:sz w:val="20"/>
          <w:szCs w:val="20"/>
          <w:color w:val="auto"/>
        </w:rPr>
      </w:pPr>
    </w:p>
    <w:p>
      <w:pPr>
        <w:ind w:left="920" w:hanging="189"/>
        <w:spacing w:after="0"/>
        <w:tabs>
          <w:tab w:leader="none" w:pos="920" w:val="left"/>
        </w:tabs>
        <w:numPr>
          <w:ilvl w:val="0"/>
          <w:numId w:val="117"/>
        </w:numPr>
        <w:rPr>
          <w:rFonts w:ascii="Arial" w:cs="Arial" w:eastAsia="Arial" w:hAnsi="Arial"/>
          <w:sz w:val="20"/>
          <w:szCs w:val="20"/>
          <w:color w:val="auto"/>
          <w:vertAlign w:val="superscript"/>
        </w:rPr>
      </w:pPr>
      <w:r>
        <w:rPr>
          <w:rFonts w:ascii="Arial" w:cs="Arial" w:eastAsia="Arial" w:hAnsi="Arial"/>
          <w:sz w:val="13"/>
          <w:szCs w:val="13"/>
          <w:color w:val="auto"/>
        </w:rPr>
        <w:t>Outstanding stock awards vest on the following dates:</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102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92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Type of Stock</w:t>
            </w:r>
          </w:p>
        </w:tc>
        <w:tc>
          <w:tcPr>
            <w:tcW w:w="18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4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Vesting</w:t>
            </w:r>
          </w:p>
        </w:tc>
        <w:tc>
          <w:tcPr>
            <w:tcW w:w="26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420" w:type="dxa"/>
            <w:vAlign w:val="bottom"/>
            <w:shd w:val="clear" w:color="auto" w:fill="003763"/>
          </w:tcPr>
          <w:p>
            <w:pPr>
              <w:spacing w:after="0"/>
              <w:rPr>
                <w:sz w:val="14"/>
                <w:szCs w:val="14"/>
                <w:color w:val="auto"/>
              </w:rPr>
            </w:pPr>
          </w:p>
        </w:tc>
        <w:tc>
          <w:tcPr>
            <w:tcW w:w="6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40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6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60" w:type="dxa"/>
            <w:vAlign w:val="bottom"/>
            <w:shd w:val="clear" w:color="auto" w:fill="003763"/>
          </w:tcPr>
          <w:p>
            <w:pPr>
              <w:spacing w:after="0"/>
              <w:rPr>
                <w:sz w:val="14"/>
                <w:szCs w:val="14"/>
                <w:color w:val="auto"/>
              </w:rPr>
            </w:pPr>
          </w:p>
        </w:tc>
        <w:tc>
          <w:tcPr>
            <w:tcW w:w="42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320" w:type="dxa"/>
            <w:vAlign w:val="bottom"/>
            <w:shd w:val="clear" w:color="auto" w:fill="003763"/>
          </w:tcPr>
          <w:p>
            <w:pPr>
              <w:spacing w:after="0"/>
              <w:rPr>
                <w:sz w:val="14"/>
                <w:szCs w:val="14"/>
                <w:color w:val="auto"/>
              </w:rPr>
            </w:pPr>
          </w:p>
        </w:tc>
        <w:tc>
          <w:tcPr>
            <w:tcW w:w="520" w:type="dxa"/>
            <w:vAlign w:val="bottom"/>
            <w:shd w:val="clear" w:color="auto" w:fill="003763"/>
          </w:tcPr>
          <w:p>
            <w:pPr>
              <w:spacing w:after="0"/>
              <w:rPr>
                <w:sz w:val="14"/>
                <w:szCs w:val="14"/>
                <w:color w:val="auto"/>
              </w:rPr>
            </w:pPr>
          </w:p>
        </w:tc>
        <w:tc>
          <w:tcPr>
            <w:tcW w:w="6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40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00" w:type="dxa"/>
            <w:vAlign w:val="bottom"/>
            <w:gridSpan w:val="2"/>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Grant Date</w:t>
            </w:r>
          </w:p>
        </w:tc>
        <w:tc>
          <w:tcPr>
            <w:tcW w:w="460" w:type="dxa"/>
            <w:vAlign w:val="bottom"/>
            <w:shd w:val="clear" w:color="auto" w:fill="003763"/>
          </w:tcPr>
          <w:p>
            <w:pPr>
              <w:ind w:left="360"/>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3763"/>
          </w:tcPr>
          <w:p>
            <w:pPr>
              <w:ind w:left="280"/>
              <w:spacing w:after="0"/>
              <w:rPr>
                <w:sz w:val="20"/>
                <w:szCs w:val="20"/>
                <w:color w:val="auto"/>
              </w:rPr>
            </w:pPr>
            <w:r>
              <w:rPr>
                <w:rFonts w:ascii="Arial" w:cs="Arial" w:eastAsia="Arial" w:hAnsi="Arial"/>
                <w:sz w:val="13"/>
                <w:szCs w:val="13"/>
                <w:b w:val="1"/>
                <w:bCs w:val="1"/>
                <w:color w:val="FFFFFF"/>
              </w:rPr>
              <w:t>Award</w:t>
            </w:r>
          </w:p>
        </w:tc>
        <w:tc>
          <w:tcPr>
            <w:tcW w:w="18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jc w:val="right"/>
              <w:ind w:right="58"/>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Date</w:t>
            </w:r>
          </w:p>
        </w:tc>
        <w:tc>
          <w:tcPr>
            <w:tcW w:w="260" w:type="dxa"/>
            <w:vAlign w:val="bottom"/>
            <w:shd w:val="clear" w:color="auto" w:fill="003763"/>
          </w:tcPr>
          <w:p>
            <w:pPr>
              <w:jc w:val="right"/>
              <w:ind w:right="21"/>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p>
        </w:tc>
        <w:tc>
          <w:tcPr>
            <w:tcW w:w="4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Wells</w:t>
            </w:r>
          </w:p>
        </w:tc>
        <w:tc>
          <w:tcPr>
            <w:tcW w:w="60" w:type="dxa"/>
            <w:vAlign w:val="bottom"/>
            <w:shd w:val="clear" w:color="auto" w:fill="003763"/>
          </w:tcPr>
          <w:p>
            <w:pPr>
              <w:spacing w:after="0"/>
              <w:rPr>
                <w:sz w:val="20"/>
                <w:szCs w:val="20"/>
                <w:color w:val="auto"/>
              </w:rPr>
            </w:pPr>
          </w:p>
        </w:tc>
        <w:tc>
          <w:tcPr>
            <w:tcW w:w="14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500" w:type="dxa"/>
            <w:vAlign w:val="bottom"/>
            <w:gridSpan w:val="2"/>
            <w:shd w:val="clear" w:color="auto" w:fill="003763"/>
          </w:tcPr>
          <w:p>
            <w:pPr>
              <w:ind w:left="40"/>
              <w:spacing w:after="0"/>
              <w:rPr>
                <w:sz w:val="20"/>
                <w:szCs w:val="20"/>
                <w:color w:val="auto"/>
              </w:rPr>
            </w:pPr>
            <w:r>
              <w:rPr>
                <w:rFonts w:ascii="Arial" w:cs="Arial" w:eastAsia="Arial" w:hAnsi="Arial"/>
                <w:sz w:val="13"/>
                <w:szCs w:val="13"/>
                <w:b w:val="1"/>
                <w:bCs w:val="1"/>
                <w:color w:val="FFFFFF"/>
              </w:rPr>
              <w:t>Foster</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gridSpan w:val="3"/>
            <w:shd w:val="clear" w:color="auto" w:fill="003763"/>
          </w:tcPr>
          <w:p>
            <w:pPr>
              <w:ind w:left="8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w:t>
            </w:r>
          </w:p>
        </w:tc>
        <w:tc>
          <w:tcPr>
            <w:tcW w:w="60" w:type="dxa"/>
            <w:vAlign w:val="bottom"/>
            <w:shd w:val="clear" w:color="auto" w:fill="003763"/>
          </w:tcPr>
          <w:p>
            <w:pPr>
              <w:spacing w:after="0"/>
              <w:rPr>
                <w:sz w:val="20"/>
                <w:szCs w:val="20"/>
                <w:color w:val="auto"/>
              </w:rPr>
            </w:pPr>
          </w:p>
        </w:tc>
        <w:tc>
          <w:tcPr>
            <w:tcW w:w="14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003763"/>
          </w:tcPr>
          <w:p>
            <w:pPr>
              <w:spacing w:after="0"/>
              <w:rPr>
                <w:sz w:val="20"/>
                <w:szCs w:val="20"/>
                <w:color w:val="auto"/>
              </w:rPr>
            </w:pPr>
          </w:p>
        </w:tc>
        <w:tc>
          <w:tcPr>
            <w:tcW w:w="420" w:type="dxa"/>
            <w:vAlign w:val="bottom"/>
            <w:shd w:val="clear" w:color="auto" w:fill="003763"/>
          </w:tcPr>
          <w:p>
            <w:pPr>
              <w:jc w:val="right"/>
              <w:ind w:right="38"/>
              <w:spacing w:after="0"/>
              <w:rPr>
                <w:sz w:val="20"/>
                <w:szCs w:val="20"/>
                <w:color w:val="auto"/>
              </w:rPr>
            </w:pPr>
            <w:r>
              <w:rPr>
                <w:rFonts w:ascii="Arial" w:cs="Arial" w:eastAsia="Arial" w:hAnsi="Arial"/>
                <w:sz w:val="13"/>
                <w:szCs w:val="13"/>
                <w:b w:val="1"/>
                <w:bCs w:val="1"/>
                <w:color w:val="FFFFFF"/>
                <w:w w:val="94"/>
              </w:rPr>
              <w:t>Ryan</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40" w:type="dxa"/>
            <w:vAlign w:val="bottom"/>
            <w:gridSpan w:val="3"/>
            <w:shd w:val="clear" w:color="auto" w:fill="003763"/>
          </w:tcPr>
          <w:p>
            <w:pPr>
              <w:ind w:left="8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Harkel-Rumford</w:t>
            </w:r>
          </w:p>
        </w:tc>
        <w:tc>
          <w:tcPr>
            <w:tcW w:w="60" w:type="dxa"/>
            <w:vAlign w:val="bottom"/>
            <w:shd w:val="clear" w:color="auto" w:fill="003763"/>
          </w:tcPr>
          <w:p>
            <w:pPr>
              <w:spacing w:after="0"/>
              <w:rPr>
                <w:sz w:val="20"/>
                <w:szCs w:val="20"/>
                <w:color w:val="auto"/>
              </w:rPr>
            </w:pPr>
          </w:p>
        </w:tc>
        <w:tc>
          <w:tcPr>
            <w:tcW w:w="14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0"/>
                <w:szCs w:val="20"/>
                <w:color w:val="auto"/>
              </w:rPr>
            </w:pPr>
          </w:p>
        </w:tc>
        <w:tc>
          <w:tcPr>
            <w:tcW w:w="48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13"/>
                <w:szCs w:val="13"/>
                <w:b w:val="1"/>
                <w:bCs w:val="1"/>
                <w:color w:val="FFFFFF"/>
              </w:rPr>
              <w:t xml:space="preserve">Lesar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70"/>
        </w:trPr>
        <w:tc>
          <w:tcPr>
            <w:tcW w:w="110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2/15/2022</w:t>
            </w:r>
          </w:p>
        </w:tc>
        <w:tc>
          <w:tcPr>
            <w:tcW w:w="460" w:type="dxa"/>
            <w:vAlign w:val="bottom"/>
            <w:tcBorders>
              <w:bottom w:val="single" w:sz="8" w:color="CCCCCC"/>
            </w:tcBorders>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tcPr>
          <w:p>
            <w:pPr>
              <w:jc w:val="right"/>
              <w:ind w:right="21"/>
              <w:spacing w:after="0" w:line="27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​2/15/2025</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gridSpan w:val="4"/>
          </w:tcPr>
          <w:p>
            <w:pPr>
              <w:jc w:val="right"/>
              <w:ind w:right="17"/>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16,154</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7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CCCCCC"/>
            </w:tcBorders>
          </w:tcPr>
          <w:p>
            <w:pPr>
              <w:jc w:val="right"/>
              <w:spacing w:after="0" w:line="27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​10,245</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ind w:left="20"/>
              <w:spacing w:after="0" w:line="27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60" w:type="dxa"/>
            <w:vAlign w:val="bottom"/>
            <w:tcBorders>
              <w:bottom w:val="single" w:sz="8" w:color="CCCCCC"/>
            </w:tcBorders>
            <w:gridSpan w:val="2"/>
          </w:tcPr>
          <w:p>
            <w:pPr>
              <w:jc w:val="right"/>
              <w:spacing w:after="0" w:line="270" w:lineRule="exact"/>
              <w:rPr>
                <w:sz w:val="20"/>
                <w:szCs w:val="20"/>
                <w:color w:val="auto"/>
              </w:rPr>
            </w:pPr>
            <w:r>
              <w:rPr>
                <w:rFonts w:ascii="Arial" w:cs="Arial" w:eastAsia="Arial" w:hAnsi="Arial"/>
                <w:sz w:val="13"/>
                <w:szCs w:val="13"/>
                <w:color w:val="auto"/>
              </w:rPr>
              <w:t>7,824</w:t>
            </w:r>
            <w:r>
              <w:rPr>
                <w:rFonts w:ascii="Arial" w:cs="Arial" w:eastAsia="Arial" w:hAnsi="Arial"/>
                <w:sz w:val="25"/>
                <w:szCs w:val="25"/>
                <w:color w:val="auto"/>
                <w:vertAlign w:val="subscript"/>
              </w:rPr>
              <w:t>​ ​</w:t>
            </w:r>
          </w:p>
        </w:tc>
        <w:tc>
          <w:tcPr>
            <w:tcW w:w="30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1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6,206</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CCCC"/>
            </w:tcBorders>
            <w:gridSpan w:val="3"/>
          </w:tcPr>
          <w:p>
            <w:pPr>
              <w:jc w:val="right"/>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78,851</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2/15/2023</w:t>
            </w:r>
          </w:p>
        </w:tc>
        <w:tc>
          <w:tcPr>
            <w:tcW w:w="460" w:type="dxa"/>
            <w:vAlign w:val="bottom"/>
            <w:tcBorders>
              <w:bottom w:val="single" w:sz="8" w:color="CCCCCC"/>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shd w:val="clear" w:color="auto" w:fill="F2F2F2"/>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​2/15/2026</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gridSpan w:val="4"/>
            <w:shd w:val="clear" w:color="auto" w:fill="F2F2F2"/>
          </w:tcPr>
          <w:p>
            <w:pPr>
              <w:jc w:val="right"/>
              <w:ind w:right="17"/>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33,642</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​15,620</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shd w:val="clear" w:color="auto" w:fill="F2F2F2"/>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6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13"/>
                <w:szCs w:val="13"/>
                <w:color w:val="auto"/>
              </w:rPr>
              <w:t>8,754</w:t>
            </w:r>
            <w:r>
              <w:rPr>
                <w:rFonts w:ascii="Arial" w:cs="Arial" w:eastAsia="Arial" w:hAnsi="Arial"/>
                <w:sz w:val="25"/>
                <w:szCs w:val="25"/>
                <w:color w:val="auto"/>
                <w:vertAlign w:val="subscript"/>
              </w:rPr>
              <w:t>​ ​</w:t>
            </w:r>
          </w:p>
        </w:tc>
        <w:tc>
          <w:tcPr>
            <w:tcW w:w="30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shd w:val="clear" w:color="auto" w:fill="F2F2F2"/>
          </w:tcPr>
          <w:p>
            <w:pPr>
              <w:ind w:left="1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7,896</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CCCC"/>
            </w:tcBorders>
            <w:gridSpan w:val="3"/>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84,964</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5/05/2023</w:t>
            </w:r>
          </w:p>
        </w:tc>
        <w:tc>
          <w:tcPr>
            <w:tcW w:w="460" w:type="dxa"/>
            <w:vAlign w:val="bottom"/>
            <w:tcBorders>
              <w:bottom w:val="single" w:sz="8" w:color="CCCCCC"/>
            </w:tcBorders>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​5/05/2025</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tcPr>
          <w:p>
            <w:pPr>
              <w:ind w:left="30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CCCC"/>
            </w:tcBorders>
            <w:gridSpan w:val="4"/>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​63,892</w:t>
            </w:r>
            <w:r>
              <w:rPr>
                <w:rFonts w:ascii="Arial" w:cs="Arial" w:eastAsia="Arial" w:hAnsi="Arial"/>
                <w:sz w:val="25"/>
                <w:szCs w:val="25"/>
                <w:color w:val="auto"/>
                <w:vertAlign w:val="subscript"/>
              </w:rPr>
              <w:t>​ ​</w:t>
            </w:r>
          </w:p>
        </w:tc>
        <w:tc>
          <w:tcPr>
            <w:tcW w:w="18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00" w:type="dxa"/>
            <w:vAlign w:val="bottom"/>
            <w:tcBorders>
              <w:bottom w:val="single" w:sz="8" w:color="CCCCCC"/>
            </w:tcBorders>
          </w:tcPr>
          <w:p>
            <w:pPr>
              <w:ind w:left="1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CCCCCC"/>
            </w:tcBorders>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CCCC"/>
            </w:tcBorders>
          </w:tcPr>
          <w:p>
            <w:pPr>
              <w:ind w:left="1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20" w:type="dxa"/>
            <w:vAlign w:val="bottom"/>
            <w:tcBorders>
              <w:bottom w:val="single" w:sz="8" w:color="CCCCCC"/>
            </w:tcBorders>
          </w:tcPr>
          <w:p>
            <w:pPr>
              <w:ind w:lef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5/05/2023</w:t>
            </w:r>
          </w:p>
        </w:tc>
        <w:tc>
          <w:tcPr>
            <w:tcW w:w="460" w:type="dxa"/>
            <w:vAlign w:val="bottom"/>
            <w:tcBorders>
              <w:bottom w:val="single" w:sz="8" w:color="CCCCCC"/>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shd w:val="clear" w:color="auto" w:fill="F2F2F2"/>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​5/05/2026</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shd w:val="clear" w:color="auto" w:fill="F2F2F2"/>
          </w:tcPr>
          <w:p>
            <w:pPr>
              <w:ind w:left="30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CCCC"/>
            </w:tcBorders>
            <w:gridSpan w:val="4"/>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​14,908</w:t>
            </w:r>
            <w:r>
              <w:rPr>
                <w:rFonts w:ascii="Arial" w:cs="Arial" w:eastAsia="Arial" w:hAnsi="Arial"/>
                <w:sz w:val="25"/>
                <w:szCs w:val="25"/>
                <w:color w:val="auto"/>
                <w:vertAlign w:val="subscript"/>
              </w:rPr>
              <w:t>​ ​</w:t>
            </w:r>
          </w:p>
        </w:tc>
        <w:tc>
          <w:tcPr>
            <w:tcW w:w="1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00" w:type="dxa"/>
            <w:vAlign w:val="bottom"/>
            <w:tcBorders>
              <w:bottom w:val="single" w:sz="8" w:color="CCCCCC"/>
            </w:tcBorders>
            <w:shd w:val="clear" w:color="auto" w:fill="F2F2F2"/>
          </w:tcPr>
          <w:p>
            <w:pPr>
              <w:ind w:left="1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shd w:val="clear" w:color="auto" w:fill="F2F2F2"/>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CCCC"/>
            </w:tcBorders>
            <w:shd w:val="clear" w:color="auto" w:fill="F2F2F2"/>
          </w:tcPr>
          <w:p>
            <w:pPr>
              <w:ind w:left="1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20" w:type="dxa"/>
            <w:vAlign w:val="bottom"/>
            <w:tcBorders>
              <w:bottom w:val="single" w:sz="8" w:color="CCCCCC"/>
            </w:tcBorders>
            <w:shd w:val="clear" w:color="auto" w:fill="F2F2F2"/>
          </w:tcPr>
          <w:p>
            <w:pPr>
              <w:ind w:lef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7/18/2023</w:t>
            </w:r>
          </w:p>
        </w:tc>
        <w:tc>
          <w:tcPr>
            <w:tcW w:w="460" w:type="dxa"/>
            <w:vAlign w:val="bottom"/>
            <w:tcBorders>
              <w:bottom w:val="single" w:sz="8" w:color="CCCCCC"/>
            </w:tcBorders>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​2/15/2026</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tcPr>
          <w:p>
            <w:pPr>
              <w:ind w:left="30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CCCCCC"/>
            </w:tcBorders>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00" w:type="dxa"/>
            <w:vAlign w:val="bottom"/>
            <w:tcBorders>
              <w:bottom w:val="single" w:sz="8" w:color="CCCCCC"/>
            </w:tcBorders>
          </w:tcPr>
          <w:p>
            <w:pPr>
              <w:ind w:left="1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6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4,671</w:t>
            </w:r>
            <w:r>
              <w:rPr>
                <w:rFonts w:ascii="Arial" w:cs="Arial" w:eastAsia="Arial" w:hAnsi="Arial"/>
                <w:sz w:val="25"/>
                <w:szCs w:val="25"/>
                <w:color w:val="auto"/>
                <w:vertAlign w:val="subscript"/>
              </w:rPr>
              <w:t>​ ​</w:t>
            </w:r>
          </w:p>
        </w:tc>
        <w:tc>
          <w:tcPr>
            <w:tcW w:w="30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CCCC"/>
            </w:tcBorders>
          </w:tcPr>
          <w:p>
            <w:pPr>
              <w:ind w:left="1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20" w:type="dxa"/>
            <w:vAlign w:val="bottom"/>
            <w:tcBorders>
              <w:bottom w:val="single" w:sz="8" w:color="CCCCCC"/>
            </w:tcBorders>
          </w:tcPr>
          <w:p>
            <w:pPr>
              <w:ind w:lef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2/15/2024</w:t>
            </w:r>
          </w:p>
        </w:tc>
        <w:tc>
          <w:tcPr>
            <w:tcW w:w="460" w:type="dxa"/>
            <w:vAlign w:val="bottom"/>
            <w:tcBorders>
              <w:bottom w:val="single" w:sz="8" w:color="CCCCCC"/>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shd w:val="clear" w:color="auto" w:fill="F2F2F2"/>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​2/15/2025</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gridSpan w:val="4"/>
            <w:shd w:val="clear" w:color="auto" w:fill="F2F2F2"/>
          </w:tcPr>
          <w:p>
            <w:pPr>
              <w:jc w:val="right"/>
              <w:ind w:right="17"/>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17,193</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4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13"/>
                <w:szCs w:val="13"/>
                <w:color w:val="auto"/>
              </w:rPr>
              <w:t>5,637</w:t>
            </w:r>
            <w:r>
              <w:rPr>
                <w:rFonts w:ascii="Arial" w:cs="Arial" w:eastAsia="Arial" w:hAnsi="Arial"/>
                <w:sz w:val="25"/>
                <w:szCs w:val="25"/>
                <w:color w:val="auto"/>
                <w:vertAlign w:val="subscript"/>
              </w:rPr>
              <w:t>​ ​</w:t>
            </w:r>
          </w:p>
        </w:tc>
        <w:tc>
          <w:tcPr>
            <w:tcW w:w="1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5,637</w:t>
            </w:r>
          </w:p>
        </w:tc>
        <w:tc>
          <w:tcPr>
            <w:tcW w:w="200" w:type="dxa"/>
            <w:vAlign w:val="bottom"/>
            <w:tcBorders>
              <w:bottom w:val="single" w:sz="8" w:color="CCCCCC"/>
            </w:tcBorders>
            <w:gridSpan w:val="2"/>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shd w:val="clear" w:color="auto" w:fill="F2F2F2"/>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6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13"/>
                <w:szCs w:val="13"/>
                <w:color w:val="auto"/>
              </w:rPr>
              <w:t>3,140</w:t>
            </w:r>
            <w:r>
              <w:rPr>
                <w:rFonts w:ascii="Arial" w:cs="Arial" w:eastAsia="Arial" w:hAnsi="Arial"/>
                <w:sz w:val="25"/>
                <w:szCs w:val="25"/>
                <w:color w:val="auto"/>
                <w:vertAlign w:val="subscript"/>
              </w:rPr>
              <w:t>​ ​</w:t>
            </w:r>
          </w:p>
        </w:tc>
        <w:tc>
          <w:tcPr>
            <w:tcW w:w="30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shd w:val="clear" w:color="auto" w:fill="F2F2F2"/>
          </w:tcPr>
          <w:p>
            <w:pPr>
              <w:ind w:left="1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2,841</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2/15/2024</w:t>
            </w:r>
          </w:p>
        </w:tc>
        <w:tc>
          <w:tcPr>
            <w:tcW w:w="460" w:type="dxa"/>
            <w:vAlign w:val="bottom"/>
            <w:tcBorders>
              <w:bottom w:val="single" w:sz="8" w:color="CCCCCC"/>
            </w:tcBorders>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​2/15/2026</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gridSpan w:val="4"/>
          </w:tcPr>
          <w:p>
            <w:pPr>
              <w:jc w:val="right"/>
              <w:ind w:right="17"/>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17,193</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4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5,636</w:t>
            </w:r>
            <w:r>
              <w:rPr>
                <w:rFonts w:ascii="Arial" w:cs="Arial" w:eastAsia="Arial" w:hAnsi="Arial"/>
                <w:sz w:val="25"/>
                <w:szCs w:val="25"/>
                <w:color w:val="auto"/>
                <w:vertAlign w:val="subscript"/>
              </w:rPr>
              <w:t>​ ​</w:t>
            </w:r>
          </w:p>
        </w:tc>
        <w:tc>
          <w:tcPr>
            <w:tcW w:w="18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5,636</w:t>
            </w:r>
          </w:p>
        </w:tc>
        <w:tc>
          <w:tcPr>
            <w:tcW w:w="200" w:type="dxa"/>
            <w:vAlign w:val="bottom"/>
            <w:tcBorders>
              <w:bottom w:val="single" w:sz="8" w:color="CCCCCC"/>
            </w:tcBorders>
            <w:gridSpan w:val="2"/>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CCCC"/>
            </w:tcBorders>
          </w:tcPr>
          <w:p>
            <w:pPr>
              <w:ind w:left="2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6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3,140</w:t>
            </w:r>
            <w:r>
              <w:rPr>
                <w:rFonts w:ascii="Arial" w:cs="Arial" w:eastAsia="Arial" w:hAnsi="Arial"/>
                <w:sz w:val="25"/>
                <w:szCs w:val="25"/>
                <w:color w:val="auto"/>
                <w:vertAlign w:val="subscript"/>
              </w:rPr>
              <w:t>​ ​</w:t>
            </w:r>
          </w:p>
        </w:tc>
        <w:tc>
          <w:tcPr>
            <w:tcW w:w="30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1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2,841</w:t>
            </w:r>
          </w:p>
        </w:tc>
        <w:tc>
          <w:tcPr>
            <w:tcW w:w="60" w:type="dxa"/>
            <w:vAlign w:val="bottom"/>
            <w:tcBorders>
              <w:bottom w:val="single" w:sz="8" w:color="CCCCCC"/>
            </w:tcBorders>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11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2/15/2024</w:t>
            </w:r>
          </w:p>
        </w:tc>
        <w:tc>
          <w:tcPr>
            <w:tcW w:w="460" w:type="dxa"/>
            <w:vAlign w:val="bottom"/>
            <w:tcBorders>
              <w:bottom w:val="single" w:sz="8" w:color="CCCCCC"/>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Stock Award</w:t>
            </w:r>
          </w:p>
        </w:tc>
        <w:tc>
          <w:tcPr>
            <w:tcW w:w="1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CCCC"/>
            </w:tcBorders>
            <w:gridSpan w:val="3"/>
            <w:shd w:val="clear" w:color="auto" w:fill="F2F2F2"/>
          </w:tcPr>
          <w:p>
            <w:pPr>
              <w:jc w:val="right"/>
              <w:ind w:right="21"/>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​2/15/2027</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CCCC"/>
            </w:tcBorders>
            <w:gridSpan w:val="4"/>
            <w:shd w:val="clear" w:color="auto" w:fill="F2F2F2"/>
          </w:tcPr>
          <w:p>
            <w:pPr>
              <w:jc w:val="right"/>
              <w:ind w:right="17"/>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17,193</w:t>
            </w:r>
            <w:r>
              <w:rPr>
                <w:rFonts w:ascii="Arial" w:cs="Arial" w:eastAsia="Arial" w:hAnsi="Arial"/>
                <w:sz w:val="25"/>
                <w:szCs w:val="25"/>
                <w:color w:val="auto"/>
                <w:vertAlign w:val="subscript"/>
              </w:rPr>
              <w:t>​ ​</w:t>
            </w:r>
          </w:p>
        </w:tc>
        <w:tc>
          <w:tcPr>
            <w:tcW w:w="240" w:type="dxa"/>
            <w:vAlign w:val="bottom"/>
            <w:tcBorders>
              <w:bottom w:val="single" w:sz="8" w:color="CCCCCC"/>
            </w:tcBorders>
            <w:gridSpan w:val="2"/>
            <w:shd w:val="clear" w:color="auto" w:fill="F2F2F2"/>
          </w:tcPr>
          <w:p>
            <w:pPr>
              <w:ind w:left="80"/>
              <w:spacing w:after="0" w:line="25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5,636</w:t>
            </w:r>
            <w:r>
              <w:rPr>
                <w:rFonts w:ascii="Arial" w:cs="Arial" w:eastAsia="Arial" w:hAnsi="Arial"/>
                <w:sz w:val="25"/>
                <w:szCs w:val="25"/>
                <w:color w:val="auto"/>
                <w:vertAlign w:val="subscript"/>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5,636</w:t>
            </w:r>
          </w:p>
        </w:tc>
        <w:tc>
          <w:tcPr>
            <w:tcW w:w="200" w:type="dxa"/>
            <w:vAlign w:val="bottom"/>
            <w:tcBorders>
              <w:bottom w:val="single" w:sz="8" w:color="CCCCCC"/>
            </w:tcBorders>
            <w:gridSpan w:val="2"/>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220" w:type="dxa"/>
            <w:vAlign w:val="bottom"/>
            <w:tcBorders>
              <w:bottom w:val="single" w:sz="8" w:color="CCCCCC"/>
            </w:tcBorders>
            <w:gridSpan w:val="2"/>
            <w:shd w:val="clear" w:color="auto" w:fill="F2F2F2"/>
          </w:tcPr>
          <w:p>
            <w:pPr>
              <w:ind w:left="80"/>
              <w:spacing w:after="0" w:line="25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4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3,139</w:t>
            </w:r>
            <w:r>
              <w:rPr>
                <w:rFonts w:ascii="Arial" w:cs="Arial" w:eastAsia="Arial" w:hAnsi="Arial"/>
                <w:sz w:val="25"/>
                <w:szCs w:val="25"/>
                <w:color w:val="auto"/>
                <w:vertAlign w:val="subscript"/>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shd w:val="clear" w:color="auto" w:fill="F2F2F2"/>
          </w:tcPr>
          <w:p>
            <w:pPr>
              <w:ind w:left="1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2,840</w:t>
            </w:r>
          </w:p>
        </w:tc>
        <w:tc>
          <w:tcPr>
            <w:tcW w:w="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8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color w:val="auto"/>
                <w:w w:val="93"/>
              </w:rPr>
              <w:t>​101,375</w:t>
            </w:r>
          </w:p>
        </w:tc>
        <w:tc>
          <w:tcPr>
            <w:tcW w:w="20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color w:val="auto"/>
              </w:rPr>
              <w:t>​95,709</w:t>
            </w:r>
          </w:p>
        </w:tc>
        <w:tc>
          <w:tcPr>
            <w:tcW w:w="140" w:type="dxa"/>
            <w:vAlign w:val="bottom"/>
          </w:tcPr>
          <w:p>
            <w:pPr>
              <w:spacing w:after="0"/>
              <w:rPr>
                <w:sz w:val="13"/>
                <w:szCs w:val="13"/>
                <w:color w:val="auto"/>
              </w:rPr>
            </w:pPr>
          </w:p>
        </w:tc>
        <w:tc>
          <w:tcPr>
            <w:tcW w:w="18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60"/>
              <w:spacing w:after="0"/>
              <w:rPr>
                <w:sz w:val="20"/>
                <w:szCs w:val="20"/>
                <w:color w:val="auto"/>
              </w:rPr>
            </w:pPr>
            <w:r>
              <w:rPr>
                <w:rFonts w:ascii="Arial" w:cs="Arial" w:eastAsia="Arial" w:hAnsi="Arial"/>
                <w:sz w:val="13"/>
                <w:szCs w:val="13"/>
                <w:color w:val="auto"/>
              </w:rPr>
              <w:t>​42,774</w:t>
            </w:r>
          </w:p>
        </w:tc>
        <w:tc>
          <w:tcPr>
            <w:tcW w:w="20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3"/>
                <w:szCs w:val="13"/>
                <w:color w:val="auto"/>
              </w:rPr>
            </w:pPr>
          </w:p>
        </w:tc>
        <w:tc>
          <w:tcPr>
            <w:tcW w:w="480" w:type="dxa"/>
            <w:vAlign w:val="bottom"/>
            <w:gridSpan w:val="2"/>
          </w:tcPr>
          <w:p>
            <w:pPr>
              <w:ind w:left="40"/>
              <w:spacing w:after="0"/>
              <w:rPr>
                <w:sz w:val="20"/>
                <w:szCs w:val="20"/>
                <w:color w:val="auto"/>
              </w:rPr>
            </w:pPr>
            <w:r>
              <w:rPr>
                <w:rFonts w:ascii="Arial" w:cs="Arial" w:eastAsia="Arial" w:hAnsi="Arial"/>
                <w:sz w:val="13"/>
                <w:szCs w:val="13"/>
                <w:color w:val="auto"/>
              </w:rPr>
              <w:t>​30,668</w:t>
            </w:r>
          </w:p>
        </w:tc>
        <w:tc>
          <w:tcPr>
            <w:tcW w:w="14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​22,624</w:t>
            </w:r>
          </w:p>
        </w:tc>
        <w:tc>
          <w:tcPr>
            <w:tcW w:w="20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color w:val="auto"/>
                <w:w w:val="93"/>
              </w:rPr>
              <w:t>​163,815</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4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vMerge w:val="continue"/>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22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 ​</w:t>
            </w:r>
          </w:p>
        </w:tc>
        <w:tc>
          <w:tcPr>
            <w:tcW w:w="48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jc w:val="right"/>
              <w:ind w:right="21"/>
              <w:spacing w:after="0" w:line="95" w:lineRule="exact"/>
              <w:rPr>
                <w:sz w:val="20"/>
                <w:szCs w:val="20"/>
                <w:color w:val="auto"/>
              </w:rPr>
            </w:pPr>
            <w:r>
              <w:rPr>
                <w:rFonts w:ascii="Arial" w:cs="Arial" w:eastAsia="Arial" w:hAnsi="Arial"/>
                <w:sz w:val="10"/>
                <w:szCs w:val="10"/>
                <w:color w:val="auto"/>
              </w:rPr>
              <w:t>​ ​</w:t>
            </w:r>
          </w:p>
        </w:tc>
        <w:tc>
          <w:tcPr>
            <w:tcW w:w="220" w:type="dxa"/>
            <w:vAlign w:val="bottom"/>
            <w:tcBorders>
              <w:bottom w:val="single" w:sz="8" w:color="CCCCCC"/>
            </w:tcBorders>
            <w:gridSpan w:val="2"/>
          </w:tcPr>
          <w:p>
            <w:pPr>
              <w:ind w:left="80"/>
              <w:spacing w:after="0" w:line="95" w:lineRule="exact"/>
              <w:rPr>
                <w:sz w:val="20"/>
                <w:szCs w:val="20"/>
                <w:color w:val="auto"/>
              </w:rPr>
            </w:pPr>
            <w:r>
              <w:rPr>
                <w:rFonts w:ascii="Arial" w:cs="Arial" w:eastAsia="Arial" w:hAnsi="Arial"/>
                <w:sz w:val="10"/>
                <w:szCs w:val="10"/>
                <w:color w:val="auto"/>
              </w:rPr>
              <w:t>​ ​</w:t>
            </w:r>
          </w:p>
        </w:tc>
        <w:tc>
          <w:tcPr>
            <w:tcW w:w="42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gridSpan w:val="2"/>
            <w:vMerge w:val="continue"/>
          </w:tcPr>
          <w:p>
            <w:pPr>
              <w:spacing w:after="0"/>
              <w:rPr>
                <w:sz w:val="8"/>
                <w:szCs w:val="8"/>
                <w:color w:val="auto"/>
              </w:rPr>
            </w:pPr>
          </w:p>
        </w:tc>
        <w:tc>
          <w:tcPr>
            <w:tcW w:w="240" w:type="dxa"/>
            <w:vAlign w:val="bottom"/>
            <w:tcBorders>
              <w:bottom w:val="single" w:sz="8" w:color="CCCCCC"/>
            </w:tcBorders>
            <w:gridSpan w:val="2"/>
          </w:tcPr>
          <w:p>
            <w:pPr>
              <w:ind w:left="80"/>
              <w:spacing w:after="0" w:line="95" w:lineRule="exact"/>
              <w:rPr>
                <w:sz w:val="20"/>
                <w:szCs w:val="20"/>
                <w:color w:val="auto"/>
              </w:rPr>
            </w:pPr>
            <w:r>
              <w:rPr>
                <w:rFonts w:ascii="Arial" w:cs="Arial" w:eastAsia="Arial" w:hAnsi="Arial"/>
                <w:sz w:val="10"/>
                <w:szCs w:val="10"/>
                <w:color w:val="auto"/>
              </w:rPr>
              <w:t>​ ​</w:t>
            </w:r>
          </w:p>
        </w:tc>
        <w:tc>
          <w:tcPr>
            <w:tcW w:w="540" w:type="dxa"/>
            <w:vAlign w:val="bottom"/>
            <w:tcBorders>
              <w:bottom w:val="single" w:sz="8" w:color="CCCCCC"/>
            </w:tcBorders>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180" w:type="dxa"/>
            <w:vAlign w:val="bottom"/>
            <w:tcBorders>
              <w:bottom w:val="single" w:sz="8" w:color="CCCCCC"/>
            </w:tcBorders>
            <w:vMerge w:val="continue"/>
          </w:tcPr>
          <w:p>
            <w:pPr>
              <w:spacing w:after="0"/>
              <w:rPr>
                <w:sz w:val="8"/>
                <w:szCs w:val="8"/>
                <w:color w:val="auto"/>
              </w:rPr>
            </w:pPr>
          </w:p>
        </w:tc>
        <w:tc>
          <w:tcPr>
            <w:tcW w:w="20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gridSpan w:val="2"/>
            <w:vMerge w:val="continue"/>
          </w:tcPr>
          <w:p>
            <w:pPr>
              <w:spacing w:after="0"/>
              <w:rPr>
                <w:sz w:val="8"/>
                <w:szCs w:val="8"/>
                <w:color w:val="auto"/>
              </w:rPr>
            </w:pPr>
          </w:p>
        </w:tc>
        <w:tc>
          <w:tcPr>
            <w:tcW w:w="220" w:type="dxa"/>
            <w:vAlign w:val="bottom"/>
            <w:tcBorders>
              <w:bottom w:val="single" w:sz="8" w:color="CCCCCC"/>
            </w:tcBorders>
            <w:gridSpan w:val="2"/>
          </w:tcPr>
          <w:p>
            <w:pPr>
              <w:ind w:left="80"/>
              <w:spacing w:after="0" w:line="95" w:lineRule="exact"/>
              <w:rPr>
                <w:sz w:val="20"/>
                <w:szCs w:val="20"/>
                <w:color w:val="auto"/>
              </w:rPr>
            </w:pPr>
            <w:r>
              <w:rPr>
                <w:rFonts w:ascii="Arial" w:cs="Arial" w:eastAsia="Arial" w:hAnsi="Arial"/>
                <w:sz w:val="10"/>
                <w:szCs w:val="10"/>
                <w:color w:val="auto"/>
              </w:rPr>
              <w:t>​ ​</w:t>
            </w:r>
          </w:p>
        </w:tc>
        <w:tc>
          <w:tcPr>
            <w:tcW w:w="560" w:type="dxa"/>
            <w:vAlign w:val="bottom"/>
            <w:tcBorders>
              <w:bottom w:val="single" w:sz="8" w:color="CCCCCC"/>
            </w:tcBorders>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300" w:type="dxa"/>
            <w:vAlign w:val="bottom"/>
            <w:tcBorders>
              <w:bottom w:val="single" w:sz="8" w:color="CCCCCC"/>
            </w:tcBorders>
            <w:vMerge w:val="continue"/>
          </w:tcPr>
          <w:p>
            <w:pPr>
              <w:spacing w:after="0"/>
              <w:rPr>
                <w:sz w:val="8"/>
                <w:szCs w:val="8"/>
                <w:color w:val="auto"/>
              </w:rPr>
            </w:pPr>
          </w:p>
        </w:tc>
        <w:tc>
          <w:tcPr>
            <w:tcW w:w="320" w:type="dxa"/>
            <w:vAlign w:val="bottom"/>
            <w:tcBorders>
              <w:bottom w:val="single" w:sz="8" w:color="CCCCCC"/>
            </w:tcBorders>
          </w:tcPr>
          <w:p>
            <w:pPr>
              <w:ind w:left="160"/>
              <w:spacing w:after="0" w:line="9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gridSpan w:val="2"/>
            <w:vMerge w:val="continue"/>
          </w:tcPr>
          <w:p>
            <w:pPr>
              <w:spacing w:after="0"/>
              <w:rPr>
                <w:sz w:val="8"/>
                <w:szCs w:val="8"/>
                <w:color w:val="auto"/>
              </w:rPr>
            </w:pPr>
          </w:p>
        </w:tc>
        <w:tc>
          <w:tcPr>
            <w:tcW w:w="240" w:type="dxa"/>
            <w:vAlign w:val="bottom"/>
            <w:tcBorders>
              <w:bottom w:val="single" w:sz="8" w:color="CCCCCC"/>
            </w:tcBorders>
            <w:gridSpan w:val="2"/>
          </w:tcPr>
          <w:p>
            <w:pPr>
              <w:ind w:left="80"/>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20" w:hanging="189"/>
        <w:spacing w:after="0"/>
        <w:tabs>
          <w:tab w:leader="none" w:pos="920" w:val="left"/>
        </w:tabs>
        <w:numPr>
          <w:ilvl w:val="0"/>
          <w:numId w:val="118"/>
        </w:numPr>
        <w:rPr>
          <w:rFonts w:ascii="Arial" w:cs="Arial" w:eastAsia="Arial" w:hAnsi="Arial"/>
          <w:sz w:val="20"/>
          <w:szCs w:val="20"/>
          <w:color w:val="auto"/>
          <w:vertAlign w:val="superscript"/>
        </w:rPr>
      </w:pPr>
      <w:r>
        <w:rPr>
          <w:rFonts w:ascii="Arial" w:cs="Arial" w:eastAsia="Arial" w:hAnsi="Arial"/>
          <w:sz w:val="13"/>
          <w:szCs w:val="13"/>
          <w:color w:val="auto"/>
        </w:rPr>
        <w:t>Outstanding performance share unit awards will vest on the following dates:</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1020" w:type="dxa"/>
            <w:vAlign w:val="bottom"/>
            <w:shd w:val="clear" w:color="auto" w:fill="003763"/>
          </w:tcPr>
          <w:p>
            <w:pPr>
              <w:spacing w:after="0"/>
              <w:rPr>
                <w:sz w:val="14"/>
                <w:szCs w:val="14"/>
                <w:color w:val="auto"/>
              </w:rPr>
            </w:pPr>
          </w:p>
        </w:tc>
        <w:tc>
          <w:tcPr>
            <w:tcW w:w="50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98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Type of Stock</w:t>
            </w:r>
          </w:p>
        </w:tc>
        <w:tc>
          <w:tcPr>
            <w:tcW w:w="18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58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Vesting</w:t>
            </w:r>
          </w:p>
        </w:tc>
        <w:tc>
          <w:tcPr>
            <w:tcW w:w="2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42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36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54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rPr>
              <w:t>Harkel-</w:t>
            </w:r>
          </w:p>
        </w:tc>
        <w:tc>
          <w:tcPr>
            <w:tcW w:w="24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40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00" w:type="dxa"/>
            <w:vAlign w:val="bottom"/>
            <w:gridSpan w:val="2"/>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Grant Date</w:t>
            </w:r>
          </w:p>
        </w:tc>
        <w:tc>
          <w:tcPr>
            <w:tcW w:w="500" w:type="dxa"/>
            <w:vAlign w:val="bottom"/>
            <w:shd w:val="clear" w:color="auto" w:fill="003763"/>
          </w:tcPr>
          <w:p>
            <w:pPr>
              <w:ind w:left="380"/>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3763"/>
          </w:tcPr>
          <w:p>
            <w:pPr>
              <w:ind w:left="300"/>
              <w:spacing w:after="0"/>
              <w:rPr>
                <w:sz w:val="20"/>
                <w:szCs w:val="20"/>
                <w:color w:val="auto"/>
              </w:rPr>
            </w:pPr>
            <w:r>
              <w:rPr>
                <w:rFonts w:ascii="Arial" w:cs="Arial" w:eastAsia="Arial" w:hAnsi="Arial"/>
                <w:sz w:val="13"/>
                <w:szCs w:val="13"/>
                <w:b w:val="1"/>
                <w:bCs w:val="1"/>
                <w:color w:val="FFFFFF"/>
              </w:rPr>
              <w:t>Award</w:t>
            </w:r>
          </w:p>
        </w:tc>
        <w:tc>
          <w:tcPr>
            <w:tcW w:w="18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580" w:type="dxa"/>
            <w:vAlign w:val="bottom"/>
            <w:shd w:val="clear" w:color="auto" w:fill="003763"/>
          </w:tcPr>
          <w:p>
            <w:pPr>
              <w:ind w:left="120"/>
              <w:spacing w:after="0"/>
              <w:rPr>
                <w:sz w:val="20"/>
                <w:szCs w:val="20"/>
                <w:color w:val="auto"/>
              </w:rPr>
            </w:pPr>
            <w:r>
              <w:rPr>
                <w:rFonts w:ascii="Arial" w:cs="Arial" w:eastAsia="Arial" w:hAnsi="Arial"/>
                <w:sz w:val="13"/>
                <w:szCs w:val="13"/>
                <w:b w:val="1"/>
                <w:bCs w:val="1"/>
                <w:color w:val="FFFFFF"/>
              </w:rPr>
              <w:t>Date</w:t>
            </w:r>
          </w:p>
        </w:tc>
        <w:tc>
          <w:tcPr>
            <w:tcW w:w="220" w:type="dxa"/>
            <w:vAlign w:val="bottom"/>
            <w:shd w:val="clear" w:color="auto" w:fill="003763"/>
          </w:tcPr>
          <w:p>
            <w:pPr>
              <w:jc w:val="right"/>
              <w:ind w:right="19"/>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Wells</w:t>
            </w:r>
          </w:p>
        </w:tc>
        <w:tc>
          <w:tcPr>
            <w:tcW w:w="22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66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Foster</w:t>
            </w:r>
          </w:p>
        </w:tc>
        <w:tc>
          <w:tcPr>
            <w:tcW w:w="220" w:type="dxa"/>
            <w:vAlign w:val="bottom"/>
            <w:shd w:val="clear" w:color="auto" w:fill="003763"/>
          </w:tcPr>
          <w:p>
            <w:pPr>
              <w:jc w:val="right"/>
              <w:ind w:right="37"/>
              <w:spacing w:after="0"/>
              <w:rPr>
                <w:sz w:val="20"/>
                <w:szCs w:val="20"/>
                <w:color w:val="auto"/>
              </w:rPr>
            </w:pPr>
            <w:r>
              <w:rPr>
                <w:rFonts w:ascii="Arial" w:cs="Arial" w:eastAsia="Arial" w:hAnsi="Arial"/>
                <w:sz w:val="13"/>
                <w:szCs w:val="13"/>
                <w:b w:val="1"/>
                <w:bCs w:val="1"/>
                <w:color w:val="FFFFFF"/>
              </w:rPr>
              <w:t>​</w:t>
            </w:r>
          </w:p>
        </w:tc>
        <w:tc>
          <w:tcPr>
            <w:tcW w:w="68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w:t>
            </w:r>
          </w:p>
        </w:tc>
        <w:tc>
          <w:tcPr>
            <w:tcW w:w="22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3763"/>
          </w:tcPr>
          <w:p>
            <w:pPr>
              <w:jc w:val="right"/>
              <w:ind w:right="62"/>
              <w:spacing w:after="0"/>
              <w:rPr>
                <w:sz w:val="20"/>
                <w:szCs w:val="20"/>
                <w:color w:val="auto"/>
              </w:rPr>
            </w:pPr>
            <w:r>
              <w:rPr>
                <w:rFonts w:ascii="Arial" w:cs="Arial" w:eastAsia="Arial" w:hAnsi="Arial"/>
                <w:sz w:val="13"/>
                <w:szCs w:val="13"/>
                <w:b w:val="1"/>
                <w:bCs w:val="1"/>
                <w:color w:val="FFFFFF"/>
              </w:rPr>
              <w:t>​</w:t>
            </w:r>
          </w:p>
        </w:tc>
        <w:tc>
          <w:tcPr>
            <w:tcW w:w="3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w w:val="94"/>
              </w:rPr>
              <w:t>Ryan</w:t>
            </w:r>
          </w:p>
        </w:tc>
        <w:tc>
          <w:tcPr>
            <w:tcW w:w="220" w:type="dxa"/>
            <w:vAlign w:val="bottom"/>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540" w:type="dxa"/>
            <w:vAlign w:val="bottom"/>
            <w:gridSpan w:val="2"/>
            <w:shd w:val="clear" w:color="auto" w:fill="003763"/>
          </w:tcPr>
          <w:p>
            <w:pPr>
              <w:ind w:left="20"/>
              <w:spacing w:after="0"/>
              <w:rPr>
                <w:sz w:val="20"/>
                <w:szCs w:val="20"/>
                <w:color w:val="auto"/>
              </w:rPr>
            </w:pPr>
            <w:r>
              <w:rPr>
                <w:rFonts w:ascii="Arial" w:cs="Arial" w:eastAsia="Arial" w:hAnsi="Arial"/>
                <w:sz w:val="13"/>
                <w:szCs w:val="13"/>
                <w:b w:val="1"/>
                <w:bCs w:val="1"/>
                <w:color w:val="FFFFFF"/>
                <w:w w:val="92"/>
              </w:rPr>
              <w:t>Rumford</w:t>
            </w:r>
          </w:p>
        </w:tc>
        <w:tc>
          <w:tcPr>
            <w:tcW w:w="240" w:type="dxa"/>
            <w:vAlign w:val="bottom"/>
            <w:shd w:val="clear" w:color="auto" w:fill="003763"/>
          </w:tcPr>
          <w:p>
            <w:pPr>
              <w:jc w:val="right"/>
              <w:ind w:right="37"/>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3763"/>
          </w:tcPr>
          <w:p>
            <w:pPr>
              <w:jc w:val="right"/>
              <w:ind w:right="82"/>
              <w:spacing w:after="0"/>
              <w:rPr>
                <w:sz w:val="20"/>
                <w:szCs w:val="20"/>
                <w:color w:val="auto"/>
              </w:rPr>
            </w:pPr>
            <w:r>
              <w:rPr>
                <w:rFonts w:ascii="Arial" w:cs="Arial" w:eastAsia="Arial" w:hAnsi="Arial"/>
                <w:sz w:val="13"/>
                <w:szCs w:val="13"/>
                <w:b w:val="1"/>
                <w:bCs w:val="1"/>
                <w:color w:val="FFFFFF"/>
              </w:rPr>
              <w:t>​</w:t>
            </w:r>
          </w:p>
        </w:tc>
        <w:tc>
          <w:tcPr>
            <w:tcW w:w="48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13"/>
                <w:szCs w:val="13"/>
                <w:b w:val="1"/>
                <w:bCs w:val="1"/>
                <w:color w:val="FFFFFF"/>
              </w:rPr>
              <w:t xml:space="preserve">Lesar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Performance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2/15/2023</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ind w:left="160"/>
              <w:spacing w:after="0" w:line="149" w:lineRule="exact"/>
              <w:rPr>
                <w:sz w:val="20"/>
                <w:szCs w:val="20"/>
                <w:color w:val="auto"/>
              </w:rPr>
            </w:pPr>
            <w:r>
              <w:rPr>
                <w:rFonts w:ascii="Arial" w:cs="Arial" w:eastAsia="Arial" w:hAnsi="Arial"/>
                <w:sz w:val="13"/>
                <w:szCs w:val="13"/>
                <w:color w:val="auto"/>
                <w:w w:val="98"/>
              </w:rPr>
              <w:t>Share Units</w:t>
            </w:r>
            <w:r>
              <w:rPr>
                <w:rFonts w:ascii="Arial" w:cs="Arial" w:eastAsia="Arial" w:hAnsi="Arial"/>
                <w:sz w:val="16"/>
                <w:szCs w:val="16"/>
                <w:color w:val="auto"/>
                <w:w w:val="98"/>
                <w:vertAlign w:val="superscript"/>
              </w:rPr>
              <w:t>(a)</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200"/>
              <w:spacing w:after="0"/>
              <w:rPr>
                <w:sz w:val="20"/>
                <w:szCs w:val="20"/>
                <w:color w:val="auto"/>
              </w:rPr>
            </w:pPr>
            <w:r>
              <w:rPr>
                <w:rFonts w:ascii="Arial" w:cs="Arial" w:eastAsia="Arial" w:hAnsi="Arial"/>
                <w:sz w:val="13"/>
                <w:szCs w:val="13"/>
                <w:color w:val="auto"/>
                <w:w w:val="95"/>
              </w:rPr>
              <w:t>​12/31/2025</w:t>
            </w:r>
          </w:p>
        </w:tc>
        <w:tc>
          <w:tcPr>
            <w:tcW w:w="220" w:type="dxa"/>
            <w:vAlign w:val="bottom"/>
            <w:vMerge w:val="restart"/>
          </w:tcPr>
          <w:p>
            <w:pPr>
              <w:jc w:val="right"/>
              <w:ind w:right="19"/>
              <w:spacing w:after="0"/>
              <w:rPr>
                <w:sz w:val="20"/>
                <w:szCs w:val="20"/>
                <w:color w:val="auto"/>
              </w:rPr>
            </w:pPr>
            <w:r>
              <w:rPr>
                <w:rFonts w:ascii="Arial" w:cs="Arial" w:eastAsia="Arial" w:hAnsi="Arial"/>
                <w:sz w:val="13"/>
                <w:szCs w:val="13"/>
                <w:color w:val="auto"/>
              </w:rPr>
              <w:t>​ ​</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w w:val="93"/>
              </w:rPr>
              <w:t>​148,025</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380" w:type="dxa"/>
            <w:vAlign w:val="bottom"/>
          </w:tcPr>
          <w:p>
            <w:pPr>
              <w:jc w:val="right"/>
              <w:ind w:right="102"/>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 68,725</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​38,516</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100"/>
              <w:spacing w:after="0"/>
              <w:rPr>
                <w:sz w:val="20"/>
                <w:szCs w:val="20"/>
                <w:color w:val="auto"/>
              </w:rPr>
            </w:pPr>
            <w:r>
              <w:rPr>
                <w:rFonts w:ascii="Arial" w:cs="Arial" w:eastAsia="Arial" w:hAnsi="Arial"/>
                <w:sz w:val="13"/>
                <w:szCs w:val="13"/>
                <w:color w:val="auto"/>
              </w:rPr>
              <w:t>​34,741</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​373,843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vMerge w:val="continue"/>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26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 ​</w:t>
            </w:r>
          </w:p>
        </w:tc>
        <w:tc>
          <w:tcPr>
            <w:tcW w:w="58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 ​</w:t>
            </w:r>
          </w:p>
        </w:tc>
        <w:tc>
          <w:tcPr>
            <w:tcW w:w="42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jc w:val="right"/>
              <w:ind w:right="102"/>
              <w:spacing w:after="0" w:line="95" w:lineRule="exact"/>
              <w:rPr>
                <w:sz w:val="20"/>
                <w:szCs w:val="20"/>
                <w:color w:val="auto"/>
              </w:rPr>
            </w:pPr>
            <w:r>
              <w:rPr>
                <w:rFonts w:ascii="Arial" w:cs="Arial" w:eastAsia="Arial" w:hAnsi="Arial"/>
                <w:sz w:val="10"/>
                <w:szCs w:val="10"/>
                <w:color w:val="auto"/>
              </w:rPr>
              <w:t>​ ​</w:t>
            </w:r>
          </w:p>
        </w:tc>
        <w:tc>
          <w:tcPr>
            <w:tcW w:w="28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jc w:val="right"/>
              <w:ind w:right="82"/>
              <w:spacing w:after="0" w:line="95" w:lineRule="exact"/>
              <w:rPr>
                <w:sz w:val="20"/>
                <w:szCs w:val="20"/>
                <w:color w:val="auto"/>
              </w:rPr>
            </w:pPr>
            <w:r>
              <w:rPr>
                <w:rFonts w:ascii="Arial" w:cs="Arial" w:eastAsia="Arial" w:hAnsi="Arial"/>
                <w:sz w:val="10"/>
                <w:szCs w:val="10"/>
                <w:color w:val="auto"/>
              </w:rPr>
              <w:t>​  ​</w:t>
            </w:r>
          </w:p>
        </w:tc>
        <w:tc>
          <w:tcPr>
            <w:tcW w:w="3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 ​</w:t>
            </w:r>
          </w:p>
        </w:tc>
        <w:tc>
          <w:tcPr>
            <w:tcW w:w="36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8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980" w:type="dxa"/>
            <w:vAlign w:val="bottom"/>
            <w:shd w:val="clear" w:color="auto" w:fill="F2F2F2"/>
          </w:tcPr>
          <w:p>
            <w:pPr>
              <w:ind w:left="40"/>
              <w:spacing w:after="0"/>
              <w:rPr>
                <w:sz w:val="20"/>
                <w:szCs w:val="20"/>
                <w:color w:val="auto"/>
              </w:rPr>
            </w:pPr>
            <w:r>
              <w:rPr>
                <w:rFonts w:ascii="Arial" w:cs="Arial" w:eastAsia="Arial" w:hAnsi="Arial"/>
                <w:sz w:val="13"/>
                <w:szCs w:val="13"/>
                <w:color w:val="auto"/>
              </w:rPr>
              <w:t>Performance</w:t>
            </w:r>
          </w:p>
        </w:tc>
        <w:tc>
          <w:tcPr>
            <w:tcW w:w="18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shd w:val="clear" w:color="auto" w:fill="F2F2F2"/>
          </w:tcPr>
          <w:p>
            <w:pPr>
              <w:ind w:left="20"/>
              <w:spacing w:after="0"/>
              <w:rPr>
                <w:sz w:val="20"/>
                <w:szCs w:val="20"/>
                <w:color w:val="auto"/>
              </w:rPr>
            </w:pPr>
            <w:r>
              <w:rPr>
                <w:rFonts w:ascii="Arial" w:cs="Arial" w:eastAsia="Arial" w:hAnsi="Arial"/>
                <w:sz w:val="13"/>
                <w:szCs w:val="13"/>
                <w:color w:val="auto"/>
              </w:rPr>
              <w:t>5/05/2023</w:t>
            </w:r>
          </w:p>
        </w:tc>
        <w:tc>
          <w:tcPr>
            <w:tcW w:w="500" w:type="dxa"/>
            <w:vAlign w:val="bottom"/>
            <w:vMerge w:val="restart"/>
            <w:shd w:val="clear" w:color="auto" w:fill="F2F2F2"/>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ind w:left="160"/>
              <w:spacing w:after="0" w:line="149" w:lineRule="exact"/>
              <w:rPr>
                <w:sz w:val="20"/>
                <w:szCs w:val="20"/>
                <w:color w:val="auto"/>
              </w:rPr>
            </w:pPr>
            <w:r>
              <w:rPr>
                <w:rFonts w:ascii="Arial" w:cs="Arial" w:eastAsia="Arial" w:hAnsi="Arial"/>
                <w:sz w:val="13"/>
                <w:szCs w:val="13"/>
                <w:color w:val="auto"/>
                <w:w w:val="98"/>
              </w:rPr>
              <w:t>Share Units</w:t>
            </w:r>
            <w:r>
              <w:rPr>
                <w:rFonts w:ascii="Arial" w:cs="Arial" w:eastAsia="Arial" w:hAnsi="Arial"/>
                <w:sz w:val="16"/>
                <w:szCs w:val="16"/>
                <w:color w:val="auto"/>
                <w:w w:val="98"/>
                <w:vertAlign w:val="superscript"/>
              </w:rPr>
              <w:t>(a)</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F2F2F2"/>
          </w:tcPr>
          <w:p>
            <w:pPr>
              <w:ind w:left="200"/>
              <w:spacing w:after="0"/>
              <w:rPr>
                <w:sz w:val="20"/>
                <w:szCs w:val="20"/>
                <w:color w:val="auto"/>
              </w:rPr>
            </w:pPr>
            <w:r>
              <w:rPr>
                <w:rFonts w:ascii="Arial" w:cs="Arial" w:eastAsia="Arial" w:hAnsi="Arial"/>
                <w:sz w:val="13"/>
                <w:szCs w:val="13"/>
                <w:color w:val="auto"/>
                <w:w w:val="95"/>
              </w:rPr>
              <w:t>​12/31/2025</w:t>
            </w:r>
          </w:p>
        </w:tc>
        <w:tc>
          <w:tcPr>
            <w:tcW w:w="220" w:type="dxa"/>
            <w:vAlign w:val="bottom"/>
            <w:vMerge w:val="restart"/>
            <w:shd w:val="clear" w:color="auto" w:fill="F2F2F2"/>
          </w:tcPr>
          <w:p>
            <w:pPr>
              <w:jc w:val="right"/>
              <w:ind w:right="19"/>
              <w:spacing w:after="0"/>
              <w:rPr>
                <w:sz w:val="20"/>
                <w:szCs w:val="20"/>
                <w:color w:val="auto"/>
              </w:rPr>
            </w:pPr>
            <w:r>
              <w:rPr>
                <w:rFonts w:ascii="Arial" w:cs="Arial" w:eastAsia="Arial" w:hAnsi="Arial"/>
                <w:sz w:val="13"/>
                <w:szCs w:val="13"/>
                <w:color w:val="auto"/>
              </w:rPr>
              <w:t>​ ​</w:t>
            </w:r>
          </w:p>
        </w:tc>
        <w:tc>
          <w:tcPr>
            <w:tcW w:w="240" w:type="dxa"/>
            <w:vAlign w:val="bottom"/>
            <w:shd w:val="clear" w:color="auto" w:fill="F2F2F2"/>
          </w:tcPr>
          <w:p>
            <w:pPr>
              <w:ind w:lef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F2F2F2"/>
          </w:tcPr>
          <w:p>
            <w:pPr>
              <w:ind w:left="280"/>
              <w:spacing w:after="0"/>
              <w:rPr>
                <w:sz w:val="20"/>
                <w:szCs w:val="20"/>
                <w:color w:val="auto"/>
              </w:rPr>
            </w:pPr>
            <w:r>
              <w:rPr>
                <w:rFonts w:ascii="Arial" w:cs="Arial" w:eastAsia="Arial" w:hAnsi="Arial"/>
                <w:sz w:val="13"/>
                <w:szCs w:val="13"/>
                <w:color w:val="auto"/>
                <w:w w:val="91"/>
              </w:rPr>
              <w:t>—</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66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 65,598</w:t>
            </w:r>
          </w:p>
        </w:tc>
        <w:tc>
          <w:tcPr>
            <w:tcW w:w="220" w:type="dxa"/>
            <w:vAlign w:val="bottom"/>
            <w:vMerge w:val="restart"/>
            <w:shd w:val="clear" w:color="auto" w:fill="F2F2F2"/>
          </w:tcPr>
          <w:p>
            <w:pPr>
              <w:jc w:val="right"/>
              <w:ind w:right="37"/>
              <w:spacing w:after="0"/>
              <w:rPr>
                <w:sz w:val="20"/>
                <w:szCs w:val="20"/>
                <w:color w:val="auto"/>
              </w:rPr>
            </w:pPr>
            <w:r>
              <w:rPr>
                <w:rFonts w:ascii="Arial" w:cs="Arial" w:eastAsia="Arial" w:hAnsi="Arial"/>
                <w:sz w:val="13"/>
                <w:szCs w:val="13"/>
                <w:color w:val="auto"/>
              </w:rPr>
              <w:t>​ ​</w:t>
            </w:r>
          </w:p>
        </w:tc>
        <w:tc>
          <w:tcPr>
            <w:tcW w:w="380" w:type="dxa"/>
            <w:vAlign w:val="bottom"/>
            <w:shd w:val="clear" w:color="auto" w:fill="F2F2F2"/>
          </w:tcPr>
          <w:p>
            <w:pPr>
              <w:jc w:val="right"/>
              <w:ind w:right="82"/>
              <w:spacing w:after="0"/>
              <w:rPr>
                <w:sz w:val="20"/>
                <w:szCs w:val="20"/>
                <w:color w:val="auto"/>
              </w:rPr>
            </w:pPr>
            <w:r>
              <w:rPr>
                <w:rFonts w:ascii="Arial" w:cs="Arial" w:eastAsia="Arial" w:hAnsi="Arial"/>
                <w:sz w:val="13"/>
                <w:szCs w:val="13"/>
                <w:color w:val="auto"/>
              </w:rPr>
              <w:t>​</w:t>
            </w:r>
          </w:p>
        </w:tc>
        <w:tc>
          <w:tcPr>
            <w:tcW w:w="3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2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vMerge w:val="restart"/>
            <w:shd w:val="clear" w:color="auto" w:fill="F2F2F2"/>
          </w:tcPr>
          <w:p>
            <w:pPr>
              <w:ind w:lef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F2F2F2"/>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F2F2F2"/>
          </w:tcPr>
          <w:p>
            <w:pPr>
              <w:jc w:val="right"/>
              <w:ind w:right="37"/>
              <w:spacing w:after="0"/>
              <w:rPr>
                <w:sz w:val="20"/>
                <w:szCs w:val="20"/>
                <w:color w:val="auto"/>
              </w:rPr>
            </w:pPr>
            <w:r>
              <w:rPr>
                <w:rFonts w:ascii="Arial" w:cs="Arial" w:eastAsia="Arial" w:hAnsi="Arial"/>
                <w:sz w:val="13"/>
                <w:szCs w:val="13"/>
                <w:color w:val="auto"/>
              </w:rPr>
              <w:t>​ ​</w:t>
            </w:r>
          </w:p>
        </w:tc>
        <w:tc>
          <w:tcPr>
            <w:tcW w:w="2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500" w:type="dxa"/>
            <w:vAlign w:val="bottom"/>
            <w:tcBorders>
              <w:bottom w:val="single" w:sz="8" w:color="CCCCCC"/>
            </w:tcBorders>
            <w:vMerge w:val="continue"/>
            <w:shd w:val="clear" w:color="auto" w:fill="F2F2F2"/>
          </w:tcPr>
          <w:p>
            <w:pPr>
              <w:spacing w:after="0"/>
              <w:rPr>
                <w:sz w:val="8"/>
                <w:szCs w:val="8"/>
                <w:color w:val="auto"/>
              </w:rPr>
            </w:pPr>
          </w:p>
        </w:tc>
        <w:tc>
          <w:tcPr>
            <w:tcW w:w="140" w:type="dxa"/>
            <w:vAlign w:val="bottom"/>
            <w:tcBorders>
              <w:bottom w:val="single" w:sz="8" w:color="CCCCCC"/>
            </w:tcBorders>
            <w:vMerge w:val="continue"/>
            <w:shd w:val="clear" w:color="auto" w:fill="F2F2F2"/>
          </w:tcPr>
          <w:p>
            <w:pPr>
              <w:spacing w:after="0"/>
              <w:rPr>
                <w:sz w:val="8"/>
                <w:szCs w:val="8"/>
                <w:color w:val="auto"/>
              </w:rPr>
            </w:pPr>
          </w:p>
        </w:tc>
        <w:tc>
          <w:tcPr>
            <w:tcW w:w="980" w:type="dxa"/>
            <w:vAlign w:val="bottom"/>
            <w:tcBorders>
              <w:bottom w:val="single" w:sz="8" w:color="CCCCCC"/>
            </w:tcBorders>
            <w:shd w:val="clear" w:color="auto" w:fill="F2F2F2"/>
          </w:tcPr>
          <w:p>
            <w:pPr>
              <w:spacing w:after="0"/>
              <w:rPr>
                <w:sz w:val="8"/>
                <w:szCs w:val="8"/>
                <w:color w:val="auto"/>
              </w:rPr>
            </w:pPr>
          </w:p>
        </w:tc>
        <w:tc>
          <w:tcPr>
            <w:tcW w:w="180" w:type="dxa"/>
            <w:vAlign w:val="bottom"/>
            <w:tcBorders>
              <w:bottom w:val="single" w:sz="8" w:color="CCCCCC"/>
            </w:tcBorders>
            <w:vMerge w:val="continue"/>
            <w:shd w:val="clear" w:color="auto" w:fill="F2F2F2"/>
          </w:tcPr>
          <w:p>
            <w:pPr>
              <w:spacing w:after="0"/>
              <w:rPr>
                <w:sz w:val="8"/>
                <w:szCs w:val="8"/>
                <w:color w:val="auto"/>
              </w:rPr>
            </w:pPr>
          </w:p>
        </w:tc>
        <w:tc>
          <w:tcPr>
            <w:tcW w:w="26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 ​</w:t>
            </w:r>
          </w:p>
        </w:tc>
        <w:tc>
          <w:tcPr>
            <w:tcW w:w="58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 ​</w:t>
            </w:r>
          </w:p>
        </w:tc>
        <w:tc>
          <w:tcPr>
            <w:tcW w:w="42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jc w:val="right"/>
              <w:ind w:right="102"/>
              <w:spacing w:after="0" w:line="95" w:lineRule="exact"/>
              <w:rPr>
                <w:sz w:val="20"/>
                <w:szCs w:val="20"/>
                <w:color w:val="auto"/>
              </w:rPr>
            </w:pPr>
            <w:r>
              <w:rPr>
                <w:rFonts w:ascii="Arial" w:cs="Arial" w:eastAsia="Arial" w:hAnsi="Arial"/>
                <w:sz w:val="10"/>
                <w:szCs w:val="10"/>
                <w:color w:val="auto"/>
              </w:rPr>
              <w:t>​ ​</w:t>
            </w:r>
          </w:p>
        </w:tc>
        <w:tc>
          <w:tcPr>
            <w:tcW w:w="28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jc w:val="right"/>
              <w:ind w:right="82"/>
              <w:spacing w:after="0" w:line="95" w:lineRule="exact"/>
              <w:rPr>
                <w:sz w:val="20"/>
                <w:szCs w:val="20"/>
                <w:color w:val="auto"/>
              </w:rPr>
            </w:pPr>
            <w:r>
              <w:rPr>
                <w:rFonts w:ascii="Arial" w:cs="Arial" w:eastAsia="Arial" w:hAnsi="Arial"/>
                <w:sz w:val="10"/>
                <w:szCs w:val="10"/>
                <w:color w:val="auto"/>
              </w:rPr>
              <w:t>​  ​</w:t>
            </w:r>
          </w:p>
        </w:tc>
        <w:tc>
          <w:tcPr>
            <w:tcW w:w="30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36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ind w:left="10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shd w:val="clear" w:color="auto" w:fill="F2F2F2"/>
          </w:tcPr>
          <w:p>
            <w:pPr>
              <w:spacing w:after="0"/>
              <w:rPr>
                <w:sz w:val="8"/>
                <w:szCs w:val="8"/>
                <w:color w:val="auto"/>
              </w:rPr>
            </w:pPr>
          </w:p>
        </w:tc>
        <w:tc>
          <w:tcPr>
            <w:tcW w:w="8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Performance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color w:val="auto"/>
              </w:rPr>
              <w:t>7/18/2023</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ind w:left="160"/>
              <w:spacing w:after="0" w:line="149" w:lineRule="exact"/>
              <w:rPr>
                <w:sz w:val="20"/>
                <w:szCs w:val="20"/>
                <w:color w:val="auto"/>
              </w:rPr>
            </w:pPr>
            <w:r>
              <w:rPr>
                <w:rFonts w:ascii="Arial" w:cs="Arial" w:eastAsia="Arial" w:hAnsi="Arial"/>
                <w:sz w:val="13"/>
                <w:szCs w:val="13"/>
                <w:color w:val="auto"/>
                <w:w w:val="98"/>
              </w:rPr>
              <w:t>Share Units</w:t>
            </w:r>
            <w:r>
              <w:rPr>
                <w:rFonts w:ascii="Arial" w:cs="Arial" w:eastAsia="Arial" w:hAnsi="Arial"/>
                <w:sz w:val="16"/>
                <w:szCs w:val="16"/>
                <w:color w:val="auto"/>
                <w:w w:val="98"/>
                <w:vertAlign w:val="superscript"/>
              </w:rPr>
              <w:t>(a)</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200"/>
              <w:spacing w:after="0"/>
              <w:rPr>
                <w:sz w:val="20"/>
                <w:szCs w:val="20"/>
                <w:color w:val="auto"/>
              </w:rPr>
            </w:pPr>
            <w:r>
              <w:rPr>
                <w:rFonts w:ascii="Arial" w:cs="Arial" w:eastAsia="Arial" w:hAnsi="Arial"/>
                <w:sz w:val="13"/>
                <w:szCs w:val="13"/>
                <w:color w:val="auto"/>
                <w:w w:val="95"/>
              </w:rPr>
              <w:t>​12/31/2025</w:t>
            </w:r>
          </w:p>
        </w:tc>
        <w:tc>
          <w:tcPr>
            <w:tcW w:w="220" w:type="dxa"/>
            <w:vAlign w:val="bottom"/>
            <w:vMerge w:val="restart"/>
          </w:tcPr>
          <w:p>
            <w:pPr>
              <w:jc w:val="right"/>
              <w:ind w:right="19"/>
              <w:spacing w:after="0"/>
              <w:rPr>
                <w:sz w:val="20"/>
                <w:szCs w:val="20"/>
                <w:color w:val="auto"/>
              </w:rPr>
            </w:pPr>
            <w:r>
              <w:rPr>
                <w:rFonts w:ascii="Arial" w:cs="Arial" w:eastAsia="Arial" w:hAnsi="Arial"/>
                <w:sz w:val="13"/>
                <w:szCs w:val="13"/>
                <w:color w:val="auto"/>
              </w:rPr>
              <w:t>​ ​</w:t>
            </w:r>
          </w:p>
        </w:tc>
        <w:tc>
          <w:tcPr>
            <w:tcW w:w="240" w:type="dxa"/>
            <w:vAlign w:val="bottom"/>
          </w:tcPr>
          <w:p>
            <w:pPr>
              <w:ind w:left="200"/>
              <w:spacing w:after="0"/>
              <w:rPr>
                <w:sz w:val="20"/>
                <w:szCs w:val="20"/>
                <w:color w:val="auto"/>
              </w:rPr>
            </w:pPr>
            <w:r>
              <w:rPr>
                <w:rFonts w:ascii="Arial" w:cs="Arial" w:eastAsia="Arial" w:hAnsi="Arial"/>
                <w:sz w:val="13"/>
                <w:szCs w:val="13"/>
                <w:color w:val="auto"/>
              </w:rPr>
              <w:t>​</w:t>
            </w:r>
          </w:p>
        </w:tc>
        <w:tc>
          <w:tcPr>
            <w:tcW w:w="420" w:type="dxa"/>
            <w:vAlign w:val="bottom"/>
          </w:tcPr>
          <w:p>
            <w:pPr>
              <w:ind w:left="280"/>
              <w:spacing w:after="0"/>
              <w:rPr>
                <w:sz w:val="20"/>
                <w:szCs w:val="20"/>
                <w:color w:val="auto"/>
              </w:rPr>
            </w:pPr>
            <w:r>
              <w:rPr>
                <w:rFonts w:ascii="Arial" w:cs="Arial" w:eastAsia="Arial" w:hAnsi="Arial"/>
                <w:sz w:val="13"/>
                <w:szCs w:val="13"/>
                <w:color w:val="auto"/>
                <w:w w:val="91"/>
              </w:rPr>
              <w:t>—</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380" w:type="dxa"/>
            <w:vAlign w:val="bottom"/>
          </w:tcPr>
          <w:p>
            <w:pPr>
              <w:jc w:val="right"/>
              <w:ind w:right="102"/>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380" w:type="dxa"/>
            <w:vAlign w:val="bottom"/>
          </w:tcPr>
          <w:p>
            <w:pPr>
              <w:jc w:val="right"/>
              <w:ind w:right="82"/>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​20,551</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vMerge w:val="continue"/>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26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 ​</w:t>
            </w:r>
          </w:p>
        </w:tc>
        <w:tc>
          <w:tcPr>
            <w:tcW w:w="58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 ​</w:t>
            </w:r>
          </w:p>
        </w:tc>
        <w:tc>
          <w:tcPr>
            <w:tcW w:w="42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jc w:val="right"/>
              <w:ind w:right="102"/>
              <w:spacing w:after="0" w:line="95" w:lineRule="exact"/>
              <w:rPr>
                <w:sz w:val="20"/>
                <w:szCs w:val="20"/>
                <w:color w:val="auto"/>
              </w:rPr>
            </w:pPr>
            <w:r>
              <w:rPr>
                <w:rFonts w:ascii="Arial" w:cs="Arial" w:eastAsia="Arial" w:hAnsi="Arial"/>
                <w:sz w:val="10"/>
                <w:szCs w:val="10"/>
                <w:color w:val="auto"/>
              </w:rPr>
              <w:t>​ ​</w:t>
            </w:r>
          </w:p>
        </w:tc>
        <w:tc>
          <w:tcPr>
            <w:tcW w:w="28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380" w:type="dxa"/>
            <w:vAlign w:val="bottom"/>
            <w:tcBorders>
              <w:bottom w:val="single" w:sz="8" w:color="CCCCCC"/>
            </w:tcBorders>
          </w:tcPr>
          <w:p>
            <w:pPr>
              <w:jc w:val="right"/>
              <w:ind w:right="82"/>
              <w:spacing w:after="0" w:line="95" w:lineRule="exact"/>
              <w:rPr>
                <w:sz w:val="20"/>
                <w:szCs w:val="20"/>
                <w:color w:val="auto"/>
              </w:rPr>
            </w:pPr>
            <w:r>
              <w:rPr>
                <w:rFonts w:ascii="Arial" w:cs="Arial" w:eastAsia="Arial" w:hAnsi="Arial"/>
                <w:sz w:val="10"/>
                <w:szCs w:val="10"/>
                <w:color w:val="auto"/>
              </w:rPr>
              <w:t>​  ​</w:t>
            </w:r>
          </w:p>
        </w:tc>
        <w:tc>
          <w:tcPr>
            <w:tcW w:w="30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 ​</w:t>
            </w:r>
          </w:p>
        </w:tc>
        <w:tc>
          <w:tcPr>
            <w:tcW w:w="36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vMerge w:val="continue"/>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ind w:left="10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8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980" w:type="dxa"/>
            <w:vAlign w:val="bottom"/>
            <w:shd w:val="clear" w:color="auto" w:fill="F2F2F2"/>
          </w:tcPr>
          <w:p>
            <w:pPr>
              <w:ind w:left="40"/>
              <w:spacing w:after="0"/>
              <w:rPr>
                <w:sz w:val="20"/>
                <w:szCs w:val="20"/>
                <w:color w:val="auto"/>
              </w:rPr>
            </w:pPr>
            <w:r>
              <w:rPr>
                <w:rFonts w:ascii="Arial" w:cs="Arial" w:eastAsia="Arial" w:hAnsi="Arial"/>
                <w:sz w:val="13"/>
                <w:szCs w:val="13"/>
                <w:color w:val="auto"/>
              </w:rPr>
              <w:t>Performance</w:t>
            </w:r>
          </w:p>
        </w:tc>
        <w:tc>
          <w:tcPr>
            <w:tcW w:w="18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shd w:val="clear" w:color="auto" w:fill="F2F2F2"/>
          </w:tcPr>
          <w:p>
            <w:pPr>
              <w:ind w:left="20"/>
              <w:spacing w:after="0"/>
              <w:rPr>
                <w:sz w:val="20"/>
                <w:szCs w:val="20"/>
                <w:color w:val="auto"/>
              </w:rPr>
            </w:pPr>
            <w:r>
              <w:rPr>
                <w:rFonts w:ascii="Arial" w:cs="Arial" w:eastAsia="Arial" w:hAnsi="Arial"/>
                <w:sz w:val="13"/>
                <w:szCs w:val="13"/>
                <w:color w:val="auto"/>
              </w:rPr>
              <w:t>2/15/2024</w:t>
            </w:r>
          </w:p>
        </w:tc>
        <w:tc>
          <w:tcPr>
            <w:tcW w:w="500" w:type="dxa"/>
            <w:vAlign w:val="bottom"/>
            <w:vMerge w:val="restart"/>
            <w:shd w:val="clear" w:color="auto" w:fill="F2F2F2"/>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F2F2F2"/>
          </w:tcPr>
          <w:p>
            <w:pPr>
              <w:ind w:lef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ind w:left="160"/>
              <w:spacing w:after="0" w:line="149" w:lineRule="exact"/>
              <w:rPr>
                <w:sz w:val="20"/>
                <w:szCs w:val="20"/>
                <w:color w:val="auto"/>
              </w:rPr>
            </w:pPr>
            <w:r>
              <w:rPr>
                <w:rFonts w:ascii="Arial" w:cs="Arial" w:eastAsia="Arial" w:hAnsi="Arial"/>
                <w:sz w:val="13"/>
                <w:szCs w:val="13"/>
                <w:color w:val="auto"/>
                <w:w w:val="98"/>
              </w:rPr>
              <w:t>Share Units</w:t>
            </w:r>
            <w:r>
              <w:rPr>
                <w:rFonts w:ascii="Arial" w:cs="Arial" w:eastAsia="Arial" w:hAnsi="Arial"/>
                <w:sz w:val="16"/>
                <w:szCs w:val="16"/>
                <w:color w:val="auto"/>
                <w:w w:val="98"/>
                <w:vertAlign w:val="superscript"/>
              </w:rPr>
              <w:t>(b)</w:t>
            </w: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F2F2F2"/>
          </w:tcPr>
          <w:p>
            <w:pPr>
              <w:ind w:left="200"/>
              <w:spacing w:after="0"/>
              <w:rPr>
                <w:sz w:val="20"/>
                <w:szCs w:val="20"/>
                <w:color w:val="auto"/>
              </w:rPr>
            </w:pPr>
            <w:r>
              <w:rPr>
                <w:rFonts w:ascii="Arial" w:cs="Arial" w:eastAsia="Arial" w:hAnsi="Arial"/>
                <w:sz w:val="13"/>
                <w:szCs w:val="13"/>
                <w:color w:val="auto"/>
                <w:w w:val="95"/>
              </w:rPr>
              <w:t>​12/31/2026</w:t>
            </w:r>
          </w:p>
        </w:tc>
        <w:tc>
          <w:tcPr>
            <w:tcW w:w="220" w:type="dxa"/>
            <w:vAlign w:val="bottom"/>
            <w:vMerge w:val="restart"/>
            <w:shd w:val="clear" w:color="auto" w:fill="F2F2F2"/>
          </w:tcPr>
          <w:p>
            <w:pPr>
              <w:jc w:val="right"/>
              <w:ind w:right="19"/>
              <w:spacing w:after="0"/>
              <w:rPr>
                <w:sz w:val="20"/>
                <w:szCs w:val="20"/>
                <w:color w:val="auto"/>
              </w:rPr>
            </w:pPr>
            <w:r>
              <w:rPr>
                <w:rFonts w:ascii="Arial" w:cs="Arial" w:eastAsia="Arial" w:hAnsi="Arial"/>
                <w:sz w:val="13"/>
                <w:szCs w:val="13"/>
                <w:color w:val="auto"/>
              </w:rPr>
              <w:t>​ ​</w:t>
            </w:r>
          </w:p>
        </w:tc>
        <w:tc>
          <w:tcPr>
            <w:tcW w:w="660" w:type="dxa"/>
            <w:vAlign w:val="bottom"/>
            <w:gridSpan w:val="2"/>
            <w:shd w:val="clear" w:color="auto" w:fill="F2F2F2"/>
          </w:tcPr>
          <w:p>
            <w:pPr>
              <w:ind w:left="200"/>
              <w:spacing w:after="0"/>
              <w:rPr>
                <w:sz w:val="20"/>
                <w:szCs w:val="20"/>
                <w:color w:val="auto"/>
              </w:rPr>
            </w:pPr>
            <w:r>
              <w:rPr>
                <w:rFonts w:ascii="Arial" w:cs="Arial" w:eastAsia="Arial" w:hAnsi="Arial"/>
                <w:sz w:val="13"/>
                <w:szCs w:val="13"/>
                <w:color w:val="auto"/>
                <w:w w:val="93"/>
              </w:rPr>
              <w:t>​178,566</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66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 58,538</w:t>
            </w:r>
          </w:p>
        </w:tc>
        <w:tc>
          <w:tcPr>
            <w:tcW w:w="220" w:type="dxa"/>
            <w:vAlign w:val="bottom"/>
            <w:vMerge w:val="restart"/>
            <w:shd w:val="clear" w:color="auto" w:fill="F2F2F2"/>
          </w:tcPr>
          <w:p>
            <w:pPr>
              <w:jc w:val="right"/>
              <w:ind w:right="37"/>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 58,538</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60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​32,608</w:t>
            </w:r>
          </w:p>
        </w:tc>
        <w:tc>
          <w:tcPr>
            <w:tcW w:w="220" w:type="dxa"/>
            <w:vAlign w:val="bottom"/>
            <w:vMerge w:val="restart"/>
            <w:shd w:val="clear" w:color="auto" w:fill="F2F2F2"/>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vMerge w:val="restart"/>
            <w:shd w:val="clear" w:color="auto" w:fill="F2F2F2"/>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F2F2F2"/>
          </w:tcPr>
          <w:p>
            <w:pPr>
              <w:ind w:left="100"/>
              <w:spacing w:after="0"/>
              <w:rPr>
                <w:sz w:val="20"/>
                <w:szCs w:val="20"/>
                <w:color w:val="auto"/>
              </w:rPr>
            </w:pPr>
            <w:r>
              <w:rPr>
                <w:rFonts w:ascii="Arial" w:cs="Arial" w:eastAsia="Arial" w:hAnsi="Arial"/>
                <w:sz w:val="13"/>
                <w:szCs w:val="13"/>
                <w:color w:val="auto"/>
              </w:rPr>
              <w:t>​29,501</w:t>
            </w:r>
          </w:p>
        </w:tc>
        <w:tc>
          <w:tcPr>
            <w:tcW w:w="240" w:type="dxa"/>
            <w:vAlign w:val="bottom"/>
            <w:vMerge w:val="restart"/>
            <w:shd w:val="clear" w:color="auto" w:fill="F2F2F2"/>
          </w:tcPr>
          <w:p>
            <w:pPr>
              <w:jc w:val="right"/>
              <w:ind w:right="37"/>
              <w:spacing w:after="0"/>
              <w:rPr>
                <w:sz w:val="20"/>
                <w:szCs w:val="20"/>
                <w:color w:val="auto"/>
              </w:rPr>
            </w:pPr>
            <w:r>
              <w:rPr>
                <w:rFonts w:ascii="Arial" w:cs="Arial" w:eastAsia="Arial" w:hAnsi="Arial"/>
                <w:sz w:val="13"/>
                <w:szCs w:val="13"/>
                <w:color w:val="auto"/>
              </w:rPr>
              <w:t>​ ​</w:t>
            </w:r>
          </w:p>
        </w:tc>
        <w:tc>
          <w:tcPr>
            <w:tcW w:w="2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1020" w:type="dxa"/>
            <w:vAlign w:val="bottom"/>
            <w:tcBorders>
              <w:bottom w:val="single" w:sz="8" w:color="CCCCCC"/>
            </w:tcBorders>
            <w:shd w:val="clear" w:color="auto" w:fill="F2F2F2"/>
          </w:tcPr>
          <w:p>
            <w:pPr>
              <w:spacing w:after="0"/>
              <w:rPr>
                <w:sz w:val="8"/>
                <w:szCs w:val="8"/>
                <w:color w:val="auto"/>
              </w:rPr>
            </w:pPr>
          </w:p>
        </w:tc>
        <w:tc>
          <w:tcPr>
            <w:tcW w:w="500" w:type="dxa"/>
            <w:vAlign w:val="bottom"/>
            <w:tcBorders>
              <w:bottom w:val="single" w:sz="8" w:color="CCCCCC"/>
            </w:tcBorders>
            <w:vMerge w:val="continue"/>
            <w:shd w:val="clear" w:color="auto" w:fill="F2F2F2"/>
          </w:tcPr>
          <w:p>
            <w:pPr>
              <w:spacing w:after="0"/>
              <w:rPr>
                <w:sz w:val="8"/>
                <w:szCs w:val="8"/>
                <w:color w:val="auto"/>
              </w:rPr>
            </w:pPr>
          </w:p>
        </w:tc>
        <w:tc>
          <w:tcPr>
            <w:tcW w:w="140" w:type="dxa"/>
            <w:vAlign w:val="bottom"/>
            <w:tcBorders>
              <w:bottom w:val="single" w:sz="8" w:color="CCCCCC"/>
            </w:tcBorders>
            <w:vMerge w:val="continue"/>
            <w:shd w:val="clear" w:color="auto" w:fill="F2F2F2"/>
          </w:tcPr>
          <w:p>
            <w:pPr>
              <w:spacing w:after="0"/>
              <w:rPr>
                <w:sz w:val="8"/>
                <w:szCs w:val="8"/>
                <w:color w:val="auto"/>
              </w:rPr>
            </w:pPr>
          </w:p>
        </w:tc>
        <w:tc>
          <w:tcPr>
            <w:tcW w:w="980" w:type="dxa"/>
            <w:vAlign w:val="bottom"/>
            <w:tcBorders>
              <w:bottom w:val="single" w:sz="8" w:color="CCCCCC"/>
            </w:tcBorders>
            <w:shd w:val="clear" w:color="auto" w:fill="F2F2F2"/>
          </w:tcPr>
          <w:p>
            <w:pPr>
              <w:spacing w:after="0"/>
              <w:rPr>
                <w:sz w:val="8"/>
                <w:szCs w:val="8"/>
                <w:color w:val="auto"/>
              </w:rPr>
            </w:pPr>
          </w:p>
        </w:tc>
        <w:tc>
          <w:tcPr>
            <w:tcW w:w="180" w:type="dxa"/>
            <w:vAlign w:val="bottom"/>
            <w:tcBorders>
              <w:bottom w:val="single" w:sz="8" w:color="CCCCCC"/>
            </w:tcBorders>
            <w:vMerge w:val="continue"/>
            <w:shd w:val="clear" w:color="auto" w:fill="F2F2F2"/>
          </w:tcPr>
          <w:p>
            <w:pPr>
              <w:spacing w:after="0"/>
              <w:rPr>
                <w:sz w:val="8"/>
                <w:szCs w:val="8"/>
                <w:color w:val="auto"/>
              </w:rPr>
            </w:pPr>
          </w:p>
        </w:tc>
        <w:tc>
          <w:tcPr>
            <w:tcW w:w="26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 ​</w:t>
            </w:r>
          </w:p>
        </w:tc>
        <w:tc>
          <w:tcPr>
            <w:tcW w:w="58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 ​</w:t>
            </w:r>
          </w:p>
        </w:tc>
        <w:tc>
          <w:tcPr>
            <w:tcW w:w="42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jc w:val="right"/>
              <w:ind w:right="102"/>
              <w:spacing w:after="0" w:line="95" w:lineRule="exact"/>
              <w:rPr>
                <w:sz w:val="20"/>
                <w:szCs w:val="20"/>
                <w:color w:val="auto"/>
              </w:rPr>
            </w:pPr>
            <w:r>
              <w:rPr>
                <w:rFonts w:ascii="Arial" w:cs="Arial" w:eastAsia="Arial" w:hAnsi="Arial"/>
                <w:sz w:val="10"/>
                <w:szCs w:val="10"/>
                <w:color w:val="auto"/>
              </w:rPr>
              <w:t>​ ​</w:t>
            </w:r>
          </w:p>
        </w:tc>
        <w:tc>
          <w:tcPr>
            <w:tcW w:w="28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jc w:val="right"/>
              <w:ind w:right="82"/>
              <w:spacing w:after="0" w:line="95" w:lineRule="exact"/>
              <w:rPr>
                <w:sz w:val="20"/>
                <w:szCs w:val="20"/>
                <w:color w:val="auto"/>
              </w:rPr>
            </w:pPr>
            <w:r>
              <w:rPr>
                <w:rFonts w:ascii="Arial" w:cs="Arial" w:eastAsia="Arial" w:hAnsi="Arial"/>
                <w:sz w:val="10"/>
                <w:szCs w:val="10"/>
                <w:color w:val="auto"/>
              </w:rPr>
              <w:t>​  ​</w:t>
            </w:r>
          </w:p>
        </w:tc>
        <w:tc>
          <w:tcPr>
            <w:tcW w:w="30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360" w:type="dxa"/>
            <w:vAlign w:val="bottom"/>
            <w:tcBorders>
              <w:bottom w:val="single" w:sz="8" w:color="CCCCCC"/>
            </w:tcBorders>
            <w:shd w:val="clear" w:color="auto" w:fill="F2F2F2"/>
          </w:tcPr>
          <w:p>
            <w:pPr>
              <w:spacing w:after="0"/>
              <w:rPr>
                <w:sz w:val="8"/>
                <w:szCs w:val="8"/>
                <w:color w:val="auto"/>
              </w:rPr>
            </w:pPr>
          </w:p>
        </w:tc>
        <w:tc>
          <w:tcPr>
            <w:tcW w:w="220" w:type="dxa"/>
            <w:vAlign w:val="bottom"/>
            <w:tcBorders>
              <w:bottom w:val="single" w:sz="8" w:color="CCCCCC"/>
            </w:tcBorders>
            <w:vMerge w:val="continue"/>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ind w:left="100"/>
              <w:spacing w:after="0" w:line="9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shd w:val="clear" w:color="auto" w:fill="F2F2F2"/>
          </w:tcPr>
          <w:p>
            <w:pPr>
              <w:spacing w:after="0"/>
              <w:rPr>
                <w:sz w:val="8"/>
                <w:szCs w:val="8"/>
                <w:color w:val="auto"/>
              </w:rPr>
            </w:pPr>
          </w:p>
        </w:tc>
        <w:tc>
          <w:tcPr>
            <w:tcW w:w="8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ind w:left="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260" w:type="dxa"/>
            <w:vAlign w:val="bottom"/>
          </w:tcPr>
          <w:p>
            <w:pPr>
              <w:ind w:left="2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2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w w:val="93"/>
              </w:rPr>
              <w:t>​326,591</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​124,136</w:t>
            </w:r>
          </w:p>
        </w:tc>
        <w:tc>
          <w:tcPr>
            <w:tcW w:w="22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​127,263</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​91,675</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 ​</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100"/>
              <w:spacing w:after="0"/>
              <w:rPr>
                <w:sz w:val="20"/>
                <w:szCs w:val="20"/>
                <w:color w:val="auto"/>
              </w:rPr>
            </w:pPr>
            <w:r>
              <w:rPr>
                <w:rFonts w:ascii="Arial" w:cs="Arial" w:eastAsia="Arial" w:hAnsi="Arial"/>
                <w:sz w:val="13"/>
                <w:szCs w:val="13"/>
                <w:color w:val="auto"/>
              </w:rPr>
              <w:t>​64,242</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​373,843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80" w:type="dxa"/>
            <w:vAlign w:val="bottom"/>
            <w:tcBorders>
              <w:bottom w:val="single" w:sz="8" w:color="CCCCCC"/>
            </w:tcBorders>
            <w:vMerge w:val="continue"/>
          </w:tcPr>
          <w:p>
            <w:pPr>
              <w:spacing w:after="0"/>
              <w:rPr>
                <w:sz w:val="7"/>
                <w:szCs w:val="7"/>
                <w:color w:val="auto"/>
              </w:rPr>
            </w:pPr>
          </w:p>
        </w:tc>
        <w:tc>
          <w:tcPr>
            <w:tcW w:w="1020" w:type="dxa"/>
            <w:vAlign w:val="bottom"/>
            <w:tcBorders>
              <w:bottom w:val="single" w:sz="8" w:color="CCCCCC"/>
            </w:tcBorders>
          </w:tcPr>
          <w:p>
            <w:pPr>
              <w:spacing w:after="0"/>
              <w:rPr>
                <w:sz w:val="7"/>
                <w:szCs w:val="7"/>
                <w:color w:val="auto"/>
              </w:rPr>
            </w:pPr>
          </w:p>
        </w:tc>
        <w:tc>
          <w:tcPr>
            <w:tcW w:w="500" w:type="dxa"/>
            <w:vAlign w:val="bottom"/>
            <w:tcBorders>
              <w:bottom w:val="single" w:sz="8" w:color="CCCCCC"/>
            </w:tcBorders>
            <w:vMerge w:val="continue"/>
          </w:tcPr>
          <w:p>
            <w:pPr>
              <w:spacing w:after="0"/>
              <w:rPr>
                <w:sz w:val="7"/>
                <w:szCs w:val="7"/>
                <w:color w:val="auto"/>
              </w:rPr>
            </w:pPr>
          </w:p>
        </w:tc>
        <w:tc>
          <w:tcPr>
            <w:tcW w:w="140" w:type="dxa"/>
            <w:vAlign w:val="bottom"/>
            <w:tcBorders>
              <w:bottom w:val="single" w:sz="8" w:color="CCCCCC"/>
            </w:tcBorders>
            <w:vMerge w:val="continue"/>
          </w:tcPr>
          <w:p>
            <w:pPr>
              <w:spacing w:after="0"/>
              <w:rPr>
                <w:sz w:val="7"/>
                <w:szCs w:val="7"/>
                <w:color w:val="auto"/>
              </w:rPr>
            </w:pPr>
          </w:p>
        </w:tc>
        <w:tc>
          <w:tcPr>
            <w:tcW w:w="980" w:type="dxa"/>
            <w:vAlign w:val="bottom"/>
            <w:tcBorders>
              <w:bottom w:val="single" w:sz="8" w:color="CCCCCC"/>
            </w:tcBorders>
          </w:tcPr>
          <w:p>
            <w:pPr>
              <w:spacing w:after="0"/>
              <w:rPr>
                <w:sz w:val="7"/>
                <w:szCs w:val="7"/>
                <w:color w:val="auto"/>
              </w:rPr>
            </w:pPr>
          </w:p>
        </w:tc>
        <w:tc>
          <w:tcPr>
            <w:tcW w:w="180" w:type="dxa"/>
            <w:vAlign w:val="bottom"/>
            <w:tcBorders>
              <w:bottom w:val="single" w:sz="8" w:color="CCCCCC"/>
            </w:tcBorders>
            <w:vMerge w:val="continue"/>
          </w:tcPr>
          <w:p>
            <w:pPr>
              <w:spacing w:after="0"/>
              <w:rPr>
                <w:sz w:val="7"/>
                <w:szCs w:val="7"/>
                <w:color w:val="auto"/>
              </w:rPr>
            </w:pPr>
          </w:p>
        </w:tc>
        <w:tc>
          <w:tcPr>
            <w:tcW w:w="260" w:type="dxa"/>
            <w:vAlign w:val="bottom"/>
            <w:tcBorders>
              <w:bottom w:val="single" w:sz="8" w:color="CCCCCC"/>
            </w:tcBorders>
          </w:tcPr>
          <w:p>
            <w:pPr>
              <w:ind w:left="80"/>
              <w:spacing w:after="0" w:line="81" w:lineRule="exact"/>
              <w:rPr>
                <w:sz w:val="20"/>
                <w:szCs w:val="20"/>
                <w:color w:val="auto"/>
              </w:rPr>
            </w:pPr>
            <w:r>
              <w:rPr>
                <w:rFonts w:ascii="Arial" w:cs="Arial" w:eastAsia="Arial" w:hAnsi="Arial"/>
                <w:sz w:val="9"/>
                <w:szCs w:val="9"/>
                <w:color w:val="auto"/>
              </w:rPr>
              <w:t>​ ​</w:t>
            </w:r>
          </w:p>
        </w:tc>
        <w:tc>
          <w:tcPr>
            <w:tcW w:w="58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tcPr>
          <w:p>
            <w:pPr>
              <w:jc w:val="right"/>
              <w:ind w:right="19"/>
              <w:spacing w:after="0" w:line="81" w:lineRule="exact"/>
              <w:rPr>
                <w:sz w:val="20"/>
                <w:szCs w:val="20"/>
                <w:color w:val="auto"/>
              </w:rPr>
            </w:pPr>
            <w:r>
              <w:rPr>
                <w:rFonts w:ascii="Arial" w:cs="Arial" w:eastAsia="Arial" w:hAnsi="Arial"/>
                <w:sz w:val="9"/>
                <w:szCs w:val="9"/>
                <w:color w:val="auto"/>
              </w:rPr>
              <w:t>​ ​</w:t>
            </w:r>
          </w:p>
        </w:tc>
        <w:tc>
          <w:tcPr>
            <w:tcW w:w="240" w:type="dxa"/>
            <w:vAlign w:val="bottom"/>
            <w:tcBorders>
              <w:bottom w:val="single" w:sz="8" w:color="CCCCCC"/>
            </w:tcBorders>
          </w:tcPr>
          <w:p>
            <w:pPr>
              <w:ind w:left="80"/>
              <w:spacing w:after="0" w:line="81" w:lineRule="exact"/>
              <w:rPr>
                <w:sz w:val="20"/>
                <w:szCs w:val="20"/>
                <w:color w:val="auto"/>
              </w:rPr>
            </w:pPr>
            <w:r>
              <w:rPr>
                <w:rFonts w:ascii="Arial" w:cs="Arial" w:eastAsia="Arial" w:hAnsi="Arial"/>
                <w:sz w:val="9"/>
                <w:szCs w:val="9"/>
                <w:color w:val="auto"/>
              </w:rPr>
              <w:t>​ ​</w:t>
            </w:r>
          </w:p>
        </w:tc>
        <w:tc>
          <w:tcPr>
            <w:tcW w:w="42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vMerge w:val="continue"/>
          </w:tcPr>
          <w:p>
            <w:pPr>
              <w:spacing w:after="0"/>
              <w:rPr>
                <w:sz w:val="7"/>
                <w:szCs w:val="7"/>
                <w:color w:val="auto"/>
              </w:rPr>
            </w:pPr>
          </w:p>
        </w:tc>
        <w:tc>
          <w:tcPr>
            <w:tcW w:w="380" w:type="dxa"/>
            <w:vAlign w:val="bottom"/>
            <w:tcBorders>
              <w:bottom w:val="single" w:sz="8" w:color="CCCCCC"/>
            </w:tcBorders>
          </w:tcPr>
          <w:p>
            <w:pPr>
              <w:jc w:val="right"/>
              <w:ind w:right="102"/>
              <w:spacing w:after="0" w:line="81" w:lineRule="exact"/>
              <w:rPr>
                <w:sz w:val="20"/>
                <w:szCs w:val="20"/>
                <w:color w:val="auto"/>
              </w:rPr>
            </w:pPr>
            <w:r>
              <w:rPr>
                <w:rFonts w:ascii="Arial" w:cs="Arial" w:eastAsia="Arial" w:hAnsi="Arial"/>
                <w:sz w:val="9"/>
                <w:szCs w:val="9"/>
                <w:color w:val="auto"/>
              </w:rPr>
              <w:t>​ ​</w:t>
            </w:r>
          </w:p>
        </w:tc>
        <w:tc>
          <w:tcPr>
            <w:tcW w:w="28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vMerge w:val="continue"/>
          </w:tcPr>
          <w:p>
            <w:pPr>
              <w:spacing w:after="0"/>
              <w:rPr>
                <w:sz w:val="7"/>
                <w:szCs w:val="7"/>
                <w:color w:val="auto"/>
              </w:rPr>
            </w:pPr>
          </w:p>
        </w:tc>
        <w:tc>
          <w:tcPr>
            <w:tcW w:w="380" w:type="dxa"/>
            <w:vAlign w:val="bottom"/>
            <w:tcBorders>
              <w:bottom w:val="single" w:sz="8" w:color="CCCCCC"/>
            </w:tcBorders>
          </w:tcPr>
          <w:p>
            <w:pPr>
              <w:jc w:val="right"/>
              <w:ind w:right="82"/>
              <w:spacing w:after="0" w:line="81" w:lineRule="exact"/>
              <w:rPr>
                <w:sz w:val="20"/>
                <w:szCs w:val="20"/>
                <w:color w:val="auto"/>
              </w:rPr>
            </w:pPr>
            <w:r>
              <w:rPr>
                <w:rFonts w:ascii="Arial" w:cs="Arial" w:eastAsia="Arial" w:hAnsi="Arial"/>
                <w:sz w:val="9"/>
                <w:szCs w:val="9"/>
                <w:color w:val="auto"/>
              </w:rPr>
              <w:t>​  ​</w:t>
            </w:r>
          </w:p>
        </w:tc>
        <w:tc>
          <w:tcPr>
            <w:tcW w:w="30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vMerge w:val="continue"/>
          </w:tcPr>
          <w:p>
            <w:pPr>
              <w:spacing w:after="0"/>
              <w:rPr>
                <w:sz w:val="7"/>
                <w:szCs w:val="7"/>
                <w:color w:val="auto"/>
              </w:rPr>
            </w:pPr>
          </w:p>
        </w:tc>
        <w:tc>
          <w:tcPr>
            <w:tcW w:w="24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w:t>
            </w:r>
          </w:p>
        </w:tc>
        <w:tc>
          <w:tcPr>
            <w:tcW w:w="360" w:type="dxa"/>
            <w:vAlign w:val="bottom"/>
            <w:tcBorders>
              <w:bottom w:val="single" w:sz="8" w:color="CCCCCC"/>
            </w:tcBorders>
          </w:tcPr>
          <w:p>
            <w:pPr>
              <w:spacing w:after="0"/>
              <w:rPr>
                <w:sz w:val="7"/>
                <w:szCs w:val="7"/>
                <w:color w:val="auto"/>
              </w:rPr>
            </w:pPr>
          </w:p>
        </w:tc>
        <w:tc>
          <w:tcPr>
            <w:tcW w:w="220" w:type="dxa"/>
            <w:vAlign w:val="bottom"/>
            <w:tcBorders>
              <w:bottom w:val="single" w:sz="8" w:color="CCCCCC"/>
            </w:tcBorders>
            <w:vMerge w:val="continue"/>
          </w:tcPr>
          <w:p>
            <w:pPr>
              <w:spacing w:after="0"/>
              <w:rPr>
                <w:sz w:val="7"/>
                <w:szCs w:val="7"/>
                <w:color w:val="auto"/>
              </w:rPr>
            </w:pPr>
          </w:p>
        </w:tc>
        <w:tc>
          <w:tcPr>
            <w:tcW w:w="160" w:type="dxa"/>
            <w:vAlign w:val="bottom"/>
            <w:tcBorders>
              <w:bottom w:val="single" w:sz="8" w:color="CCCCCC"/>
            </w:tcBorders>
            <w:vMerge w:val="continue"/>
          </w:tcPr>
          <w:p>
            <w:pPr>
              <w:spacing w:after="0"/>
              <w:rPr>
                <w:sz w:val="7"/>
                <w:szCs w:val="7"/>
                <w:color w:val="auto"/>
              </w:rPr>
            </w:pPr>
          </w:p>
        </w:tc>
        <w:tc>
          <w:tcPr>
            <w:tcW w:w="240" w:type="dxa"/>
            <w:vAlign w:val="bottom"/>
            <w:tcBorders>
              <w:bottom w:val="single" w:sz="8" w:color="CCCCCC"/>
            </w:tcBorders>
          </w:tcPr>
          <w:p>
            <w:pPr>
              <w:ind w:left="100"/>
              <w:spacing w:after="0" w:line="81" w:lineRule="exact"/>
              <w:rPr>
                <w:sz w:val="20"/>
                <w:szCs w:val="20"/>
                <w:color w:val="auto"/>
              </w:rPr>
            </w:pPr>
            <w:r>
              <w:rPr>
                <w:rFonts w:ascii="Arial" w:cs="Arial" w:eastAsia="Arial" w:hAnsi="Arial"/>
                <w:sz w:val="9"/>
                <w:szCs w:val="9"/>
                <w:color w:val="auto"/>
              </w:rPr>
              <w:t>​</w:t>
            </w:r>
          </w:p>
        </w:tc>
        <w:tc>
          <w:tcPr>
            <w:tcW w:w="300" w:type="dxa"/>
            <w:vAlign w:val="bottom"/>
            <w:tcBorders>
              <w:bottom w:val="single" w:sz="8" w:color="CCCCCC"/>
            </w:tcBorders>
          </w:tcPr>
          <w:p>
            <w:pPr>
              <w:spacing w:after="0"/>
              <w:rPr>
                <w:sz w:val="7"/>
                <w:szCs w:val="7"/>
                <w:color w:val="auto"/>
              </w:rPr>
            </w:pPr>
          </w:p>
        </w:tc>
        <w:tc>
          <w:tcPr>
            <w:tcW w:w="240" w:type="dxa"/>
            <w:vAlign w:val="bottom"/>
            <w:tcBorders>
              <w:bottom w:val="single" w:sz="8" w:color="CCCCCC"/>
            </w:tcBorders>
            <w:vMerge w:val="continue"/>
          </w:tcPr>
          <w:p>
            <w:pPr>
              <w:spacing w:after="0"/>
              <w:rPr>
                <w:sz w:val="7"/>
                <w:szCs w:val="7"/>
                <w:color w:val="auto"/>
              </w:rPr>
            </w:pPr>
          </w:p>
        </w:tc>
        <w:tc>
          <w:tcPr>
            <w:tcW w:w="240" w:type="dxa"/>
            <w:vAlign w:val="bottom"/>
            <w:tcBorders>
              <w:bottom w:val="single" w:sz="8" w:color="CCCCCC"/>
            </w:tcBorders>
          </w:tcPr>
          <w:p>
            <w:pPr>
              <w:jc w:val="right"/>
              <w:spacing w:after="0" w:line="81" w:lineRule="exact"/>
              <w:rPr>
                <w:sz w:val="20"/>
                <w:szCs w:val="20"/>
                <w:color w:val="auto"/>
              </w:rPr>
            </w:pPr>
            <w:r>
              <w:rPr>
                <w:rFonts w:ascii="Arial" w:cs="Arial" w:eastAsia="Arial" w:hAnsi="Arial"/>
                <w:sz w:val="9"/>
                <w:szCs w:val="9"/>
                <w:color w:val="auto"/>
              </w:rPr>
              <w:t>​ ​</w:t>
            </w:r>
          </w:p>
        </w:tc>
        <w:tc>
          <w:tcPr>
            <w:tcW w:w="400" w:type="dxa"/>
            <w:vAlign w:val="bottom"/>
            <w:tcBorders>
              <w:bottom w:val="single" w:sz="8" w:color="CCCCCC"/>
            </w:tcBorders>
          </w:tcPr>
          <w:p>
            <w:pPr>
              <w:spacing w:after="0"/>
              <w:rPr>
                <w:sz w:val="7"/>
                <w:szCs w:val="7"/>
                <w:color w:val="auto"/>
              </w:rPr>
            </w:pPr>
          </w:p>
        </w:tc>
        <w:tc>
          <w:tcPr>
            <w:tcW w:w="80" w:type="dxa"/>
            <w:vAlign w:val="bottom"/>
            <w:tcBorders>
              <w:bottom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00" w:right="320" w:hanging="190"/>
        <w:spacing w:after="0" w:line="198" w:lineRule="auto"/>
        <w:tabs>
          <w:tab w:leader="none" w:pos="1100" w:val="left"/>
        </w:tabs>
        <w:numPr>
          <w:ilvl w:val="0"/>
          <w:numId w:val="119"/>
        </w:numPr>
        <w:rPr>
          <w:rFonts w:ascii="Arial" w:cs="Arial" w:eastAsia="Arial" w:hAnsi="Arial"/>
          <w:sz w:val="20"/>
          <w:szCs w:val="20"/>
          <w:color w:val="auto"/>
          <w:vertAlign w:val="superscript"/>
        </w:rPr>
      </w:pPr>
      <w:r>
        <w:rPr>
          <w:rFonts w:ascii="Arial" w:cs="Arial" w:eastAsia="Arial" w:hAnsi="Arial"/>
          <w:sz w:val="13"/>
          <w:szCs w:val="13"/>
          <w:color w:val="auto"/>
        </w:rPr>
        <w:t>Based on 2024 results, the provided amounts reflect target achievement for the total shareholder return, maximum achievement for the three-year cumulative Adjusted EPS awards and target achievement for the carbon emissions reduction awards.</w:t>
      </w:r>
    </w:p>
    <w:p>
      <w:pPr>
        <w:spacing w:after="0" w:line="37" w:lineRule="exact"/>
        <w:rPr>
          <w:rFonts w:ascii="Arial" w:cs="Arial" w:eastAsia="Arial" w:hAnsi="Arial"/>
          <w:sz w:val="20"/>
          <w:szCs w:val="20"/>
          <w:color w:val="auto"/>
          <w:vertAlign w:val="superscript"/>
        </w:rPr>
      </w:pPr>
    </w:p>
    <w:p>
      <w:pPr>
        <w:ind w:left="1100" w:right="120" w:hanging="190"/>
        <w:spacing w:after="0" w:line="198" w:lineRule="auto"/>
        <w:tabs>
          <w:tab w:leader="none" w:pos="1100" w:val="left"/>
        </w:tabs>
        <w:numPr>
          <w:ilvl w:val="0"/>
          <w:numId w:val="119"/>
        </w:numPr>
        <w:rPr>
          <w:rFonts w:ascii="Arial" w:cs="Arial" w:eastAsia="Arial" w:hAnsi="Arial"/>
          <w:sz w:val="20"/>
          <w:szCs w:val="20"/>
          <w:color w:val="auto"/>
          <w:vertAlign w:val="superscript"/>
        </w:rPr>
      </w:pPr>
      <w:r>
        <w:rPr>
          <w:rFonts w:ascii="Arial" w:cs="Arial" w:eastAsia="Arial" w:hAnsi="Arial"/>
          <w:sz w:val="13"/>
          <w:szCs w:val="13"/>
          <w:color w:val="auto"/>
        </w:rPr>
        <w:t>Based on 2024 results, the provided amounts reflect threshold achievement for the total shareholder return, maximum achievement for the three-year cumulative Adjusted EPS awards and target achievement for the carbon emissions reduction awards.</w:t>
      </w:r>
    </w:p>
    <w:p>
      <w:pPr>
        <w:sectPr>
          <w:pgSz w:w="11900" w:h="16838" w:orient="portrait"/>
          <w:cols w:equalWidth="0" w:num="1">
            <w:col w:w="10020"/>
          </w:cols>
          <w:pgMar w:left="580" w:top="97" w:right="1299" w:bottom="1440" w:gutter="0" w:footer="0" w:header="0"/>
        </w:sectPr>
      </w:pPr>
    </w:p>
    <w:p>
      <w:pPr>
        <w:spacing w:after="0" w:line="254"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hanging="189"/>
        <w:spacing w:after="0"/>
        <w:tabs>
          <w:tab w:leader="none" w:pos="920" w:val="left"/>
        </w:tabs>
        <w:numPr>
          <w:ilvl w:val="0"/>
          <w:numId w:val="120"/>
        </w:numPr>
        <w:rPr>
          <w:rFonts w:ascii="Arial" w:cs="Arial" w:eastAsia="Arial" w:hAnsi="Arial"/>
          <w:sz w:val="20"/>
          <w:szCs w:val="20"/>
          <w:color w:val="auto"/>
          <w:vertAlign w:val="superscript"/>
        </w:rPr>
      </w:pPr>
      <w:r>
        <w:rPr>
          <w:rFonts w:ascii="Arial" w:cs="Arial" w:eastAsia="Arial" w:hAnsi="Arial"/>
          <w:sz w:val="13"/>
          <w:szCs w:val="13"/>
          <w:color w:val="auto"/>
        </w:rPr>
        <w:t>All of Ms. Wilson’s outstanding long-term incentive awards were forfeited upon her departure from the Company in accordance with their terms.</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Option Exercises and Stock Vested for Fiscal Year 2024</w:t>
      </w:r>
    </w:p>
    <w:p>
      <w:pPr>
        <w:spacing w:after="0" w:line="126" w:lineRule="exact"/>
        <w:rPr>
          <w:sz w:val="20"/>
          <w:szCs w:val="20"/>
          <w:color w:val="auto"/>
        </w:rPr>
      </w:pPr>
    </w:p>
    <w:p>
      <w:pPr>
        <w:ind w:left="740" w:right="40"/>
        <w:spacing w:after="0" w:line="286" w:lineRule="auto"/>
        <w:rPr>
          <w:sz w:val="20"/>
          <w:szCs w:val="20"/>
          <w:color w:val="auto"/>
        </w:rPr>
      </w:pPr>
      <w:r>
        <w:rPr>
          <w:rFonts w:ascii="Arial" w:cs="Arial" w:eastAsia="Arial" w:hAnsi="Arial"/>
          <w:sz w:val="16"/>
          <w:szCs w:val="16"/>
          <w:color w:val="auto"/>
        </w:rPr>
        <w:t>The following table indicates the number and value of stock options exercised and stock and performance share unit awards vested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81915</wp:posOffset>
            </wp:positionV>
            <wp:extent cx="51435" cy="7200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720090"/>
                    </a:xfrm>
                    <a:prstGeom prst="rect">
                      <a:avLst/>
                    </a:prstGeom>
                    <a:noFill/>
                  </pic:spPr>
                </pic:pic>
              </a:graphicData>
            </a:graphic>
          </wp:anchor>
        </w:drawing>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3240" w:type="dxa"/>
            <w:vAlign w:val="bottom"/>
            <w:gridSpan w:val="2"/>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340" w:type="dxa"/>
            <w:vAlign w:val="bottom"/>
            <w:vMerge w:val="restart"/>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260" w:type="dxa"/>
            <w:vAlign w:val="bottom"/>
            <w:vMerge w:val="restart"/>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03763"/>
          </w:tcPr>
          <w:p>
            <w:pPr>
              <w:spacing w:after="0"/>
              <w:rPr>
                <w:sz w:val="18"/>
                <w:szCs w:val="18"/>
                <w:color w:val="auto"/>
              </w:rPr>
            </w:pPr>
          </w:p>
        </w:tc>
        <w:tc>
          <w:tcPr>
            <w:tcW w:w="1600" w:type="dxa"/>
            <w:vAlign w:val="bottom"/>
            <w:gridSpan w:val="4"/>
            <w:shd w:val="clear" w:color="auto" w:fill="003763"/>
          </w:tcPr>
          <w:p>
            <w:pPr>
              <w:spacing w:after="0"/>
              <w:rPr>
                <w:sz w:val="20"/>
                <w:szCs w:val="20"/>
                <w:color w:val="auto"/>
              </w:rPr>
            </w:pPr>
            <w:r>
              <w:rPr>
                <w:rFonts w:ascii="Arial" w:cs="Arial" w:eastAsia="Arial" w:hAnsi="Arial"/>
                <w:sz w:val="13"/>
                <w:szCs w:val="13"/>
                <w:b w:val="1"/>
                <w:bCs w:val="1"/>
                <w:color w:val="FFFFFF"/>
              </w:rPr>
              <w:t>Option Awards</w:t>
            </w:r>
          </w:p>
        </w:tc>
        <w:tc>
          <w:tcPr>
            <w:tcW w:w="120" w:type="dxa"/>
            <w:vAlign w:val="bottom"/>
            <w:shd w:val="clear" w:color="auto" w:fill="003763"/>
          </w:tcPr>
          <w:p>
            <w:pPr>
              <w:spacing w:after="0"/>
              <w:rPr>
                <w:sz w:val="18"/>
                <w:szCs w:val="18"/>
                <w:color w:val="auto"/>
              </w:rPr>
            </w:pPr>
          </w:p>
        </w:tc>
        <w:tc>
          <w:tcPr>
            <w:tcW w:w="260" w:type="dxa"/>
            <w:vAlign w:val="bottom"/>
            <w:vMerge w:val="restart"/>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320" w:type="dxa"/>
            <w:vAlign w:val="bottom"/>
            <w:vMerge w:val="restart"/>
            <w:shd w:val="clear" w:color="auto" w:fill="003763"/>
          </w:tcPr>
          <w:p>
            <w:pPr>
              <w:ind w:left="140"/>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003763"/>
          </w:tcPr>
          <w:p>
            <w:pPr>
              <w:spacing w:after="0"/>
              <w:rPr>
                <w:sz w:val="18"/>
                <w:szCs w:val="18"/>
                <w:color w:val="auto"/>
              </w:rPr>
            </w:pPr>
          </w:p>
        </w:tc>
        <w:tc>
          <w:tcPr>
            <w:tcW w:w="1600" w:type="dxa"/>
            <w:vAlign w:val="bottom"/>
            <w:gridSpan w:val="5"/>
            <w:shd w:val="clear" w:color="auto" w:fill="003763"/>
          </w:tcPr>
          <w:p>
            <w:pPr>
              <w:ind w:left="20"/>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16"/>
                <w:szCs w:val="16"/>
                <w:b w:val="1"/>
                <w:bCs w:val="1"/>
                <w:color w:val="FFFFFF"/>
                <w:vertAlign w:val="superscript"/>
              </w:rPr>
              <w:t>(1)</w:t>
            </w:r>
          </w:p>
        </w:tc>
        <w:tc>
          <w:tcPr>
            <w:tcW w:w="10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
        </w:trPr>
        <w:tc>
          <w:tcPr>
            <w:tcW w:w="3240" w:type="dxa"/>
            <w:vAlign w:val="bottom"/>
            <w:gridSpan w:val="2"/>
            <w:vMerge w:val="continue"/>
            <w:shd w:val="clear" w:color="auto" w:fill="003763"/>
          </w:tcPr>
          <w:p>
            <w:pPr>
              <w:spacing w:after="0"/>
              <w:rPr>
                <w:sz w:val="2"/>
                <w:szCs w:val="2"/>
                <w:color w:val="auto"/>
              </w:rPr>
            </w:pPr>
          </w:p>
        </w:tc>
        <w:tc>
          <w:tcPr>
            <w:tcW w:w="340" w:type="dxa"/>
            <w:vAlign w:val="bottom"/>
            <w:vMerge w:val="continue"/>
            <w:shd w:val="clear" w:color="auto" w:fill="003763"/>
          </w:tcPr>
          <w:p>
            <w:pPr>
              <w:spacing w:after="0"/>
              <w:rPr>
                <w:sz w:val="2"/>
                <w:szCs w:val="2"/>
                <w:color w:val="auto"/>
              </w:rPr>
            </w:pPr>
          </w:p>
        </w:tc>
        <w:tc>
          <w:tcPr>
            <w:tcW w:w="260" w:type="dxa"/>
            <w:vAlign w:val="bottom"/>
            <w:vMerge w:val="continue"/>
            <w:shd w:val="clear" w:color="auto" w:fill="003763"/>
          </w:tcPr>
          <w:p>
            <w:pPr>
              <w:spacing w:after="0"/>
              <w:rPr>
                <w:sz w:val="2"/>
                <w:szCs w:val="2"/>
                <w:color w:val="auto"/>
              </w:rPr>
            </w:pPr>
          </w:p>
        </w:tc>
        <w:tc>
          <w:tcPr>
            <w:tcW w:w="780" w:type="dxa"/>
            <w:vAlign w:val="bottom"/>
            <w:shd w:val="clear" w:color="auto" w:fill="003763"/>
          </w:tcPr>
          <w:p>
            <w:pPr>
              <w:spacing w:after="0"/>
              <w:rPr>
                <w:sz w:val="2"/>
                <w:szCs w:val="2"/>
                <w:color w:val="auto"/>
              </w:rPr>
            </w:pPr>
          </w:p>
        </w:tc>
        <w:tc>
          <w:tcPr>
            <w:tcW w:w="120" w:type="dxa"/>
            <w:vAlign w:val="bottom"/>
            <w:shd w:val="clear" w:color="auto" w:fill="003763"/>
          </w:tcPr>
          <w:p>
            <w:pPr>
              <w:spacing w:after="0"/>
              <w:rPr>
                <w:sz w:val="2"/>
                <w:szCs w:val="2"/>
                <w:color w:val="auto"/>
              </w:rPr>
            </w:pPr>
          </w:p>
        </w:tc>
        <w:tc>
          <w:tcPr>
            <w:tcW w:w="260" w:type="dxa"/>
            <w:vAlign w:val="bottom"/>
            <w:shd w:val="clear" w:color="auto" w:fill="003763"/>
          </w:tcPr>
          <w:p>
            <w:pPr>
              <w:spacing w:after="0"/>
              <w:rPr>
                <w:sz w:val="2"/>
                <w:szCs w:val="2"/>
                <w:color w:val="auto"/>
              </w:rPr>
            </w:pPr>
          </w:p>
        </w:tc>
        <w:tc>
          <w:tcPr>
            <w:tcW w:w="260" w:type="dxa"/>
            <w:vAlign w:val="bottom"/>
            <w:shd w:val="clear" w:color="auto" w:fill="003763"/>
          </w:tcPr>
          <w:p>
            <w:pPr>
              <w:spacing w:after="0"/>
              <w:rPr>
                <w:sz w:val="2"/>
                <w:szCs w:val="2"/>
                <w:color w:val="auto"/>
              </w:rPr>
            </w:pPr>
          </w:p>
        </w:tc>
        <w:tc>
          <w:tcPr>
            <w:tcW w:w="960" w:type="dxa"/>
            <w:vAlign w:val="bottom"/>
            <w:shd w:val="clear" w:color="auto" w:fill="003763"/>
          </w:tcPr>
          <w:p>
            <w:pPr>
              <w:spacing w:after="0"/>
              <w:rPr>
                <w:sz w:val="2"/>
                <w:szCs w:val="2"/>
                <w:color w:val="auto"/>
              </w:rPr>
            </w:pPr>
          </w:p>
        </w:tc>
        <w:tc>
          <w:tcPr>
            <w:tcW w:w="120" w:type="dxa"/>
            <w:vAlign w:val="bottom"/>
            <w:shd w:val="clear" w:color="auto" w:fill="003763"/>
          </w:tcPr>
          <w:p>
            <w:pPr>
              <w:spacing w:after="0"/>
              <w:rPr>
                <w:sz w:val="2"/>
                <w:szCs w:val="2"/>
                <w:color w:val="auto"/>
              </w:rPr>
            </w:pPr>
          </w:p>
        </w:tc>
        <w:tc>
          <w:tcPr>
            <w:tcW w:w="260" w:type="dxa"/>
            <w:vAlign w:val="bottom"/>
            <w:vMerge w:val="continue"/>
            <w:shd w:val="clear" w:color="auto" w:fill="003763"/>
          </w:tcPr>
          <w:p>
            <w:pPr>
              <w:spacing w:after="0"/>
              <w:rPr>
                <w:sz w:val="2"/>
                <w:szCs w:val="2"/>
                <w:color w:val="auto"/>
              </w:rPr>
            </w:pPr>
          </w:p>
        </w:tc>
        <w:tc>
          <w:tcPr>
            <w:tcW w:w="320" w:type="dxa"/>
            <w:vAlign w:val="bottom"/>
            <w:vMerge w:val="continue"/>
            <w:shd w:val="clear" w:color="auto" w:fill="003763"/>
          </w:tcPr>
          <w:p>
            <w:pPr>
              <w:spacing w:after="0"/>
              <w:rPr>
                <w:sz w:val="2"/>
                <w:szCs w:val="2"/>
                <w:color w:val="auto"/>
              </w:rPr>
            </w:pPr>
          </w:p>
        </w:tc>
        <w:tc>
          <w:tcPr>
            <w:tcW w:w="640" w:type="dxa"/>
            <w:vAlign w:val="bottom"/>
            <w:shd w:val="clear" w:color="auto" w:fill="003763"/>
          </w:tcPr>
          <w:p>
            <w:pPr>
              <w:spacing w:after="0"/>
              <w:rPr>
                <w:sz w:val="2"/>
                <w:szCs w:val="2"/>
                <w:color w:val="auto"/>
              </w:rPr>
            </w:pPr>
          </w:p>
        </w:tc>
        <w:tc>
          <w:tcPr>
            <w:tcW w:w="120" w:type="dxa"/>
            <w:vAlign w:val="bottom"/>
            <w:shd w:val="clear" w:color="auto" w:fill="003763"/>
          </w:tcPr>
          <w:p>
            <w:pPr>
              <w:spacing w:after="0"/>
              <w:rPr>
                <w:sz w:val="2"/>
                <w:szCs w:val="2"/>
                <w:color w:val="auto"/>
              </w:rPr>
            </w:pPr>
          </w:p>
        </w:tc>
        <w:tc>
          <w:tcPr>
            <w:tcW w:w="260" w:type="dxa"/>
            <w:vAlign w:val="bottom"/>
            <w:shd w:val="clear" w:color="auto" w:fill="003763"/>
          </w:tcPr>
          <w:p>
            <w:pPr>
              <w:spacing w:after="0"/>
              <w:rPr>
                <w:sz w:val="2"/>
                <w:szCs w:val="2"/>
                <w:color w:val="auto"/>
              </w:rPr>
            </w:pPr>
          </w:p>
        </w:tc>
        <w:tc>
          <w:tcPr>
            <w:tcW w:w="260" w:type="dxa"/>
            <w:vAlign w:val="bottom"/>
            <w:shd w:val="clear" w:color="auto" w:fill="003763"/>
          </w:tcPr>
          <w:p>
            <w:pPr>
              <w:spacing w:after="0"/>
              <w:rPr>
                <w:sz w:val="2"/>
                <w:szCs w:val="2"/>
                <w:color w:val="auto"/>
              </w:rPr>
            </w:pPr>
          </w:p>
        </w:tc>
        <w:tc>
          <w:tcPr>
            <w:tcW w:w="180" w:type="dxa"/>
            <w:vAlign w:val="bottom"/>
            <w:shd w:val="clear" w:color="auto" w:fill="003763"/>
          </w:tcPr>
          <w:p>
            <w:pPr>
              <w:spacing w:after="0"/>
              <w:rPr>
                <w:sz w:val="2"/>
                <w:szCs w:val="2"/>
                <w:color w:val="auto"/>
              </w:rPr>
            </w:pPr>
          </w:p>
        </w:tc>
        <w:tc>
          <w:tcPr>
            <w:tcW w:w="780" w:type="dxa"/>
            <w:vAlign w:val="bottom"/>
            <w:shd w:val="clear" w:color="auto" w:fill="003763"/>
          </w:tcPr>
          <w:p>
            <w:pPr>
              <w:spacing w:after="0"/>
              <w:rPr>
                <w:sz w:val="2"/>
                <w:szCs w:val="2"/>
                <w:color w:val="auto"/>
              </w:rPr>
            </w:pPr>
          </w:p>
        </w:tc>
        <w:tc>
          <w:tcPr>
            <w:tcW w:w="100" w:type="dxa"/>
            <w:vAlign w:val="bottom"/>
            <w:vMerge w:val="continue"/>
            <w:shd w:val="clear" w:color="auto" w:fill="00376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0" w:type="dxa"/>
            <w:vAlign w:val="bottom"/>
          </w:tcPr>
          <w:p>
            <w:pPr>
              <w:spacing w:after="0"/>
              <w:rPr>
                <w:sz w:val="17"/>
                <w:szCs w:val="17"/>
                <w:color w:val="auto"/>
              </w:rPr>
            </w:pPr>
          </w:p>
        </w:tc>
        <w:tc>
          <w:tcPr>
            <w:tcW w:w="3160" w:type="dxa"/>
            <w:vAlign w:val="bottom"/>
            <w:shd w:val="clear" w:color="auto" w:fill="003763"/>
          </w:tcPr>
          <w:p>
            <w:pPr>
              <w:spacing w:after="0"/>
              <w:rPr>
                <w:sz w:val="17"/>
                <w:szCs w:val="17"/>
                <w:color w:val="auto"/>
              </w:rPr>
            </w:pPr>
          </w:p>
        </w:tc>
        <w:tc>
          <w:tcPr>
            <w:tcW w:w="34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7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2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960" w:type="dxa"/>
            <w:vAlign w:val="bottom"/>
            <w:shd w:val="clear" w:color="auto" w:fill="003763"/>
          </w:tcPr>
          <w:p>
            <w:pPr>
              <w:spacing w:after="0"/>
              <w:rPr>
                <w:sz w:val="17"/>
                <w:szCs w:val="17"/>
                <w:color w:val="auto"/>
              </w:rPr>
            </w:pPr>
          </w:p>
        </w:tc>
        <w:tc>
          <w:tcPr>
            <w:tcW w:w="12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320" w:type="dxa"/>
            <w:vAlign w:val="bottom"/>
            <w:shd w:val="clear" w:color="auto" w:fill="003763"/>
          </w:tcPr>
          <w:p>
            <w:pPr>
              <w:spacing w:after="0"/>
              <w:rPr>
                <w:sz w:val="17"/>
                <w:szCs w:val="17"/>
                <w:color w:val="auto"/>
              </w:rPr>
            </w:pPr>
          </w:p>
        </w:tc>
        <w:tc>
          <w:tcPr>
            <w:tcW w:w="6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2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260" w:type="dxa"/>
            <w:vAlign w:val="bottom"/>
            <w:shd w:val="clear" w:color="auto" w:fill="003763"/>
          </w:tcPr>
          <w:p>
            <w:pPr>
              <w:spacing w:after="0"/>
              <w:rPr>
                <w:sz w:val="17"/>
                <w:szCs w:val="17"/>
                <w:color w:val="auto"/>
              </w:rPr>
            </w:pPr>
          </w:p>
        </w:tc>
        <w:tc>
          <w:tcPr>
            <w:tcW w:w="180" w:type="dxa"/>
            <w:vAlign w:val="bottom"/>
            <w:shd w:val="clear" w:color="auto" w:fill="003763"/>
          </w:tcPr>
          <w:p>
            <w:pPr>
              <w:spacing w:after="0"/>
              <w:rPr>
                <w:sz w:val="17"/>
                <w:szCs w:val="17"/>
                <w:color w:val="auto"/>
              </w:rPr>
            </w:pPr>
          </w:p>
        </w:tc>
        <w:tc>
          <w:tcPr>
            <w:tcW w:w="78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160" w:type="dxa"/>
            <w:vAlign w:val="bottom"/>
            <w:shd w:val="clear" w:color="auto" w:fill="003763"/>
          </w:tcPr>
          <w:p>
            <w:pPr>
              <w:spacing w:after="0"/>
              <w:rPr>
                <w:sz w:val="12"/>
                <w:szCs w:val="12"/>
                <w:color w:val="auto"/>
              </w:rPr>
            </w:pPr>
          </w:p>
        </w:tc>
        <w:tc>
          <w:tcPr>
            <w:tcW w:w="34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7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2"/>
              </w:rPr>
              <w:t>Shares</w:t>
            </w: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9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6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8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160" w:type="dxa"/>
            <w:vAlign w:val="bottom"/>
            <w:shd w:val="clear" w:color="auto" w:fill="003763"/>
          </w:tcPr>
          <w:p>
            <w:pPr>
              <w:spacing w:after="0"/>
              <w:rPr>
                <w:sz w:val="14"/>
                <w:szCs w:val="14"/>
                <w:color w:val="auto"/>
              </w:rPr>
            </w:pPr>
          </w:p>
        </w:tc>
        <w:tc>
          <w:tcPr>
            <w:tcW w:w="34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7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Acquired</w:t>
            </w:r>
          </w:p>
        </w:tc>
        <w:tc>
          <w:tcPr>
            <w:tcW w:w="12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9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2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320" w:type="dxa"/>
            <w:vAlign w:val="bottom"/>
            <w:shd w:val="clear" w:color="auto" w:fill="003763"/>
          </w:tcPr>
          <w:p>
            <w:pPr>
              <w:spacing w:after="0"/>
              <w:rPr>
                <w:sz w:val="14"/>
                <w:szCs w:val="14"/>
                <w:color w:val="auto"/>
              </w:rPr>
            </w:pPr>
          </w:p>
        </w:tc>
        <w:tc>
          <w:tcPr>
            <w:tcW w:w="6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Acquired</w:t>
            </w:r>
          </w:p>
        </w:tc>
        <w:tc>
          <w:tcPr>
            <w:tcW w:w="12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9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Value Realized</w:t>
            </w: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160" w:type="dxa"/>
            <w:vAlign w:val="bottom"/>
            <w:shd w:val="clear" w:color="auto" w:fill="003763"/>
          </w:tcPr>
          <w:p>
            <w:pPr>
              <w:spacing w:after="0"/>
              <w:rPr>
                <w:sz w:val="12"/>
                <w:szCs w:val="12"/>
                <w:color w:val="auto"/>
              </w:rPr>
            </w:pPr>
          </w:p>
        </w:tc>
        <w:tc>
          <w:tcPr>
            <w:tcW w:w="34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7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on Exercise</w:t>
            </w: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9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on Exercise</w:t>
            </w: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6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on Vesting</w:t>
            </w:r>
          </w:p>
        </w:tc>
        <w:tc>
          <w:tcPr>
            <w:tcW w:w="1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780" w:type="dxa"/>
            <w:vAlign w:val="bottom"/>
            <w:shd w:val="clear" w:color="auto" w:fill="003763"/>
          </w:tcPr>
          <w:p>
            <w:pPr>
              <w:jc w:val="center"/>
              <w:ind w:right="54"/>
              <w:spacing w:after="0"/>
              <w:rPr>
                <w:sz w:val="20"/>
                <w:szCs w:val="20"/>
                <w:color w:val="auto"/>
              </w:rPr>
            </w:pPr>
            <w:r>
              <w:rPr>
                <w:rFonts w:ascii="Arial" w:cs="Arial" w:eastAsia="Arial" w:hAnsi="Arial"/>
                <w:sz w:val="13"/>
                <w:szCs w:val="13"/>
                <w:b w:val="1"/>
                <w:bCs w:val="1"/>
                <w:color w:val="FFFFFF"/>
                <w:w w:val="93"/>
              </w:rPr>
              <w:t>on Vesting</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0" w:type="dxa"/>
            <w:vAlign w:val="bottom"/>
          </w:tcPr>
          <w:p>
            <w:pPr>
              <w:ind w:left="40"/>
              <w:spacing w:after="0"/>
              <w:rPr>
                <w:sz w:val="20"/>
                <w:szCs w:val="20"/>
                <w:color w:val="auto"/>
              </w:rPr>
            </w:pPr>
            <w:r>
              <w:rPr>
                <w:rFonts w:ascii="Arial" w:cs="Arial" w:eastAsia="Arial" w:hAnsi="Arial"/>
                <w:sz w:val="13"/>
                <w:szCs w:val="13"/>
                <w:b w:val="1"/>
                <w:bCs w:val="1"/>
                <w:color w:val="FFFFFF"/>
              </w:rPr>
              <w:t>​</w:t>
            </w:r>
          </w:p>
        </w:tc>
        <w:tc>
          <w:tcPr>
            <w:tcW w:w="316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Name</w:t>
            </w:r>
          </w:p>
        </w:tc>
        <w:tc>
          <w:tcPr>
            <w:tcW w:w="340" w:type="dxa"/>
            <w:vAlign w:val="bottom"/>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03763"/>
          </w:tcPr>
          <w:p>
            <w:pPr>
              <w:jc w:val="center"/>
              <w:ind w:left="32"/>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03763"/>
          </w:tcPr>
          <w:p>
            <w:pPr>
              <w:spacing w:after="0"/>
              <w:rPr>
                <w:sz w:val="20"/>
                <w:szCs w:val="20"/>
                <w:color w:val="auto"/>
              </w:rPr>
            </w:pPr>
          </w:p>
        </w:tc>
        <w:tc>
          <w:tcPr>
            <w:tcW w:w="2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03763"/>
          </w:tcPr>
          <w:p>
            <w:pPr>
              <w:jc w:val="center"/>
              <w:ind w:left="11"/>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03763"/>
          </w:tcPr>
          <w:p>
            <w:pPr>
              <w:spacing w:after="0"/>
              <w:rPr>
                <w:sz w:val="20"/>
                <w:szCs w:val="20"/>
                <w:color w:val="auto"/>
              </w:rPr>
            </w:pPr>
          </w:p>
        </w:tc>
        <w:tc>
          <w:tcPr>
            <w:tcW w:w="26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320" w:type="dxa"/>
            <w:vAlign w:val="bottom"/>
            <w:shd w:val="clear" w:color="auto" w:fill="003763"/>
          </w:tcPr>
          <w:p>
            <w:pPr>
              <w:ind w:left="140"/>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120" w:type="dxa"/>
            <w:vAlign w:val="bottom"/>
            <w:shd w:val="clear" w:color="auto" w:fill="003763"/>
          </w:tcPr>
          <w:p>
            <w:pPr>
              <w:spacing w:after="0"/>
              <w:rPr>
                <w:sz w:val="20"/>
                <w:szCs w:val="20"/>
                <w:color w:val="auto"/>
              </w:rPr>
            </w:pPr>
          </w:p>
        </w:tc>
        <w:tc>
          <w:tcPr>
            <w:tcW w:w="2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3763"/>
          </w:tcPr>
          <w:p>
            <w:pPr>
              <w:spacing w:after="0"/>
              <w:rPr>
                <w:sz w:val="20"/>
                <w:szCs w:val="20"/>
                <w:color w:val="auto"/>
              </w:rPr>
            </w:pPr>
          </w:p>
        </w:tc>
        <w:tc>
          <w:tcPr>
            <w:tcW w:w="780" w:type="dxa"/>
            <w:vAlign w:val="bottom"/>
            <w:shd w:val="clear" w:color="auto" w:fill="003763"/>
          </w:tcPr>
          <w:p>
            <w:pPr>
              <w:jc w:val="center"/>
              <w:ind w:right="14"/>
              <w:spacing w:after="0"/>
              <w:rPr>
                <w:sz w:val="20"/>
                <w:szCs w:val="20"/>
                <w:color w:val="auto"/>
              </w:rPr>
            </w:pPr>
            <w:r>
              <w:rPr>
                <w:rFonts w:ascii="Arial" w:cs="Arial" w:eastAsia="Arial" w:hAnsi="Arial"/>
                <w:sz w:val="13"/>
                <w:szCs w:val="13"/>
                <w:b w:val="1"/>
                <w:bCs w:val="1"/>
                <w:color w:val="FFFFFF"/>
                <w:w w:val="87"/>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3"/>
        </w:trPr>
        <w:tc>
          <w:tcPr>
            <w:tcW w:w="3240" w:type="dxa"/>
            <w:vAlign w:val="bottom"/>
            <w:tcBorders>
              <w:bottom w:val="single" w:sz="8" w:color="CCCCCC"/>
            </w:tcBorders>
            <w:gridSpan w:val="2"/>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Wells</w:t>
            </w:r>
          </w:p>
        </w:tc>
        <w:tc>
          <w:tcPr>
            <w:tcW w:w="34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tcPr>
          <w:p>
            <w:pPr>
              <w:jc w:val="center"/>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tcPr>
          <w:p>
            <w:pPr>
              <w:jc w:val="center"/>
              <w:spacing w:after="0" w:line="284"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tcPr>
          <w:p>
            <w:pPr>
              <w:jc w:val="center"/>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91,481</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tcPr>
          <w:p>
            <w:pPr>
              <w:jc w:val="right"/>
              <w:ind w:right="14"/>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3,036,354</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Foster</w:t>
            </w:r>
          </w:p>
        </w:tc>
        <w:tc>
          <w:tcPr>
            <w:tcW w:w="34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63,893</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F2F2F2"/>
          </w:tcPr>
          <w:p>
            <w:pPr>
              <w:jc w:val="right"/>
              <w:ind w:right="14"/>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1,931,485</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Karuturi</w:t>
            </w:r>
          </w:p>
        </w:tc>
        <w:tc>
          <w:tcPr>
            <w:tcW w:w="34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56,987</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tcPr>
          <w:p>
            <w:pPr>
              <w:jc w:val="right"/>
              <w:ind w:right="14"/>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1,894,655</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Ryan</w:t>
            </w:r>
          </w:p>
        </w:tc>
        <w:tc>
          <w:tcPr>
            <w:tcW w:w="34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44,362</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F2F2F2"/>
          </w:tcPr>
          <w:p>
            <w:pPr>
              <w:jc w:val="right"/>
              <w:ind w:right="14"/>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1,472,255</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Harkel-Rumford</w:t>
            </w:r>
          </w:p>
        </w:tc>
        <w:tc>
          <w:tcPr>
            <w:tcW w:w="34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34,669</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tcPr>
          <w:p>
            <w:pPr>
              <w:jc w:val="right"/>
              <w:ind w:right="14"/>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1,152,167</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Lesar</w:t>
            </w:r>
          </w:p>
        </w:tc>
        <w:tc>
          <w:tcPr>
            <w:tcW w:w="34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shd w:val="clear" w:color="auto" w:fill="F2F2F2"/>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​445,900</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F2F2F2"/>
          </w:tcPr>
          <w:p>
            <w:pPr>
              <w:jc w:val="right"/>
              <w:ind w:right="14"/>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​14,801,895</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Wilson</w:t>
            </w:r>
          </w:p>
        </w:tc>
        <w:tc>
          <w:tcPr>
            <w:tcW w:w="34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20" w:type="dxa"/>
            <w:vAlign w:val="bottom"/>
            <w:tcBorders>
              <w:bottom w:val="single" w:sz="8" w:color="CCCCCC"/>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tcPr>
          <w:p>
            <w:pPr>
              <w:jc w:val="center"/>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2,893</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CCCC"/>
            </w:tcBorders>
          </w:tcPr>
          <w:p>
            <w:pPr>
              <w:ind w:left="14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780" w:type="dxa"/>
            <w:vAlign w:val="bottom"/>
            <w:tcBorders>
              <w:bottom w:val="single" w:sz="8" w:color="CCCCCC"/>
            </w:tcBorders>
          </w:tcPr>
          <w:p>
            <w:pPr>
              <w:jc w:val="right"/>
              <w:ind w:right="14"/>
              <w:spacing w:after="0"/>
              <w:rPr>
                <w:sz w:val="20"/>
                <w:szCs w:val="20"/>
                <w:color w:val="auto"/>
              </w:rPr>
            </w:pPr>
            <w:r>
              <w:rPr>
                <w:rFonts w:ascii="Arial" w:cs="Arial" w:eastAsia="Arial" w:hAnsi="Arial"/>
                <w:sz w:val="14"/>
                <w:szCs w:val="14"/>
                <w:color w:val="auto"/>
              </w:rPr>
              <w:t>87,108</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-1833880</wp:posOffset>
            </wp:positionV>
            <wp:extent cx="33515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7" w:lineRule="exact"/>
        <w:rPr>
          <w:sz w:val="20"/>
          <w:szCs w:val="20"/>
          <w:color w:val="auto"/>
        </w:rPr>
      </w:pPr>
    </w:p>
    <w:p>
      <w:pPr>
        <w:ind w:left="920" w:hanging="189"/>
        <w:spacing w:after="0"/>
        <w:tabs>
          <w:tab w:leader="none" w:pos="920" w:val="left"/>
        </w:tabs>
        <w:numPr>
          <w:ilvl w:val="0"/>
          <w:numId w:val="121"/>
        </w:numPr>
        <w:rPr>
          <w:rFonts w:ascii="Arial" w:cs="Arial" w:eastAsia="Arial" w:hAnsi="Arial"/>
          <w:sz w:val="20"/>
          <w:szCs w:val="20"/>
          <w:color w:val="auto"/>
          <w:vertAlign w:val="superscript"/>
        </w:rPr>
      </w:pPr>
      <w:r>
        <w:rPr>
          <w:rFonts w:ascii="Arial" w:cs="Arial" w:eastAsia="Arial" w:hAnsi="Arial"/>
          <w:sz w:val="13"/>
          <w:szCs w:val="13"/>
          <w:color w:val="auto"/>
        </w:rPr>
        <w:t>For each of the named executive officers, the stock awards and performance share unit awards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111760</wp:posOffset>
            </wp:positionV>
            <wp:extent cx="51435" cy="11144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1114425"/>
                    </a:xfrm>
                    <a:prstGeom prst="rect">
                      <a:avLst/>
                    </a:prstGeom>
                    <a:noFill/>
                  </pic:spPr>
                </pic:pic>
              </a:graphicData>
            </a:graphic>
          </wp:anchor>
        </w:drawing>
      </w:r>
    </w:p>
    <w:p>
      <w:pPr>
        <w:spacing w:after="0" w:line="156" w:lineRule="exact"/>
        <w:rPr>
          <w:sz w:val="20"/>
          <w:szCs w:val="20"/>
          <w:color w:val="auto"/>
        </w:rPr>
      </w:pPr>
    </w:p>
    <w:tbl>
      <w:tblPr>
        <w:tblLayout w:type="fixed"/>
        <w:tblInd w:w="900" w:type="dxa"/>
        <w:tblCellMar>
          <w:top w:w="0" w:type="dxa"/>
          <w:left w:w="0" w:type="dxa"/>
          <w:bottom w:w="0" w:type="dxa"/>
          <w:right w:w="0" w:type="dxa"/>
        </w:tblCellMar>
      </w:tblPr>
      <w:tr>
        <w:trPr>
          <w:trHeight w:val="185"/>
        </w:trPr>
        <w:tc>
          <w:tcPr>
            <w:tcW w:w="80" w:type="dxa"/>
            <w:vAlign w:val="bottom"/>
            <w:shd w:val="clear" w:color="auto" w:fill="003763"/>
          </w:tcPr>
          <w:p>
            <w:pPr>
              <w:spacing w:after="0"/>
              <w:rPr>
                <w:sz w:val="16"/>
                <w:szCs w:val="16"/>
                <w:color w:val="auto"/>
              </w:rPr>
            </w:pPr>
          </w:p>
        </w:tc>
        <w:tc>
          <w:tcPr>
            <w:tcW w:w="4040" w:type="dxa"/>
            <w:vAlign w:val="bottom"/>
            <w:shd w:val="clear" w:color="auto" w:fill="003763"/>
          </w:tcPr>
          <w:p>
            <w:pPr>
              <w:spacing w:after="0"/>
              <w:rPr>
                <w:sz w:val="16"/>
                <w:szCs w:val="16"/>
                <w:color w:val="auto"/>
              </w:rPr>
            </w:pPr>
          </w:p>
        </w:tc>
        <w:tc>
          <w:tcPr>
            <w:tcW w:w="120" w:type="dxa"/>
            <w:vAlign w:val="bottom"/>
            <w:shd w:val="clear" w:color="auto" w:fill="003763"/>
          </w:tcPr>
          <w:p>
            <w:pPr>
              <w:spacing w:after="0"/>
              <w:rPr>
                <w:sz w:val="16"/>
                <w:szCs w:val="16"/>
                <w:color w:val="auto"/>
              </w:rPr>
            </w:pPr>
          </w:p>
        </w:tc>
        <w:tc>
          <w:tcPr>
            <w:tcW w:w="200" w:type="dxa"/>
            <w:vAlign w:val="bottom"/>
            <w:shd w:val="clear" w:color="auto" w:fill="003763"/>
          </w:tcPr>
          <w:p>
            <w:pPr>
              <w:spacing w:after="0"/>
              <w:rPr>
                <w:sz w:val="16"/>
                <w:szCs w:val="16"/>
                <w:color w:val="auto"/>
              </w:rPr>
            </w:pPr>
          </w:p>
        </w:tc>
        <w:tc>
          <w:tcPr>
            <w:tcW w:w="122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Performance Share</w:t>
            </w:r>
          </w:p>
        </w:tc>
        <w:tc>
          <w:tcPr>
            <w:tcW w:w="160" w:type="dxa"/>
            <w:vAlign w:val="bottom"/>
            <w:shd w:val="clear" w:color="auto" w:fill="003763"/>
          </w:tcPr>
          <w:p>
            <w:pPr>
              <w:spacing w:after="0"/>
              <w:rPr>
                <w:sz w:val="16"/>
                <w:szCs w:val="16"/>
                <w:color w:val="auto"/>
              </w:rPr>
            </w:pPr>
          </w:p>
        </w:tc>
        <w:tc>
          <w:tcPr>
            <w:tcW w:w="120" w:type="dxa"/>
            <w:vAlign w:val="bottom"/>
            <w:shd w:val="clear" w:color="auto" w:fill="003763"/>
          </w:tcPr>
          <w:p>
            <w:pPr>
              <w:spacing w:after="0"/>
              <w:rPr>
                <w:sz w:val="16"/>
                <w:szCs w:val="16"/>
                <w:color w:val="auto"/>
              </w:rPr>
            </w:pPr>
          </w:p>
        </w:tc>
        <w:tc>
          <w:tcPr>
            <w:tcW w:w="200" w:type="dxa"/>
            <w:vAlign w:val="bottom"/>
            <w:shd w:val="clear" w:color="auto" w:fill="003763"/>
          </w:tcPr>
          <w:p>
            <w:pPr>
              <w:spacing w:after="0"/>
              <w:rPr>
                <w:sz w:val="16"/>
                <w:szCs w:val="16"/>
                <w:color w:val="auto"/>
              </w:rPr>
            </w:pPr>
          </w:p>
        </w:tc>
        <w:tc>
          <w:tcPr>
            <w:tcW w:w="1280" w:type="dxa"/>
            <w:vAlign w:val="bottom"/>
            <w:gridSpan w:val="4"/>
            <w:shd w:val="clear" w:color="auto" w:fill="003763"/>
          </w:tcPr>
          <w:p>
            <w:pPr>
              <w:jc w:val="center"/>
              <w:ind w:right="72"/>
              <w:spacing w:after="0"/>
              <w:rPr>
                <w:sz w:val="20"/>
                <w:szCs w:val="20"/>
                <w:color w:val="auto"/>
              </w:rPr>
            </w:pPr>
            <w:r>
              <w:rPr>
                <w:rFonts w:ascii="Arial" w:cs="Arial" w:eastAsia="Arial" w:hAnsi="Arial"/>
                <w:sz w:val="13"/>
                <w:szCs w:val="13"/>
                <w:b w:val="1"/>
                <w:bCs w:val="1"/>
                <w:color w:val="FFFFFF"/>
                <w:w w:val="95"/>
              </w:rPr>
              <w:t>Stock Awards</w:t>
            </w:r>
          </w:p>
        </w:tc>
        <w:tc>
          <w:tcPr>
            <w:tcW w:w="140" w:type="dxa"/>
            <w:vAlign w:val="bottom"/>
            <w:shd w:val="clear" w:color="auto" w:fill="003763"/>
          </w:tcPr>
          <w:p>
            <w:pPr>
              <w:spacing w:after="0"/>
              <w:rPr>
                <w:sz w:val="16"/>
                <w:szCs w:val="16"/>
                <w:color w:val="auto"/>
              </w:rPr>
            </w:pPr>
          </w:p>
        </w:tc>
        <w:tc>
          <w:tcPr>
            <w:tcW w:w="200" w:type="dxa"/>
            <w:vAlign w:val="bottom"/>
            <w:shd w:val="clear" w:color="auto" w:fill="003763"/>
          </w:tcPr>
          <w:p>
            <w:pPr>
              <w:spacing w:after="0"/>
              <w:rPr>
                <w:sz w:val="16"/>
                <w:szCs w:val="16"/>
                <w:color w:val="auto"/>
              </w:rPr>
            </w:pPr>
          </w:p>
        </w:tc>
        <w:tc>
          <w:tcPr>
            <w:tcW w:w="110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Stock Awards</w:t>
            </w:r>
          </w:p>
        </w:tc>
        <w:tc>
          <w:tcPr>
            <w:tcW w:w="16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404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22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Unit Awards for the</w:t>
            </w:r>
          </w:p>
        </w:tc>
        <w:tc>
          <w:tcPr>
            <w:tcW w:w="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280" w:type="dxa"/>
            <w:vAlign w:val="bottom"/>
            <w:gridSpan w:val="4"/>
            <w:shd w:val="clear" w:color="auto" w:fill="003763"/>
          </w:tcPr>
          <w:p>
            <w:pPr>
              <w:jc w:val="center"/>
              <w:ind w:right="72"/>
              <w:spacing w:after="0"/>
              <w:rPr>
                <w:sz w:val="20"/>
                <w:szCs w:val="20"/>
                <w:color w:val="auto"/>
              </w:rPr>
            </w:pPr>
            <w:r>
              <w:rPr>
                <w:rFonts w:ascii="Arial" w:cs="Arial" w:eastAsia="Arial" w:hAnsi="Arial"/>
                <w:sz w:val="13"/>
                <w:szCs w:val="13"/>
                <w:b w:val="1"/>
                <w:bCs w:val="1"/>
                <w:color w:val="FFFFFF"/>
              </w:rPr>
              <w:t>Granted</w:t>
            </w:r>
          </w:p>
        </w:tc>
        <w:tc>
          <w:tcPr>
            <w:tcW w:w="14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880" w:type="dxa"/>
            <w:vAlign w:val="bottom"/>
            <w:gridSpan w:val="3"/>
            <w:shd w:val="clear" w:color="auto" w:fill="003763"/>
          </w:tcPr>
          <w:p>
            <w:pPr>
              <w:jc w:val="center"/>
              <w:ind w:right="137"/>
              <w:spacing w:after="0"/>
              <w:rPr>
                <w:sz w:val="20"/>
                <w:szCs w:val="20"/>
                <w:color w:val="auto"/>
              </w:rPr>
            </w:pPr>
            <w:r>
              <w:rPr>
                <w:rFonts w:ascii="Arial" w:cs="Arial" w:eastAsia="Arial" w:hAnsi="Arial"/>
                <w:sz w:val="13"/>
                <w:szCs w:val="13"/>
                <w:b w:val="1"/>
                <w:bCs w:val="1"/>
                <w:color w:val="FFFFFF"/>
                <w:w w:val="96"/>
              </w:rPr>
              <w:t>Granted</w:t>
            </w:r>
          </w:p>
        </w:tc>
        <w:tc>
          <w:tcPr>
            <w:tcW w:w="16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404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960" w:type="dxa"/>
            <w:vAlign w:val="bottom"/>
            <w:gridSpan w:val="3"/>
            <w:shd w:val="clear" w:color="auto" w:fill="003763"/>
          </w:tcPr>
          <w:p>
            <w:pPr>
              <w:jc w:val="center"/>
              <w:ind w:right="196"/>
              <w:spacing w:after="0"/>
              <w:rPr>
                <w:sz w:val="20"/>
                <w:szCs w:val="20"/>
                <w:color w:val="auto"/>
              </w:rPr>
            </w:pPr>
            <w:r>
              <w:rPr>
                <w:rFonts w:ascii="Arial" w:cs="Arial" w:eastAsia="Arial" w:hAnsi="Arial"/>
                <w:sz w:val="13"/>
                <w:szCs w:val="13"/>
                <w:b w:val="1"/>
                <w:bCs w:val="1"/>
                <w:color w:val="FFFFFF"/>
                <w:w w:val="93"/>
              </w:rPr>
              <w:t>2022 – 2024</w:t>
            </w:r>
          </w:p>
        </w:tc>
        <w:tc>
          <w:tcPr>
            <w:tcW w:w="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280" w:type="dxa"/>
            <w:vAlign w:val="bottom"/>
            <w:gridSpan w:val="4"/>
            <w:shd w:val="clear" w:color="auto" w:fill="003763"/>
          </w:tcPr>
          <w:p>
            <w:pPr>
              <w:jc w:val="center"/>
              <w:ind w:right="72"/>
              <w:spacing w:after="0"/>
              <w:rPr>
                <w:sz w:val="20"/>
                <w:szCs w:val="20"/>
                <w:color w:val="auto"/>
              </w:rPr>
            </w:pPr>
            <w:r>
              <w:rPr>
                <w:rFonts w:ascii="Arial" w:cs="Arial" w:eastAsia="Arial" w:hAnsi="Arial"/>
                <w:sz w:val="13"/>
                <w:szCs w:val="13"/>
                <w:b w:val="1"/>
                <w:bCs w:val="1"/>
                <w:color w:val="FFFFFF"/>
                <w:w w:val="96"/>
              </w:rPr>
              <w:t>February 18, 2021</w:t>
            </w:r>
          </w:p>
        </w:tc>
        <w:tc>
          <w:tcPr>
            <w:tcW w:w="14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110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May 5, 2023</w:t>
            </w:r>
          </w:p>
        </w:tc>
        <w:tc>
          <w:tcPr>
            <w:tcW w:w="16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003763"/>
          </w:tcPr>
          <w:p>
            <w:pPr>
              <w:spacing w:after="0"/>
              <w:rPr>
                <w:sz w:val="13"/>
                <w:szCs w:val="13"/>
                <w:color w:val="auto"/>
              </w:rPr>
            </w:pPr>
          </w:p>
        </w:tc>
        <w:tc>
          <w:tcPr>
            <w:tcW w:w="4040" w:type="dxa"/>
            <w:vAlign w:val="bottom"/>
            <w:shd w:val="clear" w:color="auto" w:fill="003763"/>
          </w:tcPr>
          <w:p>
            <w:pPr>
              <w:spacing w:after="0"/>
              <w:rPr>
                <w:sz w:val="13"/>
                <w:szCs w:val="13"/>
                <w:color w:val="auto"/>
              </w:rPr>
            </w:pPr>
          </w:p>
        </w:tc>
        <w:tc>
          <w:tcPr>
            <w:tcW w:w="120" w:type="dxa"/>
            <w:vAlign w:val="bottom"/>
            <w:shd w:val="clear" w:color="auto" w:fill="003763"/>
          </w:tcPr>
          <w:p>
            <w:pPr>
              <w:spacing w:after="0"/>
              <w:rPr>
                <w:sz w:val="13"/>
                <w:szCs w:val="13"/>
                <w:color w:val="auto"/>
              </w:rPr>
            </w:pPr>
          </w:p>
        </w:tc>
        <w:tc>
          <w:tcPr>
            <w:tcW w:w="200" w:type="dxa"/>
            <w:vAlign w:val="bottom"/>
            <w:shd w:val="clear" w:color="auto" w:fill="003763"/>
          </w:tcPr>
          <w:p>
            <w:pPr>
              <w:spacing w:after="0"/>
              <w:rPr>
                <w:sz w:val="13"/>
                <w:szCs w:val="13"/>
                <w:color w:val="auto"/>
              </w:rPr>
            </w:pPr>
          </w:p>
        </w:tc>
        <w:tc>
          <w:tcPr>
            <w:tcW w:w="122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Performance</w:t>
            </w:r>
          </w:p>
        </w:tc>
        <w:tc>
          <w:tcPr>
            <w:tcW w:w="160" w:type="dxa"/>
            <w:vAlign w:val="bottom"/>
            <w:shd w:val="clear" w:color="auto" w:fill="003763"/>
          </w:tcPr>
          <w:p>
            <w:pPr>
              <w:spacing w:after="0"/>
              <w:rPr>
                <w:sz w:val="13"/>
                <w:szCs w:val="13"/>
                <w:color w:val="auto"/>
              </w:rPr>
            </w:pPr>
          </w:p>
        </w:tc>
        <w:tc>
          <w:tcPr>
            <w:tcW w:w="120" w:type="dxa"/>
            <w:vAlign w:val="bottom"/>
            <w:shd w:val="clear" w:color="auto" w:fill="003763"/>
          </w:tcPr>
          <w:p>
            <w:pPr>
              <w:spacing w:after="0"/>
              <w:rPr>
                <w:sz w:val="13"/>
                <w:szCs w:val="13"/>
                <w:color w:val="auto"/>
              </w:rPr>
            </w:pPr>
          </w:p>
        </w:tc>
        <w:tc>
          <w:tcPr>
            <w:tcW w:w="200" w:type="dxa"/>
            <w:vAlign w:val="bottom"/>
            <w:shd w:val="clear" w:color="auto" w:fill="003763"/>
          </w:tcPr>
          <w:p>
            <w:pPr>
              <w:spacing w:after="0"/>
              <w:rPr>
                <w:sz w:val="13"/>
                <w:szCs w:val="13"/>
                <w:color w:val="auto"/>
              </w:rPr>
            </w:pPr>
          </w:p>
        </w:tc>
        <w:tc>
          <w:tcPr>
            <w:tcW w:w="1280" w:type="dxa"/>
            <w:vAlign w:val="bottom"/>
            <w:gridSpan w:val="4"/>
            <w:shd w:val="clear" w:color="auto" w:fill="003763"/>
          </w:tcPr>
          <w:p>
            <w:pPr>
              <w:jc w:val="center"/>
              <w:ind w:right="72"/>
              <w:spacing w:after="0"/>
              <w:rPr>
                <w:sz w:val="20"/>
                <w:szCs w:val="20"/>
                <w:color w:val="auto"/>
              </w:rPr>
            </w:pPr>
            <w:r>
              <w:rPr>
                <w:rFonts w:ascii="Arial" w:cs="Arial" w:eastAsia="Arial" w:hAnsi="Arial"/>
                <w:sz w:val="13"/>
                <w:szCs w:val="13"/>
                <w:b w:val="1"/>
                <w:bCs w:val="1"/>
                <w:color w:val="FFFFFF"/>
                <w:w w:val="94"/>
              </w:rPr>
              <w:t>That Vested</w:t>
            </w:r>
          </w:p>
        </w:tc>
        <w:tc>
          <w:tcPr>
            <w:tcW w:w="140" w:type="dxa"/>
            <w:vAlign w:val="bottom"/>
            <w:shd w:val="clear" w:color="auto" w:fill="003763"/>
          </w:tcPr>
          <w:p>
            <w:pPr>
              <w:spacing w:after="0"/>
              <w:rPr>
                <w:sz w:val="13"/>
                <w:szCs w:val="13"/>
                <w:color w:val="auto"/>
              </w:rPr>
            </w:pPr>
          </w:p>
        </w:tc>
        <w:tc>
          <w:tcPr>
            <w:tcW w:w="200" w:type="dxa"/>
            <w:vAlign w:val="bottom"/>
            <w:shd w:val="clear" w:color="auto" w:fill="003763"/>
          </w:tcPr>
          <w:p>
            <w:pPr>
              <w:spacing w:after="0"/>
              <w:rPr>
                <w:sz w:val="13"/>
                <w:szCs w:val="13"/>
                <w:color w:val="auto"/>
              </w:rPr>
            </w:pPr>
          </w:p>
        </w:tc>
        <w:tc>
          <w:tcPr>
            <w:tcW w:w="110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That Vested</w:t>
            </w:r>
          </w:p>
        </w:tc>
        <w:tc>
          <w:tcPr>
            <w:tcW w:w="160" w:type="dxa"/>
            <w:vAlign w:val="bottom"/>
            <w:shd w:val="clear" w:color="auto" w:fill="003763"/>
          </w:tcPr>
          <w:p>
            <w:pPr>
              <w:spacing w:after="0"/>
              <w:rPr>
                <w:sz w:val="13"/>
                <w:szCs w:val="13"/>
                <w:color w:val="auto"/>
              </w:rPr>
            </w:pPr>
          </w:p>
        </w:tc>
        <w:tc>
          <w:tcPr>
            <w:tcW w:w="80" w:type="dxa"/>
            <w:vAlign w:val="bottom"/>
            <w:shd w:val="clear" w:color="auto" w:fill="003763"/>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20" w:type="dxa"/>
            <w:vAlign w:val="bottom"/>
            <w:gridSpan w:val="2"/>
            <w:vMerge w:val="restart"/>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12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20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spacing w:after="0"/>
              <w:rPr>
                <w:sz w:val="16"/>
                <w:szCs w:val="16"/>
                <w:color w:val="auto"/>
              </w:rPr>
            </w:pPr>
          </w:p>
        </w:tc>
        <w:tc>
          <w:tcPr>
            <w:tcW w:w="960" w:type="dxa"/>
            <w:vAlign w:val="bottom"/>
            <w:gridSpan w:val="3"/>
            <w:shd w:val="clear" w:color="auto" w:fill="003763"/>
          </w:tcPr>
          <w:p>
            <w:pPr>
              <w:jc w:val="center"/>
              <w:ind w:right="156"/>
              <w:spacing w:after="0"/>
              <w:rPr>
                <w:sz w:val="20"/>
                <w:szCs w:val="20"/>
                <w:color w:val="auto"/>
              </w:rPr>
            </w:pPr>
            <w:r>
              <w:rPr>
                <w:rFonts w:ascii="Arial" w:cs="Arial" w:eastAsia="Arial" w:hAnsi="Arial"/>
                <w:sz w:val="13"/>
                <w:szCs w:val="13"/>
                <w:b w:val="1"/>
                <w:bCs w:val="1"/>
                <w:color w:val="FFFFFF"/>
                <w:w w:val="87"/>
              </w:rPr>
              <w:t>Cycle</w:t>
            </w:r>
            <w:r>
              <w:rPr>
                <w:rFonts w:ascii="Arial" w:cs="Arial" w:eastAsia="Arial" w:hAnsi="Arial"/>
                <w:sz w:val="16"/>
                <w:szCs w:val="16"/>
                <w:b w:val="1"/>
                <w:bCs w:val="1"/>
                <w:color w:val="FFFFFF"/>
                <w:w w:val="87"/>
                <w:vertAlign w:val="superscript"/>
              </w:rPr>
              <w:t>(a)</w:t>
            </w:r>
          </w:p>
        </w:tc>
        <w:tc>
          <w:tcPr>
            <w:tcW w:w="160" w:type="dxa"/>
            <w:vAlign w:val="bottom"/>
            <w:shd w:val="clear" w:color="auto" w:fill="003763"/>
          </w:tcPr>
          <w:p>
            <w:pPr>
              <w:spacing w:after="0"/>
              <w:rPr>
                <w:sz w:val="16"/>
                <w:szCs w:val="16"/>
                <w:color w:val="auto"/>
              </w:rPr>
            </w:pPr>
          </w:p>
        </w:tc>
        <w:tc>
          <w:tcPr>
            <w:tcW w:w="12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1280" w:type="dxa"/>
            <w:vAlign w:val="bottom"/>
            <w:gridSpan w:val="4"/>
            <w:shd w:val="clear" w:color="auto" w:fill="003763"/>
          </w:tcPr>
          <w:p>
            <w:pPr>
              <w:jc w:val="center"/>
              <w:ind w:right="32"/>
              <w:spacing w:after="0"/>
              <w:rPr>
                <w:sz w:val="20"/>
                <w:szCs w:val="20"/>
                <w:color w:val="auto"/>
              </w:rPr>
            </w:pPr>
            <w:r>
              <w:rPr>
                <w:rFonts w:ascii="Arial" w:cs="Arial" w:eastAsia="Arial" w:hAnsi="Arial"/>
                <w:sz w:val="13"/>
                <w:szCs w:val="13"/>
                <w:b w:val="1"/>
                <w:bCs w:val="1"/>
                <w:color w:val="FFFFFF"/>
                <w:w w:val="96"/>
              </w:rPr>
              <w:t>February 18, 2024</w:t>
            </w:r>
          </w:p>
        </w:tc>
        <w:tc>
          <w:tcPr>
            <w:tcW w:w="14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spacing w:after="0"/>
              <w:rPr>
                <w:sz w:val="16"/>
                <w:szCs w:val="16"/>
                <w:color w:val="auto"/>
              </w:rPr>
            </w:pPr>
          </w:p>
        </w:tc>
        <w:tc>
          <w:tcPr>
            <w:tcW w:w="880" w:type="dxa"/>
            <w:vAlign w:val="bottom"/>
            <w:gridSpan w:val="3"/>
            <w:shd w:val="clear" w:color="auto" w:fill="003763"/>
          </w:tcPr>
          <w:p>
            <w:pPr>
              <w:jc w:val="center"/>
              <w:ind w:right="117"/>
              <w:spacing w:after="0"/>
              <w:rPr>
                <w:sz w:val="20"/>
                <w:szCs w:val="20"/>
                <w:color w:val="auto"/>
              </w:rPr>
            </w:pPr>
            <w:r>
              <w:rPr>
                <w:rFonts w:ascii="Arial" w:cs="Arial" w:eastAsia="Arial" w:hAnsi="Arial"/>
                <w:sz w:val="13"/>
                <w:szCs w:val="13"/>
                <w:b w:val="1"/>
                <w:bCs w:val="1"/>
                <w:color w:val="FFFFFF"/>
                <w:w w:val="96"/>
              </w:rPr>
              <w:t>May 5, 2024</w:t>
            </w:r>
          </w:p>
        </w:tc>
        <w:tc>
          <w:tcPr>
            <w:tcW w:w="160" w:type="dxa"/>
            <w:vAlign w:val="bottom"/>
            <w:shd w:val="clear" w:color="auto" w:fill="003763"/>
          </w:tcPr>
          <w:p>
            <w:pPr>
              <w:spacing w:after="0"/>
              <w:rPr>
                <w:sz w:val="16"/>
                <w:szCs w:val="16"/>
                <w:color w:val="auto"/>
              </w:rPr>
            </w:pPr>
          </w:p>
        </w:tc>
        <w:tc>
          <w:tcPr>
            <w:tcW w:w="8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0"/>
        </w:trPr>
        <w:tc>
          <w:tcPr>
            <w:tcW w:w="4120" w:type="dxa"/>
            <w:vAlign w:val="bottom"/>
            <w:gridSpan w:val="2"/>
            <w:vMerge w:val="continue"/>
            <w:shd w:val="clear" w:color="auto" w:fill="003763"/>
          </w:tcPr>
          <w:p>
            <w:pPr>
              <w:spacing w:after="0"/>
              <w:rPr>
                <w:sz w:val="3"/>
                <w:szCs w:val="3"/>
                <w:color w:val="auto"/>
              </w:rPr>
            </w:pPr>
          </w:p>
        </w:tc>
        <w:tc>
          <w:tcPr>
            <w:tcW w:w="120" w:type="dxa"/>
            <w:vAlign w:val="bottom"/>
            <w:vMerge w:val="continue"/>
            <w:shd w:val="clear" w:color="auto" w:fill="003763"/>
          </w:tcPr>
          <w:p>
            <w:pPr>
              <w:spacing w:after="0"/>
              <w:rPr>
                <w:sz w:val="3"/>
                <w:szCs w:val="3"/>
                <w:color w:val="auto"/>
              </w:rPr>
            </w:pPr>
          </w:p>
        </w:tc>
        <w:tc>
          <w:tcPr>
            <w:tcW w:w="200" w:type="dxa"/>
            <w:vAlign w:val="bottom"/>
            <w:vMerge w:val="continue"/>
            <w:shd w:val="clear" w:color="auto" w:fill="003763"/>
          </w:tcPr>
          <w:p>
            <w:pPr>
              <w:spacing w:after="0"/>
              <w:rPr>
                <w:sz w:val="3"/>
                <w:szCs w:val="3"/>
                <w:color w:val="auto"/>
              </w:rPr>
            </w:pPr>
          </w:p>
        </w:tc>
        <w:tc>
          <w:tcPr>
            <w:tcW w:w="260" w:type="dxa"/>
            <w:vAlign w:val="bottom"/>
            <w:shd w:val="clear" w:color="auto" w:fill="003763"/>
          </w:tcPr>
          <w:p>
            <w:pPr>
              <w:spacing w:after="0"/>
              <w:rPr>
                <w:sz w:val="3"/>
                <w:szCs w:val="3"/>
                <w:color w:val="auto"/>
              </w:rPr>
            </w:pPr>
          </w:p>
        </w:tc>
        <w:tc>
          <w:tcPr>
            <w:tcW w:w="300" w:type="dxa"/>
            <w:vAlign w:val="bottom"/>
            <w:shd w:val="clear" w:color="auto" w:fill="003763"/>
          </w:tcPr>
          <w:p>
            <w:pPr>
              <w:spacing w:after="0"/>
              <w:rPr>
                <w:sz w:val="3"/>
                <w:szCs w:val="3"/>
                <w:color w:val="auto"/>
              </w:rPr>
            </w:pPr>
          </w:p>
        </w:tc>
        <w:tc>
          <w:tcPr>
            <w:tcW w:w="160" w:type="dxa"/>
            <w:vAlign w:val="bottom"/>
            <w:shd w:val="clear" w:color="auto" w:fill="003763"/>
          </w:tcPr>
          <w:p>
            <w:pPr>
              <w:spacing w:after="0"/>
              <w:rPr>
                <w:sz w:val="3"/>
                <w:szCs w:val="3"/>
                <w:color w:val="auto"/>
              </w:rPr>
            </w:pPr>
          </w:p>
        </w:tc>
        <w:tc>
          <w:tcPr>
            <w:tcW w:w="500" w:type="dxa"/>
            <w:vAlign w:val="bottom"/>
            <w:shd w:val="clear" w:color="auto" w:fill="003763"/>
          </w:tcPr>
          <w:p>
            <w:pPr>
              <w:spacing w:after="0"/>
              <w:rPr>
                <w:sz w:val="3"/>
                <w:szCs w:val="3"/>
                <w:color w:val="auto"/>
              </w:rPr>
            </w:pPr>
          </w:p>
        </w:tc>
        <w:tc>
          <w:tcPr>
            <w:tcW w:w="160" w:type="dxa"/>
            <w:vAlign w:val="bottom"/>
            <w:shd w:val="clear" w:color="auto" w:fill="003763"/>
          </w:tcPr>
          <w:p>
            <w:pPr>
              <w:spacing w:after="0"/>
              <w:rPr>
                <w:sz w:val="3"/>
                <w:szCs w:val="3"/>
                <w:color w:val="auto"/>
              </w:rPr>
            </w:pPr>
          </w:p>
        </w:tc>
        <w:tc>
          <w:tcPr>
            <w:tcW w:w="120" w:type="dxa"/>
            <w:vAlign w:val="bottom"/>
            <w:vMerge w:val="continue"/>
            <w:shd w:val="clear" w:color="auto" w:fill="003763"/>
          </w:tcPr>
          <w:p>
            <w:pPr>
              <w:spacing w:after="0"/>
              <w:rPr>
                <w:sz w:val="3"/>
                <w:szCs w:val="3"/>
                <w:color w:val="auto"/>
              </w:rPr>
            </w:pPr>
          </w:p>
        </w:tc>
        <w:tc>
          <w:tcPr>
            <w:tcW w:w="200" w:type="dxa"/>
            <w:vAlign w:val="bottom"/>
            <w:vMerge w:val="continue"/>
            <w:shd w:val="clear" w:color="auto" w:fill="003763"/>
          </w:tcPr>
          <w:p>
            <w:pPr>
              <w:spacing w:after="0"/>
              <w:rPr>
                <w:sz w:val="3"/>
                <w:szCs w:val="3"/>
                <w:color w:val="auto"/>
              </w:rPr>
            </w:pPr>
          </w:p>
        </w:tc>
        <w:tc>
          <w:tcPr>
            <w:tcW w:w="420" w:type="dxa"/>
            <w:vAlign w:val="bottom"/>
            <w:shd w:val="clear" w:color="auto" w:fill="003763"/>
          </w:tcPr>
          <w:p>
            <w:pPr>
              <w:spacing w:after="0"/>
              <w:rPr>
                <w:sz w:val="3"/>
                <w:szCs w:val="3"/>
                <w:color w:val="auto"/>
              </w:rPr>
            </w:pPr>
          </w:p>
        </w:tc>
        <w:tc>
          <w:tcPr>
            <w:tcW w:w="120" w:type="dxa"/>
            <w:vAlign w:val="bottom"/>
            <w:shd w:val="clear" w:color="auto" w:fill="003763"/>
          </w:tcPr>
          <w:p>
            <w:pPr>
              <w:spacing w:after="0"/>
              <w:rPr>
                <w:sz w:val="3"/>
                <w:szCs w:val="3"/>
                <w:color w:val="auto"/>
              </w:rPr>
            </w:pPr>
          </w:p>
        </w:tc>
        <w:tc>
          <w:tcPr>
            <w:tcW w:w="140" w:type="dxa"/>
            <w:vAlign w:val="bottom"/>
            <w:shd w:val="clear" w:color="auto" w:fill="003763"/>
          </w:tcPr>
          <w:p>
            <w:pPr>
              <w:spacing w:after="0"/>
              <w:rPr>
                <w:sz w:val="3"/>
                <w:szCs w:val="3"/>
                <w:color w:val="auto"/>
              </w:rPr>
            </w:pPr>
          </w:p>
        </w:tc>
        <w:tc>
          <w:tcPr>
            <w:tcW w:w="600" w:type="dxa"/>
            <w:vAlign w:val="bottom"/>
            <w:shd w:val="clear" w:color="auto" w:fill="003763"/>
          </w:tcPr>
          <w:p>
            <w:pPr>
              <w:spacing w:after="0"/>
              <w:rPr>
                <w:sz w:val="3"/>
                <w:szCs w:val="3"/>
                <w:color w:val="auto"/>
              </w:rPr>
            </w:pPr>
          </w:p>
        </w:tc>
        <w:tc>
          <w:tcPr>
            <w:tcW w:w="140" w:type="dxa"/>
            <w:vAlign w:val="bottom"/>
            <w:vMerge w:val="continue"/>
            <w:shd w:val="clear" w:color="auto" w:fill="003763"/>
          </w:tcPr>
          <w:p>
            <w:pPr>
              <w:spacing w:after="0"/>
              <w:rPr>
                <w:sz w:val="3"/>
                <w:szCs w:val="3"/>
                <w:color w:val="auto"/>
              </w:rPr>
            </w:pPr>
          </w:p>
        </w:tc>
        <w:tc>
          <w:tcPr>
            <w:tcW w:w="200" w:type="dxa"/>
            <w:vAlign w:val="bottom"/>
            <w:vMerge w:val="continue"/>
            <w:shd w:val="clear" w:color="auto" w:fill="003763"/>
          </w:tcPr>
          <w:p>
            <w:pPr>
              <w:spacing w:after="0"/>
              <w:rPr>
                <w:sz w:val="3"/>
                <w:szCs w:val="3"/>
                <w:color w:val="auto"/>
              </w:rPr>
            </w:pPr>
          </w:p>
        </w:tc>
        <w:tc>
          <w:tcPr>
            <w:tcW w:w="220" w:type="dxa"/>
            <w:vAlign w:val="bottom"/>
            <w:shd w:val="clear" w:color="auto" w:fill="003763"/>
          </w:tcPr>
          <w:p>
            <w:pPr>
              <w:spacing w:after="0"/>
              <w:rPr>
                <w:sz w:val="3"/>
                <w:szCs w:val="3"/>
                <w:color w:val="auto"/>
              </w:rPr>
            </w:pPr>
          </w:p>
        </w:tc>
        <w:tc>
          <w:tcPr>
            <w:tcW w:w="300" w:type="dxa"/>
            <w:vAlign w:val="bottom"/>
            <w:shd w:val="clear" w:color="auto" w:fill="003763"/>
          </w:tcPr>
          <w:p>
            <w:pPr>
              <w:spacing w:after="0"/>
              <w:rPr>
                <w:sz w:val="3"/>
                <w:szCs w:val="3"/>
                <w:color w:val="auto"/>
              </w:rPr>
            </w:pPr>
          </w:p>
        </w:tc>
        <w:tc>
          <w:tcPr>
            <w:tcW w:w="140" w:type="dxa"/>
            <w:vAlign w:val="bottom"/>
            <w:shd w:val="clear" w:color="auto" w:fill="003763"/>
          </w:tcPr>
          <w:p>
            <w:pPr>
              <w:spacing w:after="0"/>
              <w:rPr>
                <w:sz w:val="3"/>
                <w:szCs w:val="3"/>
                <w:color w:val="auto"/>
              </w:rPr>
            </w:pPr>
          </w:p>
        </w:tc>
        <w:tc>
          <w:tcPr>
            <w:tcW w:w="440" w:type="dxa"/>
            <w:vAlign w:val="bottom"/>
            <w:shd w:val="clear" w:color="auto" w:fill="003763"/>
          </w:tcPr>
          <w:p>
            <w:pPr>
              <w:spacing w:after="0"/>
              <w:rPr>
                <w:sz w:val="3"/>
                <w:szCs w:val="3"/>
                <w:color w:val="auto"/>
              </w:rPr>
            </w:pPr>
          </w:p>
        </w:tc>
        <w:tc>
          <w:tcPr>
            <w:tcW w:w="160" w:type="dxa"/>
            <w:vAlign w:val="bottom"/>
            <w:shd w:val="clear" w:color="auto" w:fill="003763"/>
          </w:tcPr>
          <w:p>
            <w:pPr>
              <w:spacing w:after="0"/>
              <w:rPr>
                <w:sz w:val="3"/>
                <w:szCs w:val="3"/>
                <w:color w:val="auto"/>
              </w:rPr>
            </w:pPr>
          </w:p>
        </w:tc>
        <w:tc>
          <w:tcPr>
            <w:tcW w:w="80" w:type="dxa"/>
            <w:vAlign w:val="bottom"/>
            <w:vMerge w:val="continue"/>
            <w:shd w:val="clear" w:color="auto" w:fill="003763"/>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40" w:type="dxa"/>
            <w:vAlign w:val="bottom"/>
            <w:shd w:val="clear" w:color="auto" w:fill="003763"/>
          </w:tcPr>
          <w:p>
            <w:pPr>
              <w:spacing w:after="0"/>
              <w:rPr>
                <w:sz w:val="18"/>
                <w:szCs w:val="18"/>
                <w:color w:val="auto"/>
              </w:rPr>
            </w:pPr>
          </w:p>
        </w:tc>
        <w:tc>
          <w:tcPr>
            <w:tcW w:w="120" w:type="dxa"/>
            <w:vAlign w:val="bottom"/>
            <w:shd w:val="clear" w:color="auto" w:fill="003763"/>
          </w:tcPr>
          <w:p>
            <w:pPr>
              <w:spacing w:after="0"/>
              <w:rPr>
                <w:sz w:val="18"/>
                <w:szCs w:val="18"/>
                <w:color w:val="auto"/>
              </w:rPr>
            </w:pPr>
          </w:p>
        </w:tc>
        <w:tc>
          <w:tcPr>
            <w:tcW w:w="200" w:type="dxa"/>
            <w:vAlign w:val="bottom"/>
            <w:shd w:val="clear" w:color="auto" w:fill="003763"/>
          </w:tcPr>
          <w:p>
            <w:pPr>
              <w:spacing w:after="0"/>
              <w:rPr>
                <w:sz w:val="18"/>
                <w:szCs w:val="18"/>
                <w:color w:val="auto"/>
              </w:rPr>
            </w:pPr>
          </w:p>
        </w:tc>
        <w:tc>
          <w:tcPr>
            <w:tcW w:w="260" w:type="dxa"/>
            <w:vAlign w:val="bottom"/>
            <w:shd w:val="clear" w:color="auto" w:fill="003763"/>
          </w:tcPr>
          <w:p>
            <w:pPr>
              <w:spacing w:after="0"/>
              <w:rPr>
                <w:sz w:val="18"/>
                <w:szCs w:val="18"/>
                <w:color w:val="auto"/>
              </w:rPr>
            </w:pPr>
          </w:p>
        </w:tc>
        <w:tc>
          <w:tcPr>
            <w:tcW w:w="300" w:type="dxa"/>
            <w:vAlign w:val="bottom"/>
            <w:shd w:val="clear" w:color="auto" w:fill="003763"/>
          </w:tcPr>
          <w:p>
            <w:pPr>
              <w:spacing w:after="0"/>
              <w:rPr>
                <w:sz w:val="18"/>
                <w:szCs w:val="18"/>
                <w:color w:val="auto"/>
              </w:rPr>
            </w:pPr>
          </w:p>
        </w:tc>
        <w:tc>
          <w:tcPr>
            <w:tcW w:w="160" w:type="dxa"/>
            <w:vAlign w:val="bottom"/>
            <w:shd w:val="clear" w:color="auto" w:fill="003763"/>
          </w:tcPr>
          <w:p>
            <w:pPr>
              <w:spacing w:after="0"/>
              <w:rPr>
                <w:sz w:val="18"/>
                <w:szCs w:val="18"/>
                <w:color w:val="auto"/>
              </w:rPr>
            </w:pPr>
          </w:p>
        </w:tc>
        <w:tc>
          <w:tcPr>
            <w:tcW w:w="5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Value</w:t>
            </w:r>
          </w:p>
        </w:tc>
        <w:tc>
          <w:tcPr>
            <w:tcW w:w="160" w:type="dxa"/>
            <w:vAlign w:val="bottom"/>
            <w:shd w:val="clear" w:color="auto" w:fill="003763"/>
          </w:tcPr>
          <w:p>
            <w:pPr>
              <w:spacing w:after="0"/>
              <w:rPr>
                <w:sz w:val="18"/>
                <w:szCs w:val="18"/>
                <w:color w:val="auto"/>
              </w:rPr>
            </w:pPr>
          </w:p>
        </w:tc>
        <w:tc>
          <w:tcPr>
            <w:tcW w:w="120" w:type="dxa"/>
            <w:vAlign w:val="bottom"/>
            <w:shd w:val="clear" w:color="auto" w:fill="003763"/>
          </w:tcPr>
          <w:p>
            <w:pPr>
              <w:spacing w:after="0"/>
              <w:rPr>
                <w:sz w:val="18"/>
                <w:szCs w:val="18"/>
                <w:color w:val="auto"/>
              </w:rPr>
            </w:pPr>
          </w:p>
        </w:tc>
        <w:tc>
          <w:tcPr>
            <w:tcW w:w="200" w:type="dxa"/>
            <w:vAlign w:val="bottom"/>
            <w:shd w:val="clear" w:color="auto" w:fill="003763"/>
          </w:tcPr>
          <w:p>
            <w:pPr>
              <w:spacing w:after="0"/>
              <w:rPr>
                <w:sz w:val="18"/>
                <w:szCs w:val="18"/>
                <w:color w:val="auto"/>
              </w:rPr>
            </w:pPr>
          </w:p>
        </w:tc>
        <w:tc>
          <w:tcPr>
            <w:tcW w:w="420" w:type="dxa"/>
            <w:vAlign w:val="bottom"/>
            <w:shd w:val="clear" w:color="auto" w:fill="003763"/>
          </w:tcPr>
          <w:p>
            <w:pPr>
              <w:spacing w:after="0"/>
              <w:rPr>
                <w:sz w:val="18"/>
                <w:szCs w:val="18"/>
                <w:color w:val="auto"/>
              </w:rPr>
            </w:pPr>
          </w:p>
        </w:tc>
        <w:tc>
          <w:tcPr>
            <w:tcW w:w="120" w:type="dxa"/>
            <w:vAlign w:val="bottom"/>
            <w:shd w:val="clear" w:color="auto" w:fill="003763"/>
          </w:tcPr>
          <w:p>
            <w:pPr>
              <w:spacing w:after="0"/>
              <w:rPr>
                <w:sz w:val="18"/>
                <w:szCs w:val="18"/>
                <w:color w:val="auto"/>
              </w:rPr>
            </w:pPr>
          </w:p>
        </w:tc>
        <w:tc>
          <w:tcPr>
            <w:tcW w:w="140" w:type="dxa"/>
            <w:vAlign w:val="bottom"/>
            <w:shd w:val="clear" w:color="auto" w:fill="003763"/>
          </w:tcPr>
          <w:p>
            <w:pPr>
              <w:spacing w:after="0"/>
              <w:rPr>
                <w:sz w:val="18"/>
                <w:szCs w:val="18"/>
                <w:color w:val="auto"/>
              </w:rPr>
            </w:pPr>
          </w:p>
        </w:tc>
        <w:tc>
          <w:tcPr>
            <w:tcW w:w="600" w:type="dxa"/>
            <w:vAlign w:val="bottom"/>
            <w:shd w:val="clear" w:color="auto" w:fill="003763"/>
          </w:tcPr>
          <w:p>
            <w:pPr>
              <w:jc w:val="center"/>
              <w:ind w:right="12"/>
              <w:spacing w:after="0"/>
              <w:rPr>
                <w:sz w:val="20"/>
                <w:szCs w:val="20"/>
                <w:color w:val="auto"/>
              </w:rPr>
            </w:pPr>
            <w:r>
              <w:rPr>
                <w:rFonts w:ascii="Arial" w:cs="Arial" w:eastAsia="Arial" w:hAnsi="Arial"/>
                <w:sz w:val="13"/>
                <w:szCs w:val="13"/>
                <w:b w:val="1"/>
                <w:bCs w:val="1"/>
                <w:color w:val="FFFFFF"/>
                <w:w w:val="92"/>
              </w:rPr>
              <w:t>Value</w:t>
            </w:r>
          </w:p>
        </w:tc>
        <w:tc>
          <w:tcPr>
            <w:tcW w:w="140" w:type="dxa"/>
            <w:vAlign w:val="bottom"/>
            <w:shd w:val="clear" w:color="auto" w:fill="003763"/>
          </w:tcPr>
          <w:p>
            <w:pPr>
              <w:spacing w:after="0"/>
              <w:rPr>
                <w:sz w:val="18"/>
                <w:szCs w:val="18"/>
                <w:color w:val="auto"/>
              </w:rPr>
            </w:pPr>
          </w:p>
        </w:tc>
        <w:tc>
          <w:tcPr>
            <w:tcW w:w="200" w:type="dxa"/>
            <w:vAlign w:val="bottom"/>
            <w:shd w:val="clear" w:color="auto" w:fill="003763"/>
          </w:tcPr>
          <w:p>
            <w:pPr>
              <w:spacing w:after="0"/>
              <w:rPr>
                <w:sz w:val="18"/>
                <w:szCs w:val="18"/>
                <w:color w:val="auto"/>
              </w:rPr>
            </w:pPr>
          </w:p>
        </w:tc>
        <w:tc>
          <w:tcPr>
            <w:tcW w:w="220" w:type="dxa"/>
            <w:vAlign w:val="bottom"/>
            <w:shd w:val="clear" w:color="auto" w:fill="003763"/>
          </w:tcPr>
          <w:p>
            <w:pPr>
              <w:spacing w:after="0"/>
              <w:rPr>
                <w:sz w:val="18"/>
                <w:szCs w:val="18"/>
                <w:color w:val="auto"/>
              </w:rPr>
            </w:pPr>
          </w:p>
        </w:tc>
        <w:tc>
          <w:tcPr>
            <w:tcW w:w="300" w:type="dxa"/>
            <w:vAlign w:val="bottom"/>
            <w:shd w:val="clear" w:color="auto" w:fill="003763"/>
          </w:tcPr>
          <w:p>
            <w:pPr>
              <w:spacing w:after="0"/>
              <w:rPr>
                <w:sz w:val="18"/>
                <w:szCs w:val="18"/>
                <w:color w:val="auto"/>
              </w:rPr>
            </w:pPr>
          </w:p>
        </w:tc>
        <w:tc>
          <w:tcPr>
            <w:tcW w:w="140" w:type="dxa"/>
            <w:vAlign w:val="bottom"/>
            <w:shd w:val="clear" w:color="auto" w:fill="003763"/>
          </w:tcPr>
          <w:p>
            <w:pPr>
              <w:spacing w:after="0"/>
              <w:rPr>
                <w:sz w:val="18"/>
                <w:szCs w:val="18"/>
                <w:color w:val="auto"/>
              </w:rPr>
            </w:pPr>
          </w:p>
        </w:tc>
        <w:tc>
          <w:tcPr>
            <w:tcW w:w="440" w:type="dxa"/>
            <w:vAlign w:val="bottom"/>
            <w:shd w:val="clear" w:color="auto" w:fill="003763"/>
          </w:tcPr>
          <w:p>
            <w:pPr>
              <w:jc w:val="center"/>
              <w:ind w:left="17"/>
              <w:spacing w:after="0"/>
              <w:rPr>
                <w:sz w:val="20"/>
                <w:szCs w:val="20"/>
                <w:color w:val="auto"/>
              </w:rPr>
            </w:pPr>
            <w:r>
              <w:rPr>
                <w:rFonts w:ascii="Arial" w:cs="Arial" w:eastAsia="Arial" w:hAnsi="Arial"/>
                <w:sz w:val="13"/>
                <w:szCs w:val="13"/>
                <w:b w:val="1"/>
                <w:bCs w:val="1"/>
                <w:color w:val="FFFFFF"/>
                <w:w w:val="92"/>
              </w:rPr>
              <w:t>Value</w:t>
            </w:r>
          </w:p>
        </w:tc>
        <w:tc>
          <w:tcPr>
            <w:tcW w:w="160" w:type="dxa"/>
            <w:vAlign w:val="bottom"/>
            <w:shd w:val="clear" w:color="auto" w:fill="003763"/>
          </w:tcPr>
          <w:p>
            <w:pPr>
              <w:spacing w:after="0"/>
              <w:rPr>
                <w:sz w:val="18"/>
                <w:szCs w:val="18"/>
                <w:color w:val="auto"/>
              </w:rPr>
            </w:pPr>
          </w:p>
        </w:tc>
        <w:tc>
          <w:tcPr>
            <w:tcW w:w="80" w:type="dxa"/>
            <w:vAlign w:val="bottom"/>
            <w:shd w:val="clear" w:color="auto" w:fill="003763"/>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04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760" w:type="dxa"/>
            <w:vAlign w:val="bottom"/>
            <w:gridSpan w:val="3"/>
            <w:shd w:val="clear" w:color="auto" w:fill="003763"/>
          </w:tcPr>
          <w:p>
            <w:pPr>
              <w:jc w:val="center"/>
              <w:ind w:right="13"/>
              <w:spacing w:after="0"/>
              <w:rPr>
                <w:sz w:val="20"/>
                <w:szCs w:val="20"/>
                <w:color w:val="auto"/>
              </w:rPr>
            </w:pPr>
            <w:r>
              <w:rPr>
                <w:rFonts w:ascii="Arial" w:cs="Arial" w:eastAsia="Arial" w:hAnsi="Arial"/>
                <w:sz w:val="13"/>
                <w:szCs w:val="13"/>
                <w:b w:val="1"/>
                <w:bCs w:val="1"/>
                <w:color w:val="FFFFFF"/>
                <w:w w:val="97"/>
              </w:rPr>
              <w:t>Number</w:t>
            </w:r>
          </w:p>
        </w:tc>
        <w:tc>
          <w:tcPr>
            <w:tcW w:w="160" w:type="dxa"/>
            <w:vAlign w:val="bottom"/>
            <w:shd w:val="clear" w:color="auto" w:fill="003763"/>
          </w:tcPr>
          <w:p>
            <w:pPr>
              <w:spacing w:after="0"/>
              <w:rPr>
                <w:sz w:val="12"/>
                <w:szCs w:val="12"/>
                <w:color w:val="auto"/>
              </w:rPr>
            </w:pPr>
          </w:p>
        </w:tc>
        <w:tc>
          <w:tcPr>
            <w:tcW w:w="780" w:type="dxa"/>
            <w:vAlign w:val="bottom"/>
            <w:gridSpan w:val="3"/>
            <w:shd w:val="clear" w:color="auto" w:fill="003763"/>
          </w:tcPr>
          <w:p>
            <w:pPr>
              <w:jc w:val="center"/>
              <w:ind w:right="177"/>
              <w:spacing w:after="0"/>
              <w:rPr>
                <w:sz w:val="20"/>
                <w:szCs w:val="20"/>
                <w:color w:val="auto"/>
              </w:rPr>
            </w:pPr>
            <w:r>
              <w:rPr>
                <w:rFonts w:ascii="Arial" w:cs="Arial" w:eastAsia="Arial" w:hAnsi="Arial"/>
                <w:sz w:val="13"/>
                <w:szCs w:val="13"/>
                <w:b w:val="1"/>
                <w:bCs w:val="1"/>
                <w:color w:val="FFFFFF"/>
                <w:w w:val="94"/>
              </w:rPr>
              <w:t>Realized</w:t>
            </w:r>
          </w:p>
        </w:tc>
        <w:tc>
          <w:tcPr>
            <w:tcW w:w="62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3"/>
              </w:rPr>
              <w:t>Number</w:t>
            </w:r>
          </w:p>
        </w:tc>
        <w:tc>
          <w:tcPr>
            <w:tcW w:w="120" w:type="dxa"/>
            <w:vAlign w:val="bottom"/>
            <w:shd w:val="clear" w:color="auto" w:fill="003763"/>
          </w:tcPr>
          <w:p>
            <w:pPr>
              <w:spacing w:after="0"/>
              <w:rPr>
                <w:sz w:val="12"/>
                <w:szCs w:val="12"/>
                <w:color w:val="auto"/>
              </w:rPr>
            </w:pPr>
          </w:p>
        </w:tc>
        <w:tc>
          <w:tcPr>
            <w:tcW w:w="14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32"/>
              <w:spacing w:after="0"/>
              <w:rPr>
                <w:sz w:val="20"/>
                <w:szCs w:val="20"/>
                <w:color w:val="auto"/>
              </w:rPr>
            </w:pPr>
            <w:r>
              <w:rPr>
                <w:rFonts w:ascii="Arial" w:cs="Arial" w:eastAsia="Arial" w:hAnsi="Arial"/>
                <w:sz w:val="13"/>
                <w:szCs w:val="13"/>
                <w:b w:val="1"/>
                <w:bCs w:val="1"/>
                <w:color w:val="FFFFFF"/>
                <w:w w:val="94"/>
              </w:rPr>
              <w:t>Realized</w:t>
            </w:r>
          </w:p>
        </w:tc>
        <w:tc>
          <w:tcPr>
            <w:tcW w:w="140" w:type="dxa"/>
            <w:vAlign w:val="bottom"/>
            <w:shd w:val="clear" w:color="auto" w:fill="003763"/>
          </w:tcPr>
          <w:p>
            <w:pPr>
              <w:spacing w:after="0"/>
              <w:rPr>
                <w:sz w:val="12"/>
                <w:szCs w:val="12"/>
                <w:color w:val="auto"/>
              </w:rPr>
            </w:pPr>
          </w:p>
        </w:tc>
        <w:tc>
          <w:tcPr>
            <w:tcW w:w="720" w:type="dxa"/>
            <w:vAlign w:val="bottom"/>
            <w:gridSpan w:val="3"/>
            <w:shd w:val="clear" w:color="auto" w:fill="003763"/>
          </w:tcPr>
          <w:p>
            <w:pPr>
              <w:jc w:val="center"/>
              <w:ind w:right="17"/>
              <w:spacing w:after="0"/>
              <w:rPr>
                <w:sz w:val="20"/>
                <w:szCs w:val="20"/>
                <w:color w:val="auto"/>
              </w:rPr>
            </w:pPr>
            <w:r>
              <w:rPr>
                <w:rFonts w:ascii="Arial" w:cs="Arial" w:eastAsia="Arial" w:hAnsi="Arial"/>
                <w:sz w:val="13"/>
                <w:szCs w:val="13"/>
                <w:b w:val="1"/>
                <w:bCs w:val="1"/>
                <w:color w:val="FFFFFF"/>
                <w:w w:val="97"/>
              </w:rPr>
              <w:t>Number</w:t>
            </w:r>
          </w:p>
        </w:tc>
        <w:tc>
          <w:tcPr>
            <w:tcW w:w="140" w:type="dxa"/>
            <w:vAlign w:val="bottom"/>
            <w:shd w:val="clear" w:color="auto" w:fill="003763"/>
          </w:tcPr>
          <w:p>
            <w:pPr>
              <w:spacing w:after="0"/>
              <w:rPr>
                <w:sz w:val="12"/>
                <w:szCs w:val="12"/>
                <w:color w:val="auto"/>
              </w:rPr>
            </w:pPr>
          </w:p>
        </w:tc>
        <w:tc>
          <w:tcPr>
            <w:tcW w:w="680" w:type="dxa"/>
            <w:vAlign w:val="bottom"/>
            <w:gridSpan w:val="3"/>
            <w:shd w:val="clear" w:color="auto" w:fill="003763"/>
          </w:tcPr>
          <w:p>
            <w:pPr>
              <w:jc w:val="center"/>
              <w:ind w:right="97"/>
              <w:spacing w:after="0"/>
              <w:rPr>
                <w:sz w:val="20"/>
                <w:szCs w:val="20"/>
                <w:color w:val="auto"/>
              </w:rPr>
            </w:pPr>
            <w:r>
              <w:rPr>
                <w:rFonts w:ascii="Arial" w:cs="Arial" w:eastAsia="Arial" w:hAnsi="Arial"/>
                <w:sz w:val="13"/>
                <w:szCs w:val="13"/>
                <w:b w:val="1"/>
                <w:bCs w:val="1"/>
                <w:color w:val="FFFFFF"/>
                <w:w w:val="98"/>
              </w:rPr>
              <w:t>Realized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04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2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w:t>
            </w:r>
          </w:p>
        </w:tc>
        <w:tc>
          <w:tcPr>
            <w:tcW w:w="30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5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on</w:t>
            </w:r>
          </w:p>
        </w:tc>
        <w:tc>
          <w:tcPr>
            <w:tcW w:w="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420" w:type="dxa"/>
            <w:vAlign w:val="bottom"/>
            <w:shd w:val="clear" w:color="auto" w:fill="003763"/>
          </w:tcPr>
          <w:p>
            <w:pPr>
              <w:jc w:val="center"/>
              <w:ind w:right="76"/>
              <w:spacing w:after="0"/>
              <w:rPr>
                <w:sz w:val="20"/>
                <w:szCs w:val="20"/>
                <w:color w:val="auto"/>
              </w:rPr>
            </w:pPr>
            <w:r>
              <w:rPr>
                <w:rFonts w:ascii="Arial" w:cs="Arial" w:eastAsia="Arial" w:hAnsi="Arial"/>
                <w:sz w:val="13"/>
                <w:szCs w:val="13"/>
                <w:b w:val="1"/>
                <w:bCs w:val="1"/>
                <w:color w:val="FFFFFF"/>
                <w:w w:val="97"/>
              </w:rPr>
              <w:t>of</w:t>
            </w:r>
          </w:p>
        </w:tc>
        <w:tc>
          <w:tcPr>
            <w:tcW w:w="120" w:type="dxa"/>
            <w:vAlign w:val="bottom"/>
            <w:shd w:val="clear" w:color="auto" w:fill="003763"/>
          </w:tcPr>
          <w:p>
            <w:pPr>
              <w:spacing w:after="0"/>
              <w:rPr>
                <w:sz w:val="12"/>
                <w:szCs w:val="12"/>
                <w:color w:val="auto"/>
              </w:rPr>
            </w:pPr>
          </w:p>
        </w:tc>
        <w:tc>
          <w:tcPr>
            <w:tcW w:w="140" w:type="dxa"/>
            <w:vAlign w:val="bottom"/>
            <w:shd w:val="clear" w:color="auto" w:fill="003763"/>
          </w:tcPr>
          <w:p>
            <w:pPr>
              <w:spacing w:after="0"/>
              <w:rPr>
                <w:sz w:val="12"/>
                <w:szCs w:val="12"/>
                <w:color w:val="auto"/>
              </w:rPr>
            </w:pPr>
          </w:p>
        </w:tc>
        <w:tc>
          <w:tcPr>
            <w:tcW w:w="600" w:type="dxa"/>
            <w:vAlign w:val="bottom"/>
            <w:shd w:val="clear" w:color="auto" w:fill="003763"/>
          </w:tcPr>
          <w:p>
            <w:pPr>
              <w:jc w:val="center"/>
              <w:ind w:right="12"/>
              <w:spacing w:after="0"/>
              <w:rPr>
                <w:sz w:val="20"/>
                <w:szCs w:val="20"/>
                <w:color w:val="auto"/>
              </w:rPr>
            </w:pPr>
            <w:r>
              <w:rPr>
                <w:rFonts w:ascii="Arial" w:cs="Arial" w:eastAsia="Arial" w:hAnsi="Arial"/>
                <w:sz w:val="13"/>
                <w:szCs w:val="13"/>
                <w:b w:val="1"/>
                <w:bCs w:val="1"/>
                <w:color w:val="FFFFFF"/>
              </w:rPr>
              <w:t>on</w:t>
            </w:r>
          </w:p>
        </w:tc>
        <w:tc>
          <w:tcPr>
            <w:tcW w:w="14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2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w:t>
            </w:r>
          </w:p>
        </w:tc>
        <w:tc>
          <w:tcPr>
            <w:tcW w:w="300" w:type="dxa"/>
            <w:vAlign w:val="bottom"/>
            <w:shd w:val="clear" w:color="auto" w:fill="003763"/>
          </w:tcPr>
          <w:p>
            <w:pPr>
              <w:spacing w:after="0"/>
              <w:rPr>
                <w:sz w:val="12"/>
                <w:szCs w:val="12"/>
                <w:color w:val="auto"/>
              </w:rPr>
            </w:pPr>
          </w:p>
        </w:tc>
        <w:tc>
          <w:tcPr>
            <w:tcW w:w="140" w:type="dxa"/>
            <w:vAlign w:val="bottom"/>
            <w:shd w:val="clear" w:color="auto" w:fill="003763"/>
          </w:tcPr>
          <w:p>
            <w:pPr>
              <w:spacing w:after="0"/>
              <w:rPr>
                <w:sz w:val="12"/>
                <w:szCs w:val="12"/>
                <w:color w:val="auto"/>
              </w:rPr>
            </w:pPr>
          </w:p>
        </w:tc>
        <w:tc>
          <w:tcPr>
            <w:tcW w:w="440" w:type="dxa"/>
            <w:vAlign w:val="bottom"/>
            <w:shd w:val="clear" w:color="auto" w:fill="003763"/>
          </w:tcPr>
          <w:p>
            <w:pPr>
              <w:jc w:val="center"/>
              <w:ind w:left="17"/>
              <w:spacing w:after="0"/>
              <w:rPr>
                <w:sz w:val="20"/>
                <w:szCs w:val="20"/>
                <w:color w:val="auto"/>
              </w:rPr>
            </w:pPr>
            <w:r>
              <w:rPr>
                <w:rFonts w:ascii="Arial" w:cs="Arial" w:eastAsia="Arial" w:hAnsi="Arial"/>
                <w:sz w:val="13"/>
                <w:szCs w:val="13"/>
                <w:b w:val="1"/>
                <w:bCs w:val="1"/>
                <w:color w:val="FFFFFF"/>
              </w:rPr>
              <w:t>on</w:t>
            </w:r>
          </w:p>
        </w:tc>
        <w:tc>
          <w:tcPr>
            <w:tcW w:w="160" w:type="dxa"/>
            <w:vAlign w:val="bottom"/>
            <w:shd w:val="clear" w:color="auto" w:fill="003763"/>
          </w:tcPr>
          <w:p>
            <w:pPr>
              <w:spacing w:after="0"/>
              <w:rPr>
                <w:sz w:val="12"/>
                <w:szCs w:val="12"/>
                <w:color w:val="auto"/>
              </w:rPr>
            </w:pPr>
          </w:p>
        </w:tc>
        <w:tc>
          <w:tcPr>
            <w:tcW w:w="8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040" w:type="dxa"/>
            <w:vAlign w:val="bottom"/>
            <w:shd w:val="clear" w:color="auto" w:fill="003763"/>
          </w:tcPr>
          <w:p>
            <w:pPr>
              <w:spacing w:after="0"/>
              <w:rPr>
                <w:sz w:val="14"/>
                <w:szCs w:val="14"/>
                <w:color w:val="auto"/>
              </w:rPr>
            </w:pPr>
          </w:p>
        </w:tc>
        <w:tc>
          <w:tcPr>
            <w:tcW w:w="120" w:type="dxa"/>
            <w:vAlign w:val="bottom"/>
            <w:shd w:val="clear" w:color="auto" w:fill="003763"/>
          </w:tcPr>
          <w:p>
            <w:pPr>
              <w:spacing w:after="0"/>
              <w:rPr>
                <w:sz w:val="14"/>
                <w:szCs w:val="14"/>
                <w:color w:val="auto"/>
              </w:rPr>
            </w:pPr>
          </w:p>
        </w:tc>
        <w:tc>
          <w:tcPr>
            <w:tcW w:w="760" w:type="dxa"/>
            <w:vAlign w:val="bottom"/>
            <w:gridSpan w:val="3"/>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160" w:type="dxa"/>
            <w:vAlign w:val="bottom"/>
            <w:shd w:val="clear" w:color="auto" w:fill="003763"/>
          </w:tcPr>
          <w:p>
            <w:pPr>
              <w:spacing w:after="0"/>
              <w:rPr>
                <w:sz w:val="14"/>
                <w:szCs w:val="14"/>
                <w:color w:val="auto"/>
              </w:rPr>
            </w:pPr>
          </w:p>
        </w:tc>
        <w:tc>
          <w:tcPr>
            <w:tcW w:w="780" w:type="dxa"/>
            <w:vAlign w:val="bottom"/>
            <w:gridSpan w:val="3"/>
            <w:shd w:val="clear" w:color="auto" w:fill="003763"/>
          </w:tcPr>
          <w:p>
            <w:pPr>
              <w:jc w:val="center"/>
              <w:ind w:right="177"/>
              <w:spacing w:after="0" w:line="162" w:lineRule="exact"/>
              <w:rPr>
                <w:sz w:val="20"/>
                <w:szCs w:val="20"/>
                <w:color w:val="auto"/>
              </w:rPr>
            </w:pPr>
            <w:r>
              <w:rPr>
                <w:rFonts w:ascii="Arial" w:cs="Arial" w:eastAsia="Arial" w:hAnsi="Arial"/>
                <w:sz w:val="13"/>
                <w:szCs w:val="13"/>
                <w:b w:val="1"/>
                <w:bCs w:val="1"/>
                <w:color w:val="FFFFFF"/>
                <w:w w:val="89"/>
              </w:rPr>
              <w:t>Vesting</w:t>
            </w:r>
            <w:r>
              <w:rPr>
                <w:rFonts w:ascii="Arial" w:cs="Arial" w:eastAsia="Arial" w:hAnsi="Arial"/>
                <w:sz w:val="16"/>
                <w:szCs w:val="16"/>
                <w:b w:val="1"/>
                <w:bCs w:val="1"/>
                <w:color w:val="FFFFFF"/>
                <w:w w:val="89"/>
                <w:vertAlign w:val="superscript"/>
              </w:rPr>
              <w:t>(b)</w:t>
            </w:r>
          </w:p>
        </w:tc>
        <w:tc>
          <w:tcPr>
            <w:tcW w:w="62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120" w:type="dxa"/>
            <w:vAlign w:val="bottom"/>
            <w:shd w:val="clear" w:color="auto" w:fill="003763"/>
          </w:tcPr>
          <w:p>
            <w:pPr>
              <w:spacing w:after="0"/>
              <w:rPr>
                <w:sz w:val="14"/>
                <w:szCs w:val="14"/>
                <w:color w:val="auto"/>
              </w:rPr>
            </w:pPr>
          </w:p>
        </w:tc>
        <w:tc>
          <w:tcPr>
            <w:tcW w:w="740" w:type="dxa"/>
            <w:vAlign w:val="bottom"/>
            <w:gridSpan w:val="2"/>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89"/>
              </w:rPr>
              <w:t>Vesting</w:t>
            </w:r>
            <w:r>
              <w:rPr>
                <w:rFonts w:ascii="Arial" w:cs="Arial" w:eastAsia="Arial" w:hAnsi="Arial"/>
                <w:sz w:val="16"/>
                <w:szCs w:val="16"/>
                <w:b w:val="1"/>
                <w:bCs w:val="1"/>
                <w:color w:val="FFFFFF"/>
                <w:w w:val="89"/>
                <w:vertAlign w:val="superscript"/>
              </w:rPr>
              <w:t>(c)</w:t>
            </w:r>
          </w:p>
        </w:tc>
        <w:tc>
          <w:tcPr>
            <w:tcW w:w="140" w:type="dxa"/>
            <w:vAlign w:val="bottom"/>
            <w:shd w:val="clear" w:color="auto" w:fill="003763"/>
          </w:tcPr>
          <w:p>
            <w:pPr>
              <w:spacing w:after="0"/>
              <w:rPr>
                <w:sz w:val="14"/>
                <w:szCs w:val="14"/>
                <w:color w:val="auto"/>
              </w:rPr>
            </w:pPr>
          </w:p>
        </w:tc>
        <w:tc>
          <w:tcPr>
            <w:tcW w:w="720" w:type="dxa"/>
            <w:vAlign w:val="bottom"/>
            <w:gridSpan w:val="3"/>
            <w:shd w:val="clear" w:color="auto" w:fill="003763"/>
          </w:tcPr>
          <w:p>
            <w:pPr>
              <w:jc w:val="center"/>
              <w:ind w:right="37"/>
              <w:spacing w:after="0"/>
              <w:rPr>
                <w:sz w:val="20"/>
                <w:szCs w:val="20"/>
                <w:color w:val="auto"/>
              </w:rPr>
            </w:pPr>
            <w:r>
              <w:rPr>
                <w:rFonts w:ascii="Arial" w:cs="Arial" w:eastAsia="Arial" w:hAnsi="Arial"/>
                <w:sz w:val="13"/>
                <w:szCs w:val="13"/>
                <w:b w:val="1"/>
                <w:bCs w:val="1"/>
                <w:color w:val="FFFFFF"/>
                <w:w w:val="96"/>
              </w:rPr>
              <w:t>Shares</w:t>
            </w:r>
          </w:p>
        </w:tc>
        <w:tc>
          <w:tcPr>
            <w:tcW w:w="820" w:type="dxa"/>
            <w:vAlign w:val="bottom"/>
            <w:gridSpan w:val="4"/>
            <w:shd w:val="clear" w:color="auto" w:fill="003763"/>
          </w:tcPr>
          <w:p>
            <w:pPr>
              <w:jc w:val="center"/>
              <w:spacing w:after="0" w:line="162" w:lineRule="exact"/>
              <w:rPr>
                <w:sz w:val="20"/>
                <w:szCs w:val="20"/>
                <w:color w:val="auto"/>
              </w:rPr>
            </w:pPr>
            <w:r>
              <w:rPr>
                <w:rFonts w:ascii="Arial" w:cs="Arial" w:eastAsia="Arial" w:hAnsi="Arial"/>
                <w:sz w:val="13"/>
                <w:szCs w:val="13"/>
                <w:b w:val="1"/>
                <w:bCs w:val="1"/>
                <w:color w:val="FFFFFF"/>
                <w:w w:val="92"/>
              </w:rPr>
              <w:t>Vesting</w:t>
            </w:r>
            <w:r>
              <w:rPr>
                <w:rFonts w:ascii="Arial" w:cs="Arial" w:eastAsia="Arial" w:hAnsi="Arial"/>
                <w:sz w:val="16"/>
                <w:szCs w:val="16"/>
                <w:b w:val="1"/>
                <w:bCs w:val="1"/>
                <w:color w:val="FFFFFF"/>
                <w:w w:val="92"/>
                <w:vertAlign w:val="superscript"/>
              </w:rPr>
              <w:t>(d)</w:t>
            </w:r>
          </w:p>
        </w:tc>
        <w:tc>
          <w:tcPr>
            <w:tcW w:w="0" w:type="dxa"/>
            <w:vAlign w:val="bottom"/>
          </w:tcPr>
          <w:p>
            <w:pPr>
              <w:spacing w:after="0"/>
              <w:rPr>
                <w:sz w:val="1"/>
                <w:szCs w:val="1"/>
                <w:color w:val="auto"/>
              </w:rPr>
            </w:pPr>
          </w:p>
        </w:tc>
      </w:tr>
      <w:tr>
        <w:trPr>
          <w:trHeight w:val="220"/>
        </w:trPr>
        <w:tc>
          <w:tcPr>
            <w:tcW w:w="80" w:type="dxa"/>
            <w:vAlign w:val="bottom"/>
          </w:tcPr>
          <w:p>
            <w:pPr>
              <w:ind w:left="60"/>
              <w:spacing w:after="0"/>
              <w:rPr>
                <w:sz w:val="20"/>
                <w:szCs w:val="20"/>
                <w:color w:val="auto"/>
              </w:rPr>
            </w:pPr>
            <w:r>
              <w:rPr>
                <w:rFonts w:ascii="Arial" w:cs="Arial" w:eastAsia="Arial" w:hAnsi="Arial"/>
                <w:sz w:val="1"/>
                <w:szCs w:val="1"/>
                <w:b w:val="1"/>
                <w:bCs w:val="1"/>
                <w:color w:val="FFFFFF"/>
                <w:w w:val="4294942296"/>
              </w:rPr>
              <w:t>​</w:t>
            </w:r>
          </w:p>
        </w:tc>
        <w:tc>
          <w:tcPr>
            <w:tcW w:w="404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500" w:type="dxa"/>
            <w:vAlign w:val="bottom"/>
            <w:shd w:val="clear" w:color="auto" w:fill="003763"/>
          </w:tcPr>
          <w:p>
            <w:pPr>
              <w:jc w:val="center"/>
              <w:ind w:left="16"/>
              <w:spacing w:after="0"/>
              <w:rPr>
                <w:sz w:val="20"/>
                <w:szCs w:val="20"/>
                <w:color w:val="auto"/>
              </w:rPr>
            </w:pPr>
            <w:r>
              <w:rPr>
                <w:rFonts w:ascii="Arial" w:cs="Arial" w:eastAsia="Arial" w:hAnsi="Arial"/>
                <w:sz w:val="13"/>
                <w:szCs w:val="13"/>
                <w:b w:val="1"/>
                <w:bCs w:val="1"/>
                <w:color w:val="FFFFFF"/>
                <w:w w:val="87"/>
              </w:rPr>
              <w:t>($)</w:t>
            </w:r>
          </w:p>
        </w:tc>
        <w:tc>
          <w:tcPr>
            <w:tcW w:w="160" w:type="dxa"/>
            <w:vAlign w:val="bottom"/>
            <w:shd w:val="clear" w:color="auto" w:fill="003763"/>
          </w:tcPr>
          <w:p>
            <w:pPr>
              <w:spacing w:after="0"/>
              <w:rPr>
                <w:sz w:val="19"/>
                <w:szCs w:val="19"/>
                <w:color w:val="auto"/>
              </w:rPr>
            </w:pPr>
          </w:p>
        </w:tc>
        <w:tc>
          <w:tcPr>
            <w:tcW w:w="1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003763"/>
          </w:tcPr>
          <w:p>
            <w:pPr>
              <w:jc w:val="center"/>
              <w:ind w:right="56"/>
              <w:spacing w:after="0"/>
              <w:rPr>
                <w:sz w:val="20"/>
                <w:szCs w:val="20"/>
                <w:color w:val="auto"/>
              </w:rPr>
            </w:pPr>
            <w:r>
              <w:rPr>
                <w:rFonts w:ascii="Arial" w:cs="Arial" w:eastAsia="Arial" w:hAnsi="Arial"/>
                <w:sz w:val="13"/>
                <w:szCs w:val="13"/>
                <w:b w:val="1"/>
                <w:bCs w:val="1"/>
                <w:color w:val="FFFFFF"/>
                <w:w w:val="87"/>
              </w:rPr>
              <w:t>(#)</w:t>
            </w:r>
          </w:p>
        </w:tc>
        <w:tc>
          <w:tcPr>
            <w:tcW w:w="1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87"/>
              </w:rPr>
              <w:t>($)</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440" w:type="dxa"/>
            <w:vAlign w:val="bottom"/>
            <w:shd w:val="clear" w:color="auto" w:fill="003763"/>
          </w:tcPr>
          <w:p>
            <w:pPr>
              <w:jc w:val="center"/>
              <w:ind w:left="5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spacing w:after="0"/>
              <w:rPr>
                <w:sz w:val="19"/>
                <w:szCs w:val="19"/>
                <w:color w:val="auto"/>
              </w:rPr>
            </w:pP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3"/>
        </w:trPr>
        <w:tc>
          <w:tcPr>
            <w:tcW w:w="4120" w:type="dxa"/>
            <w:vAlign w:val="bottom"/>
            <w:tcBorders>
              <w:bottom w:val="single" w:sz="8" w:color="CCCCCC"/>
            </w:tcBorders>
            <w:gridSpan w:val="2"/>
          </w:tcPr>
          <w:p>
            <w:pPr>
              <w:ind w:left="6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Wells</w:t>
            </w:r>
          </w:p>
        </w:tc>
        <w:tc>
          <w:tcPr>
            <w:tcW w:w="12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3"/>
          </w:tcPr>
          <w:p>
            <w:pPr>
              <w:ind w:left="40"/>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72,272</w:t>
            </w:r>
            <w:r>
              <w:rPr>
                <w:rFonts w:ascii="Arial" w:cs="Arial" w:eastAsia="Arial" w:hAnsi="Arial"/>
                <w:sz w:val="28"/>
                <w:szCs w:val="28"/>
                <w:color w:val="auto"/>
                <w:vertAlign w:val="subscript"/>
              </w:rPr>
              <w:t>​​</w:t>
            </w:r>
          </w:p>
        </w:tc>
        <w:tc>
          <w:tcPr>
            <w:tcW w:w="940" w:type="dxa"/>
            <w:vAlign w:val="bottom"/>
            <w:tcBorders>
              <w:bottom w:val="single" w:sz="8" w:color="CCCCCC"/>
            </w:tcBorders>
            <w:gridSpan w:val="4"/>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2,457,971</w:t>
            </w:r>
            <w:r>
              <w:rPr>
                <w:rFonts w:ascii="Arial" w:cs="Arial" w:eastAsia="Arial" w:hAnsi="Arial"/>
                <w:sz w:val="28"/>
                <w:szCs w:val="28"/>
                <w:color w:val="auto"/>
                <w:vertAlign w:val="subscript"/>
              </w:rPr>
              <w:t>​​</w:t>
            </w:r>
          </w:p>
        </w:tc>
        <w:tc>
          <w:tcPr>
            <w:tcW w:w="740" w:type="dxa"/>
            <w:vAlign w:val="bottom"/>
            <w:tcBorders>
              <w:bottom w:val="single" w:sz="8" w:color="CCCCCC"/>
            </w:tcBorders>
            <w:gridSpan w:val="3"/>
          </w:tcPr>
          <w:p>
            <w:pPr>
              <w:ind w:left="40"/>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​19,209 </w:t>
            </w:r>
            <w:r>
              <w:rPr>
                <w:rFonts w:ascii="Arial" w:cs="Arial" w:eastAsia="Arial" w:hAnsi="Arial"/>
                <w:sz w:val="28"/>
                <w:szCs w:val="28"/>
                <w:color w:val="auto"/>
                <w:vertAlign w:val="subscript"/>
              </w:rPr>
              <w:t>​ ​</w:t>
            </w:r>
          </w:p>
        </w:tc>
        <w:tc>
          <w:tcPr>
            <w:tcW w:w="140" w:type="dxa"/>
            <w:vAlign w:val="bottom"/>
            <w:tcBorders>
              <w:bottom w:val="single" w:sz="8" w:color="CCCCCC"/>
            </w:tcBorders>
          </w:tcPr>
          <w:p>
            <w:pPr>
              <w:ind w:left="20"/>
              <w:spacing w:after="0" w:line="284"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14"/>
                <w:szCs w:val="14"/>
                <w:color w:val="auto"/>
              </w:rPr>
              <w:t>578,383</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20"/>
              <w:spacing w:after="0" w:line="284"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spacing w:after="0"/>
              <w:rPr>
                <w:sz w:val="24"/>
                <w:szCs w:val="24"/>
                <w:color w:val="auto"/>
              </w:rPr>
            </w:pPr>
          </w:p>
        </w:tc>
        <w:tc>
          <w:tcPr>
            <w:tcW w:w="24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CCCC"/>
            </w:tcBorders>
            <w:gridSpan w:val="2"/>
            <w:shd w:val="clear" w:color="auto" w:fill="F2F2F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Foster</w:t>
            </w:r>
          </w:p>
        </w:tc>
        <w:tc>
          <w:tcPr>
            <w:tcW w:w="1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260" w:type="dxa"/>
            <w:vAlign w:val="bottom"/>
            <w:tcBorders>
              <w:bottom w:val="single" w:sz="8" w:color="CCCCCC"/>
            </w:tcBorders>
            <w:shd w:val="clear" w:color="auto" w:fill="F2F2F2"/>
          </w:tcPr>
          <w:p>
            <w:pPr>
              <w:spacing w:after="0"/>
              <w:rPr>
                <w:sz w:val="22"/>
                <w:szCs w:val="22"/>
                <w:color w:val="auto"/>
              </w:rPr>
            </w:pPr>
          </w:p>
        </w:tc>
        <w:tc>
          <w:tcPr>
            <w:tcW w:w="3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6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00" w:type="dxa"/>
            <w:vAlign w:val="bottom"/>
            <w:tcBorders>
              <w:bottom w:val="single" w:sz="8" w:color="CCCCCC"/>
            </w:tcBorders>
            <w:shd w:val="clear" w:color="auto" w:fill="F2F2F2"/>
          </w:tcPr>
          <w:p>
            <w:pPr>
              <w:spacing w:after="0"/>
              <w:rPr>
                <w:sz w:val="22"/>
                <w:szCs w:val="22"/>
                <w:color w:val="auto"/>
              </w:rPr>
            </w:pPr>
          </w:p>
        </w:tc>
        <w:tc>
          <w:tcPr>
            <w:tcW w:w="28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tcBorders>
              <w:bottom w:val="single" w:sz="8" w:color="CCCCCC"/>
            </w:tcBorders>
            <w:gridSpan w:val="3"/>
            <w:shd w:val="clear" w:color="auto" w:fill="F2F2F2"/>
          </w:tcPr>
          <w:p>
            <w:pPr>
              <w:ind w:left="2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​63,893 </w:t>
            </w:r>
            <w:r>
              <w:rPr>
                <w:rFonts w:ascii="Arial" w:cs="Arial" w:eastAsia="Arial" w:hAnsi="Arial"/>
                <w:sz w:val="28"/>
                <w:szCs w:val="28"/>
                <w:color w:val="auto"/>
                <w:vertAlign w:val="subscript"/>
              </w:rPr>
              <w:t>​ ​</w:t>
            </w:r>
          </w:p>
        </w:tc>
        <w:tc>
          <w:tcPr>
            <w:tcW w:w="82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​1,931,485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Karuturi</w:t>
            </w:r>
          </w:p>
        </w:tc>
        <w:tc>
          <w:tcPr>
            <w:tcW w:w="12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45,840</w:t>
            </w:r>
            <w:r>
              <w:rPr>
                <w:rFonts w:ascii="Arial" w:cs="Arial" w:eastAsia="Arial" w:hAnsi="Arial"/>
                <w:sz w:val="28"/>
                <w:szCs w:val="28"/>
                <w:color w:val="auto"/>
                <w:vertAlign w:val="subscript"/>
              </w:rPr>
              <w:t>​​</w:t>
            </w:r>
          </w:p>
        </w:tc>
        <w:tc>
          <w:tcPr>
            <w:tcW w:w="94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1,559,018</w:t>
            </w:r>
            <w:r>
              <w:rPr>
                <w:rFonts w:ascii="Arial" w:cs="Arial" w:eastAsia="Arial" w:hAnsi="Arial"/>
                <w:sz w:val="28"/>
                <w:szCs w:val="28"/>
                <w:color w:val="auto"/>
                <w:vertAlign w:val="subscript"/>
              </w:rPr>
              <w:t>​​</w:t>
            </w:r>
          </w:p>
        </w:tc>
        <w:tc>
          <w:tcPr>
            <w:tcW w:w="74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​11,147 </w:t>
            </w:r>
            <w:r>
              <w:rPr>
                <w:rFonts w:ascii="Arial" w:cs="Arial" w:eastAsia="Arial" w:hAnsi="Arial"/>
                <w:sz w:val="28"/>
                <w:szCs w:val="28"/>
                <w:color w:val="auto"/>
                <w:vertAlign w:val="subscript"/>
              </w:rPr>
              <w:t>​ ​</w:t>
            </w:r>
          </w:p>
        </w:tc>
        <w:tc>
          <w:tcPr>
            <w:tcW w:w="14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335,636</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spacing w:after="0"/>
              <w:rPr>
                <w:sz w:val="22"/>
                <w:szCs w:val="22"/>
                <w:color w:val="auto"/>
              </w:rPr>
            </w:pPr>
          </w:p>
        </w:tc>
        <w:tc>
          <w:tcPr>
            <w:tcW w:w="2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CCCC"/>
            </w:tcBorders>
            <w:gridSpan w:val="2"/>
            <w:shd w:val="clear" w:color="auto" w:fill="F2F2F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Ryan</w:t>
            </w:r>
          </w:p>
        </w:tc>
        <w:tc>
          <w:tcPr>
            <w:tcW w:w="1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35,004</w:t>
            </w:r>
            <w:r>
              <w:rPr>
                <w:rFonts w:ascii="Arial" w:cs="Arial" w:eastAsia="Arial" w:hAnsi="Arial"/>
                <w:sz w:val="28"/>
                <w:szCs w:val="28"/>
                <w:color w:val="auto"/>
                <w:vertAlign w:val="subscript"/>
              </w:rPr>
              <w:t>​​</w:t>
            </w:r>
          </w:p>
        </w:tc>
        <w:tc>
          <w:tcPr>
            <w:tcW w:w="94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1,190,486</w:t>
            </w:r>
            <w:r>
              <w:rPr>
                <w:rFonts w:ascii="Arial" w:cs="Arial" w:eastAsia="Arial" w:hAnsi="Arial"/>
                <w:sz w:val="28"/>
                <w:szCs w:val="28"/>
                <w:color w:val="auto"/>
                <w:vertAlign w:val="subscript"/>
              </w:rPr>
              <w:t>​​</w:t>
            </w:r>
          </w:p>
        </w:tc>
        <w:tc>
          <w:tcPr>
            <w:tcW w:w="74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9,358 </w:t>
            </w:r>
            <w:r>
              <w:rPr>
                <w:rFonts w:ascii="Arial" w:cs="Arial" w:eastAsia="Arial" w:hAnsi="Arial"/>
                <w:sz w:val="28"/>
                <w:szCs w:val="28"/>
                <w:color w:val="auto"/>
                <w:vertAlign w:val="subscript"/>
              </w:rPr>
              <w:t>​ ​</w:t>
            </w:r>
          </w:p>
        </w:tc>
        <w:tc>
          <w:tcPr>
            <w:tcW w:w="14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281,769</w:t>
            </w:r>
            <w:r>
              <w:rPr>
                <w:rFonts w:ascii="Arial" w:cs="Arial" w:eastAsia="Arial" w:hAnsi="Arial"/>
                <w:sz w:val="28"/>
                <w:szCs w:val="28"/>
                <w:color w:val="auto"/>
                <w:vertAlign w:val="subscript"/>
              </w:rPr>
              <w:t>​​</w:t>
            </w:r>
          </w:p>
        </w:tc>
        <w:tc>
          <w:tcPr>
            <w:tcW w:w="20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shd w:val="clear" w:color="auto" w:fill="F2F2F2"/>
          </w:tcPr>
          <w:p>
            <w:pPr>
              <w:spacing w:after="0"/>
              <w:rPr>
                <w:sz w:val="22"/>
                <w:szCs w:val="22"/>
                <w:color w:val="auto"/>
              </w:rPr>
            </w:pPr>
          </w:p>
        </w:tc>
        <w:tc>
          <w:tcPr>
            <w:tcW w:w="2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Harkel-Rumford</w:t>
            </w:r>
          </w:p>
        </w:tc>
        <w:tc>
          <w:tcPr>
            <w:tcW w:w="12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27,765</w:t>
            </w:r>
            <w:r>
              <w:rPr>
                <w:rFonts w:ascii="Arial" w:cs="Arial" w:eastAsia="Arial" w:hAnsi="Arial"/>
                <w:sz w:val="28"/>
                <w:szCs w:val="28"/>
                <w:color w:val="auto"/>
                <w:vertAlign w:val="subscript"/>
              </w:rPr>
              <w:t>​​</w:t>
            </w:r>
          </w:p>
        </w:tc>
        <w:tc>
          <w:tcPr>
            <w:tcW w:w="16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14"/>
                <w:szCs w:val="14"/>
                <w:color w:val="auto"/>
              </w:rPr>
              <w:t>944,288</w:t>
            </w:r>
            <w:r>
              <w:rPr>
                <w:rFonts w:ascii="Arial" w:cs="Arial" w:eastAsia="Arial" w:hAnsi="Arial"/>
                <w:sz w:val="28"/>
                <w:szCs w:val="28"/>
                <w:color w:val="auto"/>
                <w:vertAlign w:val="subscript"/>
              </w:rPr>
              <w:t>​​</w:t>
            </w:r>
          </w:p>
        </w:tc>
        <w:tc>
          <w:tcPr>
            <w:tcW w:w="74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6,904 </w:t>
            </w:r>
            <w:r>
              <w:rPr>
                <w:rFonts w:ascii="Arial" w:cs="Arial" w:eastAsia="Arial" w:hAnsi="Arial"/>
                <w:sz w:val="28"/>
                <w:szCs w:val="28"/>
                <w:color w:val="auto"/>
                <w:vertAlign w:val="subscript"/>
              </w:rPr>
              <w:t>​ ​</w:t>
            </w:r>
          </w:p>
        </w:tc>
        <w:tc>
          <w:tcPr>
            <w:tcW w:w="14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207,879</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spacing w:after="0"/>
              <w:rPr>
                <w:sz w:val="22"/>
                <w:szCs w:val="22"/>
                <w:color w:val="auto"/>
              </w:rPr>
            </w:pPr>
          </w:p>
        </w:tc>
        <w:tc>
          <w:tcPr>
            <w:tcW w:w="2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CCCC"/>
            </w:tcBorders>
            <w:gridSpan w:val="2"/>
            <w:shd w:val="clear" w:color="auto" w:fill="F2F2F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Lesar</w:t>
            </w:r>
          </w:p>
        </w:tc>
        <w:tc>
          <w:tcPr>
            <w:tcW w:w="12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​352,781</w:t>
            </w:r>
            <w:r>
              <w:rPr>
                <w:rFonts w:ascii="Arial" w:cs="Arial" w:eastAsia="Arial" w:hAnsi="Arial"/>
                <w:sz w:val="28"/>
                <w:szCs w:val="28"/>
                <w:color w:val="auto"/>
                <w:vertAlign w:val="subscript"/>
              </w:rPr>
              <w:t>​​</w:t>
            </w:r>
          </w:p>
        </w:tc>
        <w:tc>
          <w:tcPr>
            <w:tcW w:w="94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​11,998,082</w:t>
            </w:r>
            <w:r>
              <w:rPr>
                <w:rFonts w:ascii="Arial" w:cs="Arial" w:eastAsia="Arial" w:hAnsi="Arial"/>
                <w:sz w:val="28"/>
                <w:szCs w:val="28"/>
                <w:color w:val="auto"/>
                <w:vertAlign w:val="subscript"/>
              </w:rPr>
              <w:t>​​</w:t>
            </w:r>
          </w:p>
        </w:tc>
        <w:tc>
          <w:tcPr>
            <w:tcW w:w="74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​93,119 </w:t>
            </w:r>
            <w:r>
              <w:rPr>
                <w:rFonts w:ascii="Arial" w:cs="Arial" w:eastAsia="Arial" w:hAnsi="Arial"/>
                <w:sz w:val="28"/>
                <w:szCs w:val="28"/>
                <w:color w:val="auto"/>
                <w:vertAlign w:val="subscript"/>
              </w:rPr>
              <w:t>​ ​</w:t>
            </w:r>
          </w:p>
        </w:tc>
        <w:tc>
          <w:tcPr>
            <w:tcW w:w="88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​2,803,813</w:t>
            </w:r>
            <w:r>
              <w:rPr>
                <w:rFonts w:ascii="Arial" w:cs="Arial" w:eastAsia="Arial" w:hAnsi="Arial"/>
                <w:sz w:val="28"/>
                <w:szCs w:val="28"/>
                <w:color w:val="auto"/>
                <w:vertAlign w:val="subscript"/>
              </w:rPr>
              <w:t>​​</w:t>
            </w:r>
          </w:p>
        </w:tc>
        <w:tc>
          <w:tcPr>
            <w:tcW w:w="20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shd w:val="clear" w:color="auto" w:fill="F2F2F2"/>
          </w:tcPr>
          <w:p>
            <w:pPr>
              <w:spacing w:after="0"/>
              <w:rPr>
                <w:sz w:val="22"/>
                <w:szCs w:val="22"/>
                <w:color w:val="auto"/>
              </w:rPr>
            </w:pPr>
          </w:p>
        </w:tc>
        <w:tc>
          <w:tcPr>
            <w:tcW w:w="2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Wilson</w:t>
            </w:r>
          </w:p>
        </w:tc>
        <w:tc>
          <w:tcPr>
            <w:tcW w:w="12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260" w:type="dxa"/>
            <w:vAlign w:val="bottom"/>
            <w:tcBorders>
              <w:bottom w:val="single" w:sz="8" w:color="CCCCCC"/>
            </w:tcBorders>
          </w:tcPr>
          <w:p>
            <w:pPr>
              <w:spacing w:after="0"/>
              <w:rPr>
                <w:sz w:val="22"/>
                <w:szCs w:val="22"/>
                <w:color w:val="auto"/>
              </w:rPr>
            </w:pPr>
          </w:p>
        </w:tc>
        <w:tc>
          <w:tcPr>
            <w:tcW w:w="3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6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00" w:type="dxa"/>
            <w:vAlign w:val="bottom"/>
            <w:tcBorders>
              <w:bottom w:val="single" w:sz="8" w:color="CCCCCC"/>
            </w:tcBorders>
          </w:tcPr>
          <w:p>
            <w:pPr>
              <w:spacing w:after="0"/>
              <w:rPr>
                <w:sz w:val="22"/>
                <w:szCs w:val="22"/>
                <w:color w:val="auto"/>
              </w:rPr>
            </w:pPr>
          </w:p>
        </w:tc>
        <w:tc>
          <w:tcPr>
            <w:tcW w:w="28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4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2,893 </w:t>
            </w:r>
            <w:r>
              <w:rPr>
                <w:rFonts w:ascii="Arial" w:cs="Arial" w:eastAsia="Arial" w:hAnsi="Arial"/>
                <w:sz w:val="28"/>
                <w:szCs w:val="28"/>
                <w:color w:val="auto"/>
                <w:vertAlign w:val="subscript"/>
              </w:rPr>
              <w:t>​ ​</w:t>
            </w:r>
          </w:p>
        </w:tc>
        <w:tc>
          <w:tcPr>
            <w:tcW w:w="14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87,108</w:t>
            </w:r>
            <w:r>
              <w:rPr>
                <w:rFonts w:ascii="Arial" w:cs="Arial" w:eastAsia="Arial" w:hAnsi="Arial"/>
                <w:sz w:val="28"/>
                <w:szCs w:val="28"/>
                <w:color w:val="auto"/>
                <w:vertAlign w:val="subscript"/>
              </w:rPr>
              <w:t>​​</w:t>
            </w:r>
          </w:p>
        </w:tc>
        <w:tc>
          <w:tcPr>
            <w:tcW w:w="20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14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spacing w:after="0"/>
              <w:rPr>
                <w:sz w:val="22"/>
                <w:szCs w:val="22"/>
                <w:color w:val="auto"/>
              </w:rPr>
            </w:pPr>
          </w:p>
        </w:tc>
        <w:tc>
          <w:tcPr>
            <w:tcW w:w="2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-1833880</wp:posOffset>
            </wp:positionV>
            <wp:extent cx="29832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38" w:lineRule="exact"/>
        <w:rPr>
          <w:sz w:val="20"/>
          <w:szCs w:val="20"/>
          <w:color w:val="auto"/>
        </w:rPr>
      </w:pPr>
    </w:p>
    <w:p>
      <w:pPr>
        <w:ind w:left="1100" w:right="160" w:hanging="190"/>
        <w:spacing w:after="0" w:line="229" w:lineRule="auto"/>
        <w:tabs>
          <w:tab w:leader="none" w:pos="1100" w:val="left"/>
        </w:tabs>
        <w:numPr>
          <w:ilvl w:val="0"/>
          <w:numId w:val="122"/>
        </w:numPr>
        <w:rPr>
          <w:rFonts w:ascii="Arial" w:cs="Arial" w:eastAsia="Arial" w:hAnsi="Arial"/>
          <w:sz w:val="20"/>
          <w:szCs w:val="20"/>
          <w:color w:val="auto"/>
          <w:vertAlign w:val="superscript"/>
        </w:rPr>
      </w:pPr>
      <w:r>
        <w:rPr>
          <w:rFonts w:ascii="Arial" w:cs="Arial" w:eastAsia="Arial" w:hAnsi="Arial"/>
          <w:sz w:val="13"/>
          <w:szCs w:val="13"/>
          <w:color w:val="auto"/>
        </w:rPr>
        <w:t>A participant is vested in the right to receive performance share units under the award agreements as of December 31, 2024 (the end of the performance cycle). However, pursuant to the terms of the awards, the actual number of shares to be awarded to the participant is not known until the Human Capital and Compensation Committee determines the applicable achievement levels of the underlying goals within 60 days after the end of the performance cycle. Accordingly, the awards are valued for compensation purposes after the Human Capital and Compensation Committee completes its determination and the procedures to verify the financial information used in determining the applicable achievement levels have been completed. After completion of this process, the actual transfer of the stock is made to participants.</w:t>
      </w:r>
    </w:p>
    <w:p>
      <w:pPr>
        <w:spacing w:after="0" w:line="52" w:lineRule="exact"/>
        <w:rPr>
          <w:rFonts w:ascii="Arial" w:cs="Arial" w:eastAsia="Arial" w:hAnsi="Arial"/>
          <w:sz w:val="20"/>
          <w:szCs w:val="20"/>
          <w:color w:val="auto"/>
          <w:vertAlign w:val="superscript"/>
        </w:rPr>
      </w:pPr>
    </w:p>
    <w:p>
      <w:pPr>
        <w:ind w:left="1100" w:right="180" w:hanging="190"/>
        <w:spacing w:after="0" w:line="216" w:lineRule="auto"/>
        <w:tabs>
          <w:tab w:leader="none" w:pos="1100" w:val="left"/>
        </w:tabs>
        <w:numPr>
          <w:ilvl w:val="0"/>
          <w:numId w:val="122"/>
        </w:numPr>
        <w:rPr>
          <w:rFonts w:ascii="Arial" w:cs="Arial" w:eastAsia="Arial" w:hAnsi="Arial"/>
          <w:sz w:val="20"/>
          <w:szCs w:val="20"/>
          <w:color w:val="auto"/>
          <w:vertAlign w:val="superscript"/>
        </w:rPr>
      </w:pPr>
      <w:r>
        <w:rPr>
          <w:rFonts w:ascii="Arial" w:cs="Arial" w:eastAsia="Arial" w:hAnsi="Arial"/>
          <w:sz w:val="13"/>
          <w:szCs w:val="13"/>
          <w:color w:val="auto"/>
        </w:rPr>
        <w:t>Value Realized on Vesting for the performance share unit awards was determined using the closing market price of our common stock $31.73 on the NYSE on December 31, 2024, together with a dividend equivalent amount equal to the dividends accrued during the performance period $2.28 per share on our shares of common stock. The number of performance share units vested was determined based on an overall achievement level of 149%.</w:t>
      </w:r>
    </w:p>
    <w:p>
      <w:pPr>
        <w:spacing w:after="0" w:line="50" w:lineRule="exact"/>
        <w:rPr>
          <w:rFonts w:ascii="Arial" w:cs="Arial" w:eastAsia="Arial" w:hAnsi="Arial"/>
          <w:sz w:val="20"/>
          <w:szCs w:val="20"/>
          <w:color w:val="auto"/>
          <w:vertAlign w:val="superscript"/>
        </w:rPr>
      </w:pPr>
    </w:p>
    <w:p>
      <w:pPr>
        <w:ind w:left="1100" w:right="160" w:hanging="190"/>
        <w:spacing w:after="0" w:line="207" w:lineRule="auto"/>
        <w:tabs>
          <w:tab w:leader="none" w:pos="1100" w:val="left"/>
        </w:tabs>
        <w:numPr>
          <w:ilvl w:val="0"/>
          <w:numId w:val="122"/>
        </w:numPr>
        <w:rPr>
          <w:rFonts w:ascii="Arial" w:cs="Arial" w:eastAsia="Arial" w:hAnsi="Arial"/>
          <w:sz w:val="20"/>
          <w:szCs w:val="20"/>
          <w:color w:val="auto"/>
          <w:vertAlign w:val="superscript"/>
        </w:rPr>
      </w:pPr>
      <w:r>
        <w:rPr>
          <w:rFonts w:ascii="Arial" w:cs="Arial" w:eastAsia="Arial" w:hAnsi="Arial"/>
          <w:sz w:val="13"/>
          <w:szCs w:val="13"/>
          <w:color w:val="auto"/>
        </w:rPr>
        <w:t>Value Realized on Vesting for the stock awards was determined using the closing market price of our common stock $27.79 on the NYSE on February 20, 2024, together with dividend equivalents per share during the vesting period of $2.32.</w:t>
      </w:r>
    </w:p>
    <w:p>
      <w:pPr>
        <w:spacing w:after="0" w:line="50" w:lineRule="exact"/>
        <w:rPr>
          <w:rFonts w:ascii="Arial" w:cs="Arial" w:eastAsia="Arial" w:hAnsi="Arial"/>
          <w:sz w:val="20"/>
          <w:szCs w:val="20"/>
          <w:color w:val="auto"/>
          <w:vertAlign w:val="superscript"/>
        </w:rPr>
      </w:pPr>
    </w:p>
    <w:p>
      <w:pPr>
        <w:ind w:left="1100" w:right="500" w:hanging="190"/>
        <w:spacing w:after="0" w:line="198" w:lineRule="auto"/>
        <w:tabs>
          <w:tab w:leader="none" w:pos="1100" w:val="left"/>
        </w:tabs>
        <w:numPr>
          <w:ilvl w:val="0"/>
          <w:numId w:val="122"/>
        </w:numPr>
        <w:rPr>
          <w:rFonts w:ascii="Arial" w:cs="Arial" w:eastAsia="Arial" w:hAnsi="Arial"/>
          <w:sz w:val="20"/>
          <w:szCs w:val="20"/>
          <w:color w:val="auto"/>
          <w:vertAlign w:val="superscript"/>
        </w:rPr>
      </w:pPr>
      <w:r>
        <w:rPr>
          <w:rFonts w:ascii="Arial" w:cs="Arial" w:eastAsia="Arial" w:hAnsi="Arial"/>
          <w:sz w:val="13"/>
          <w:szCs w:val="13"/>
          <w:color w:val="auto"/>
        </w:rPr>
        <w:t>Value Realized on Vesting for the stock awards was determined using the closing market price of our common stock $29.45 on the NYSE on May 3, 2024, together with dividend equivalents per share during the vesting period of $0.78.</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Pension Benefits</w:t>
      </w:r>
    </w:p>
    <w:p>
      <w:pPr>
        <w:spacing w:after="0" w:line="112" w:lineRule="exact"/>
        <w:rPr>
          <w:sz w:val="20"/>
          <w:szCs w:val="20"/>
          <w:color w:val="auto"/>
        </w:rPr>
      </w:pPr>
    </w:p>
    <w:p>
      <w:pPr>
        <w:ind w:left="740" w:right="400"/>
        <w:spacing w:after="0" w:line="269" w:lineRule="auto"/>
        <w:rPr>
          <w:sz w:val="20"/>
          <w:szCs w:val="20"/>
          <w:color w:val="auto"/>
        </w:rPr>
      </w:pPr>
      <w:r>
        <w:rPr>
          <w:rFonts w:ascii="Arial" w:cs="Arial" w:eastAsia="Arial" w:hAnsi="Arial"/>
          <w:sz w:val="16"/>
          <w:szCs w:val="16"/>
          <w:color w:val="auto"/>
        </w:rPr>
        <w:t>Our named executive officers hired or rehired before January 1, 2020 (Mr. Ryan and Mses. Karuturi and Harkel-Rumford) are eligible for pension benefits under a tax-qualified defined benefit pension plan—the CenterPoint Energy Retirement Plan (CNP Retirement Plan). In addition, our named executive officers who are eligible to accrue benefits under the CenterPoint Energy Retirement Plan are also eligible to accrue benefits under a benefit restoration plan, which is also a defined benefit plan. Participants</w:t>
      </w:r>
    </w:p>
    <w:p>
      <w:pPr>
        <w:sectPr>
          <w:pgSz w:w="11900" w:h="16838" w:orient="portrait"/>
          <w:cols w:equalWidth="0" w:num="1">
            <w:col w:w="10020"/>
          </w:cols>
          <w:pgMar w:left="580" w:top="97" w:right="1299" w:bottom="1440" w:gutter="0" w:footer="0" w:header="0"/>
        </w:sectPr>
      </w:pPr>
    </w:p>
    <w:p>
      <w:pPr>
        <w:spacing w:after="0" w:line="22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740" w:right="40"/>
        <w:spacing w:after="0" w:line="265" w:lineRule="auto"/>
        <w:rPr>
          <w:sz w:val="20"/>
          <w:szCs w:val="20"/>
          <w:color w:val="auto"/>
        </w:rPr>
      </w:pPr>
      <w:r>
        <w:rPr>
          <w:rFonts w:ascii="Arial" w:cs="Arial" w:eastAsia="Arial" w:hAnsi="Arial"/>
          <w:sz w:val="16"/>
          <w:szCs w:val="16"/>
          <w:color w:val="auto"/>
        </w:rPr>
        <w:t>are fully vested in both plans after three years of service. Participants hired on or after January 1, 1999 but prior to January 1, 2009 (including Ms. Harkel-Rumford) accumulated a retirement benefit based upon a cash balance formula of four percent of base salary and short-term incentive compensation through December 31, 2008. For periods after December 31, 2008, the retirement benefit is based on a cash balance formula of five percent of base salary and short-term incentive compensation.</w:t>
      </w:r>
    </w:p>
    <w:p>
      <w:pPr>
        <w:spacing w:after="0" w:line="119" w:lineRule="exact"/>
        <w:rPr>
          <w:sz w:val="20"/>
          <w:szCs w:val="20"/>
          <w:color w:val="auto"/>
        </w:rPr>
      </w:pPr>
    </w:p>
    <w:p>
      <w:pPr>
        <w:ind w:left="740" w:right="60"/>
        <w:spacing w:after="0" w:line="264" w:lineRule="auto"/>
        <w:rPr>
          <w:sz w:val="20"/>
          <w:szCs w:val="20"/>
          <w:color w:val="auto"/>
        </w:rPr>
      </w:pPr>
      <w:r>
        <w:rPr>
          <w:rFonts w:ascii="Arial" w:cs="Arial" w:eastAsia="Arial" w:hAnsi="Arial"/>
          <w:sz w:val="16"/>
          <w:szCs w:val="16"/>
          <w:color w:val="auto"/>
        </w:rPr>
        <w:t>In connection with the Vectren merger, we also acquired, and continue to maintain, a tax-qualified defined benefit pension plan that provides pension benefits for certain eligible employees who were employed by Vectren and its affiliates at the time of the merger (including Ms. Wilson)—the Vectren Corporation Combined Non-Bargaining Retirement Plan (Vectren Retirement Plan). Prior to January 1, 2020, Ms. Wilson accrued a retirement benefit under the plan based on a cash balance formula of 2.5 percent of base salary and short-term incentive compensation, plus an additional $310 annual credit. The plan was frozen as of January 1, 2020 for participants accruing benefits solely under a cash balance formula (including Ms. Wilson) such that no further benefits, except interest credits, accrue after that date.</w:t>
      </w:r>
    </w:p>
    <w:p>
      <w:pPr>
        <w:spacing w:after="0" w:line="109" w:lineRule="exact"/>
        <w:rPr>
          <w:sz w:val="20"/>
          <w:szCs w:val="20"/>
          <w:color w:val="auto"/>
        </w:rPr>
      </w:pPr>
    </w:p>
    <w:p>
      <w:pPr>
        <w:ind w:left="740" w:right="80"/>
        <w:spacing w:after="0" w:line="262" w:lineRule="auto"/>
        <w:rPr>
          <w:sz w:val="20"/>
          <w:szCs w:val="20"/>
          <w:color w:val="auto"/>
        </w:rPr>
      </w:pPr>
      <w:r>
        <w:rPr>
          <w:rFonts w:ascii="Arial" w:cs="Arial" w:eastAsia="Arial" w:hAnsi="Arial"/>
          <w:sz w:val="16"/>
          <w:szCs w:val="16"/>
          <w:color w:val="auto"/>
        </w:rPr>
        <w:t>All of our named executive officers who are eligible for benefits under our tax-qualified retirement plans are also eligible for benefits under a benefits restoration plan. Benefits that may not be provided under the retirement plans because of Internal Revenue Code annual limits on benefits and compensation are made in a bookkeeping account under a benefit restoration plan. The excess benefit amounts are determined based on the benefit formula under the applicable retirement plan. To comply with the requirements under Section 409A of the Internal Revenue Code, we established the CenterPoint Energy Benefit Restoration Plan (CNP Benefit Restoration Plan) for excess benefits related to the CenterPoint Energy Retirement Plan that accrued or vested after 2004. We also acquired, and continue to maintain, the Vectren Corporation Nonqualified Defined Benefit Restoration Plan (the Vectren Restoration Plan) in connection with the Vectren merger, under which Ms. Wilson accrued excess benefits related to the Vectren Retirement Plan.</w:t>
      </w:r>
    </w:p>
    <w:p>
      <w:pPr>
        <w:spacing w:after="0" w:line="123" w:lineRule="exact"/>
        <w:rPr>
          <w:sz w:val="20"/>
          <w:szCs w:val="20"/>
          <w:color w:val="auto"/>
        </w:rPr>
      </w:pPr>
    </w:p>
    <w:p>
      <w:pPr>
        <w:ind w:left="740" w:right="120"/>
        <w:spacing w:after="0" w:line="271" w:lineRule="auto"/>
        <w:rPr>
          <w:sz w:val="20"/>
          <w:szCs w:val="20"/>
          <w:color w:val="auto"/>
        </w:rPr>
      </w:pPr>
      <w:r>
        <w:rPr>
          <w:rFonts w:ascii="Arial" w:cs="Arial" w:eastAsia="Arial" w:hAnsi="Arial"/>
          <w:sz w:val="16"/>
          <w:szCs w:val="16"/>
          <w:color w:val="auto"/>
        </w:rPr>
        <w:t>The restoration plans are subject to Section 409A of the Internal Revenue Code. Our named executive officers who are eligible for the plans will generally receive payments in a lump sum form under the applicable plan following separation from service. Benefit payments for our named executive officers and other key employees will be delayed for six months to comply with Section 409A of the Internal Revenue Code. The restoration plans do not provide any past service credits or accelerated service benefits.</w:t>
      </w:r>
    </w:p>
    <w:p>
      <w:pPr>
        <w:spacing w:after="0" w:line="100" w:lineRule="exact"/>
        <w:rPr>
          <w:sz w:val="20"/>
          <w:szCs w:val="20"/>
          <w:color w:val="auto"/>
        </w:rPr>
      </w:pPr>
    </w:p>
    <w:p>
      <w:pPr>
        <w:ind w:left="740" w:right="500"/>
        <w:spacing w:after="0" w:line="304" w:lineRule="auto"/>
        <w:rPr>
          <w:sz w:val="20"/>
          <w:szCs w:val="20"/>
          <w:color w:val="auto"/>
        </w:rPr>
      </w:pPr>
      <w:r>
        <w:rPr>
          <w:rFonts w:ascii="Arial" w:cs="Arial" w:eastAsia="Arial" w:hAnsi="Arial"/>
          <w:sz w:val="16"/>
          <w:szCs w:val="16"/>
          <w:color w:val="auto"/>
        </w:rPr>
        <w:t>The table below provides information regarding our named executive officers’ accumulated benefits under our retirement and benefit restoration plans.</w:t>
      </w:r>
    </w:p>
    <w:p>
      <w:pPr>
        <w:spacing w:after="0" w:line="129" w:lineRule="exact"/>
        <w:rPr>
          <w:sz w:val="20"/>
          <w:szCs w:val="20"/>
          <w:color w:val="auto"/>
        </w:rPr>
      </w:pPr>
    </w:p>
    <w:tbl>
      <w:tblPr>
        <w:tblLayout w:type="fixed"/>
        <w:tblInd w:w="740" w:type="dxa"/>
        <w:tblCellMar>
          <w:top w:w="0" w:type="dxa"/>
          <w:left w:w="0" w:type="dxa"/>
          <w:bottom w:w="0" w:type="dxa"/>
          <w:right w:w="0" w:type="dxa"/>
        </w:tblCellMar>
      </w:tblPr>
      <w:tr>
        <w:trPr>
          <w:trHeight w:val="266"/>
        </w:trPr>
        <w:tc>
          <w:tcPr>
            <w:tcW w:w="2120" w:type="dxa"/>
            <w:vAlign w:val="bottom"/>
            <w:shd w:val="clear" w:color="auto" w:fill="003763"/>
          </w:tcPr>
          <w:p>
            <w:pPr>
              <w:spacing w:after="0"/>
              <w:rPr>
                <w:sz w:val="23"/>
                <w:szCs w:val="23"/>
                <w:color w:val="auto"/>
              </w:rPr>
            </w:pPr>
          </w:p>
        </w:tc>
        <w:tc>
          <w:tcPr>
            <w:tcW w:w="420" w:type="dxa"/>
            <w:vAlign w:val="bottom"/>
            <w:shd w:val="clear" w:color="auto" w:fill="003763"/>
          </w:tcPr>
          <w:p>
            <w:pPr>
              <w:spacing w:after="0"/>
              <w:rPr>
                <w:sz w:val="23"/>
                <w:szCs w:val="23"/>
                <w:color w:val="auto"/>
              </w:rPr>
            </w:pPr>
          </w:p>
        </w:tc>
        <w:tc>
          <w:tcPr>
            <w:tcW w:w="260" w:type="dxa"/>
            <w:vAlign w:val="bottom"/>
            <w:shd w:val="clear" w:color="auto" w:fill="003763"/>
          </w:tcPr>
          <w:p>
            <w:pPr>
              <w:spacing w:after="0"/>
              <w:rPr>
                <w:sz w:val="23"/>
                <w:szCs w:val="23"/>
                <w:color w:val="auto"/>
              </w:rPr>
            </w:pPr>
          </w:p>
        </w:tc>
        <w:tc>
          <w:tcPr>
            <w:tcW w:w="60" w:type="dxa"/>
            <w:vAlign w:val="bottom"/>
            <w:shd w:val="clear" w:color="auto" w:fill="003763"/>
          </w:tcPr>
          <w:p>
            <w:pPr>
              <w:spacing w:after="0"/>
              <w:rPr>
                <w:sz w:val="23"/>
                <w:szCs w:val="23"/>
                <w:color w:val="auto"/>
              </w:rPr>
            </w:pPr>
          </w:p>
        </w:tc>
        <w:tc>
          <w:tcPr>
            <w:tcW w:w="2060" w:type="dxa"/>
            <w:vAlign w:val="bottom"/>
            <w:shd w:val="clear" w:color="auto" w:fill="003763"/>
          </w:tcPr>
          <w:p>
            <w:pPr>
              <w:spacing w:after="0"/>
              <w:rPr>
                <w:sz w:val="23"/>
                <w:szCs w:val="23"/>
                <w:color w:val="auto"/>
              </w:rPr>
            </w:pPr>
          </w:p>
        </w:tc>
        <w:tc>
          <w:tcPr>
            <w:tcW w:w="260" w:type="dxa"/>
            <w:vAlign w:val="bottom"/>
            <w:shd w:val="clear" w:color="auto" w:fill="003763"/>
          </w:tcPr>
          <w:p>
            <w:pPr>
              <w:spacing w:after="0"/>
              <w:rPr>
                <w:sz w:val="23"/>
                <w:szCs w:val="23"/>
                <w:color w:val="auto"/>
              </w:rPr>
            </w:pPr>
          </w:p>
        </w:tc>
        <w:tc>
          <w:tcPr>
            <w:tcW w:w="240" w:type="dxa"/>
            <w:vAlign w:val="bottom"/>
            <w:shd w:val="clear" w:color="auto" w:fill="003763"/>
          </w:tcPr>
          <w:p>
            <w:pPr>
              <w:spacing w:after="0"/>
              <w:rPr>
                <w:sz w:val="23"/>
                <w:szCs w:val="23"/>
                <w:color w:val="auto"/>
              </w:rPr>
            </w:pPr>
          </w:p>
        </w:tc>
        <w:tc>
          <w:tcPr>
            <w:tcW w:w="70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0" w:type="dxa"/>
            <w:vAlign w:val="bottom"/>
            <w:shd w:val="clear" w:color="auto" w:fill="003763"/>
          </w:tcPr>
          <w:p>
            <w:pPr>
              <w:spacing w:after="0"/>
              <w:rPr>
                <w:sz w:val="23"/>
                <w:szCs w:val="23"/>
                <w:color w:val="auto"/>
              </w:rPr>
            </w:pPr>
          </w:p>
        </w:tc>
        <w:tc>
          <w:tcPr>
            <w:tcW w:w="240" w:type="dxa"/>
            <w:vAlign w:val="bottom"/>
            <w:shd w:val="clear" w:color="auto" w:fill="003763"/>
          </w:tcPr>
          <w:p>
            <w:pPr>
              <w:spacing w:after="0"/>
              <w:rPr>
                <w:sz w:val="23"/>
                <w:szCs w:val="23"/>
                <w:color w:val="auto"/>
              </w:rPr>
            </w:pPr>
          </w:p>
        </w:tc>
        <w:tc>
          <w:tcPr>
            <w:tcW w:w="240" w:type="dxa"/>
            <w:vAlign w:val="bottom"/>
            <w:shd w:val="clear" w:color="auto" w:fill="003763"/>
          </w:tcPr>
          <w:p>
            <w:pPr>
              <w:spacing w:after="0"/>
              <w:rPr>
                <w:sz w:val="23"/>
                <w:szCs w:val="23"/>
                <w:color w:val="auto"/>
              </w:rPr>
            </w:pPr>
          </w:p>
        </w:tc>
        <w:tc>
          <w:tcPr>
            <w:tcW w:w="320" w:type="dxa"/>
            <w:vAlign w:val="bottom"/>
            <w:shd w:val="clear" w:color="auto" w:fill="003763"/>
          </w:tcPr>
          <w:p>
            <w:pPr>
              <w:spacing w:after="0"/>
              <w:rPr>
                <w:sz w:val="23"/>
                <w:szCs w:val="23"/>
                <w:color w:val="auto"/>
              </w:rPr>
            </w:pPr>
          </w:p>
        </w:tc>
        <w:tc>
          <w:tcPr>
            <w:tcW w:w="720" w:type="dxa"/>
            <w:vAlign w:val="bottom"/>
            <w:shd w:val="clear" w:color="auto" w:fill="003763"/>
          </w:tcPr>
          <w:p>
            <w:pPr>
              <w:spacing w:after="0"/>
              <w:rPr>
                <w:sz w:val="23"/>
                <w:szCs w:val="23"/>
                <w:color w:val="auto"/>
              </w:rPr>
            </w:pPr>
          </w:p>
        </w:tc>
        <w:tc>
          <w:tcPr>
            <w:tcW w:w="120" w:type="dxa"/>
            <w:vAlign w:val="bottom"/>
            <w:shd w:val="clear" w:color="auto" w:fill="003763"/>
          </w:tcPr>
          <w:p>
            <w:pPr>
              <w:spacing w:after="0"/>
              <w:rPr>
                <w:sz w:val="23"/>
                <w:szCs w:val="23"/>
                <w:color w:val="auto"/>
              </w:rPr>
            </w:pPr>
          </w:p>
        </w:tc>
        <w:tc>
          <w:tcPr>
            <w:tcW w:w="240" w:type="dxa"/>
            <w:vAlign w:val="bottom"/>
            <w:shd w:val="clear" w:color="auto" w:fill="003763"/>
          </w:tcPr>
          <w:p>
            <w:pPr>
              <w:spacing w:after="0"/>
              <w:rPr>
                <w:sz w:val="23"/>
                <w:szCs w:val="23"/>
                <w:color w:val="auto"/>
              </w:rPr>
            </w:pPr>
          </w:p>
        </w:tc>
        <w:tc>
          <w:tcPr>
            <w:tcW w:w="220" w:type="dxa"/>
            <w:vAlign w:val="bottom"/>
            <w:shd w:val="clear" w:color="auto" w:fill="003763"/>
          </w:tcPr>
          <w:p>
            <w:pPr>
              <w:spacing w:after="0"/>
              <w:rPr>
                <w:sz w:val="23"/>
                <w:szCs w:val="23"/>
                <w:color w:val="auto"/>
              </w:rPr>
            </w:pPr>
          </w:p>
        </w:tc>
        <w:tc>
          <w:tcPr>
            <w:tcW w:w="780" w:type="dxa"/>
            <w:vAlign w:val="bottom"/>
            <w:shd w:val="clear" w:color="auto" w:fill="003763"/>
          </w:tcPr>
          <w:p>
            <w:pPr>
              <w:spacing w:after="0"/>
              <w:rPr>
                <w:sz w:val="23"/>
                <w:szCs w:val="23"/>
                <w:color w:val="auto"/>
              </w:rPr>
            </w:pPr>
          </w:p>
        </w:tc>
        <w:tc>
          <w:tcPr>
            <w:tcW w:w="140" w:type="dxa"/>
            <w:vAlign w:val="bottom"/>
            <w:shd w:val="clear" w:color="auto" w:fill="003763"/>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003763"/>
          </w:tcPr>
          <w:p>
            <w:pPr>
              <w:spacing w:after="0"/>
              <w:rPr>
                <w:sz w:val="12"/>
                <w:szCs w:val="12"/>
                <w:color w:val="auto"/>
              </w:rPr>
            </w:pPr>
          </w:p>
        </w:tc>
        <w:tc>
          <w:tcPr>
            <w:tcW w:w="4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60" w:type="dxa"/>
            <w:vAlign w:val="bottom"/>
            <w:shd w:val="clear" w:color="auto" w:fill="003763"/>
          </w:tcPr>
          <w:p>
            <w:pPr>
              <w:spacing w:after="0"/>
              <w:rPr>
                <w:sz w:val="12"/>
                <w:szCs w:val="12"/>
                <w:color w:val="auto"/>
              </w:rPr>
            </w:pPr>
          </w:p>
        </w:tc>
        <w:tc>
          <w:tcPr>
            <w:tcW w:w="20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540" w:type="dxa"/>
            <w:vAlign w:val="bottom"/>
            <w:shd w:val="clear" w:color="auto" w:fill="003763"/>
          </w:tcPr>
          <w:p>
            <w:pPr>
              <w:jc w:val="center"/>
              <w:ind w:left="128"/>
              <w:spacing w:after="0"/>
              <w:rPr>
                <w:sz w:val="20"/>
                <w:szCs w:val="20"/>
                <w:color w:val="auto"/>
              </w:rPr>
            </w:pPr>
            <w:r>
              <w:rPr>
                <w:rFonts w:ascii="Arial" w:cs="Arial" w:eastAsia="Arial" w:hAnsi="Arial"/>
                <w:sz w:val="13"/>
                <w:szCs w:val="13"/>
                <w:b w:val="1"/>
                <w:bCs w:val="1"/>
                <w:color w:val="FFFFFF"/>
                <w:w w:val="95"/>
              </w:rPr>
              <w:t>Years</w:t>
            </w:r>
          </w:p>
        </w:tc>
        <w:tc>
          <w:tcPr>
            <w:tcW w:w="160" w:type="dxa"/>
            <w:vAlign w:val="bottom"/>
            <w:shd w:val="clear" w:color="auto" w:fill="003763"/>
          </w:tcPr>
          <w:p>
            <w:pPr>
              <w:spacing w:after="0"/>
              <w:rPr>
                <w:sz w:val="12"/>
                <w:szCs w:val="12"/>
                <w:color w:val="auto"/>
              </w:rPr>
            </w:pPr>
          </w:p>
        </w:tc>
        <w:tc>
          <w:tcPr>
            <w:tcW w:w="1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Present Value of</w:t>
            </w:r>
          </w:p>
        </w:tc>
        <w:tc>
          <w:tcPr>
            <w:tcW w:w="1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780" w:type="dxa"/>
            <w:vAlign w:val="bottom"/>
            <w:shd w:val="clear" w:color="auto" w:fill="003763"/>
          </w:tcPr>
          <w:p>
            <w:pPr>
              <w:spacing w:after="0"/>
              <w:rPr>
                <w:sz w:val="12"/>
                <w:szCs w:val="12"/>
                <w:color w:val="auto"/>
              </w:rPr>
            </w:pPr>
          </w:p>
        </w:tc>
        <w:tc>
          <w:tcPr>
            <w:tcW w:w="14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003763"/>
          </w:tcPr>
          <w:p>
            <w:pPr>
              <w:spacing w:after="0"/>
              <w:rPr>
                <w:sz w:val="14"/>
                <w:szCs w:val="14"/>
                <w:color w:val="auto"/>
              </w:rPr>
            </w:pPr>
          </w:p>
        </w:tc>
        <w:tc>
          <w:tcPr>
            <w:tcW w:w="42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60" w:type="dxa"/>
            <w:vAlign w:val="bottom"/>
            <w:shd w:val="clear" w:color="auto" w:fill="003763"/>
          </w:tcPr>
          <w:p>
            <w:pPr>
              <w:spacing w:after="0"/>
              <w:rPr>
                <w:sz w:val="14"/>
                <w:szCs w:val="14"/>
                <w:color w:val="auto"/>
              </w:rPr>
            </w:pPr>
          </w:p>
        </w:tc>
        <w:tc>
          <w:tcPr>
            <w:tcW w:w="2060" w:type="dxa"/>
            <w:vAlign w:val="bottom"/>
            <w:shd w:val="clear" w:color="auto" w:fill="003763"/>
          </w:tcPr>
          <w:p>
            <w:pPr>
              <w:spacing w:after="0"/>
              <w:rPr>
                <w:sz w:val="14"/>
                <w:szCs w:val="14"/>
                <w:color w:val="auto"/>
              </w:rPr>
            </w:pPr>
          </w:p>
        </w:tc>
        <w:tc>
          <w:tcPr>
            <w:tcW w:w="26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70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Credited</w:t>
            </w:r>
          </w:p>
        </w:tc>
        <w:tc>
          <w:tcPr>
            <w:tcW w:w="1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10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Accumulated</w:t>
            </w:r>
          </w:p>
        </w:tc>
        <w:tc>
          <w:tcPr>
            <w:tcW w:w="12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7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Payments</w:t>
            </w:r>
          </w:p>
        </w:tc>
        <w:tc>
          <w:tcPr>
            <w:tcW w:w="14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003763"/>
          </w:tcPr>
          <w:p>
            <w:pPr>
              <w:spacing w:after="0"/>
              <w:rPr>
                <w:sz w:val="12"/>
                <w:szCs w:val="12"/>
                <w:color w:val="auto"/>
              </w:rPr>
            </w:pPr>
          </w:p>
        </w:tc>
        <w:tc>
          <w:tcPr>
            <w:tcW w:w="42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60" w:type="dxa"/>
            <w:vAlign w:val="bottom"/>
            <w:shd w:val="clear" w:color="auto" w:fill="003763"/>
          </w:tcPr>
          <w:p>
            <w:pPr>
              <w:spacing w:after="0"/>
              <w:rPr>
                <w:sz w:val="12"/>
                <w:szCs w:val="12"/>
                <w:color w:val="auto"/>
              </w:rPr>
            </w:pPr>
          </w:p>
        </w:tc>
        <w:tc>
          <w:tcPr>
            <w:tcW w:w="2060" w:type="dxa"/>
            <w:vAlign w:val="bottom"/>
            <w:shd w:val="clear" w:color="auto" w:fill="003763"/>
          </w:tcPr>
          <w:p>
            <w:pPr>
              <w:spacing w:after="0"/>
              <w:rPr>
                <w:sz w:val="12"/>
                <w:szCs w:val="12"/>
                <w:color w:val="auto"/>
              </w:rPr>
            </w:pPr>
          </w:p>
        </w:tc>
        <w:tc>
          <w:tcPr>
            <w:tcW w:w="26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70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Service</w:t>
            </w:r>
          </w:p>
        </w:tc>
        <w:tc>
          <w:tcPr>
            <w:tcW w:w="1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320" w:type="dxa"/>
            <w:vAlign w:val="bottom"/>
            <w:shd w:val="clear" w:color="auto" w:fill="003763"/>
          </w:tcPr>
          <w:p>
            <w:pPr>
              <w:spacing w:after="0"/>
              <w:rPr>
                <w:sz w:val="12"/>
                <w:szCs w:val="12"/>
                <w:color w:val="auto"/>
              </w:rPr>
            </w:pPr>
          </w:p>
        </w:tc>
        <w:tc>
          <w:tcPr>
            <w:tcW w:w="720" w:type="dxa"/>
            <w:vAlign w:val="bottom"/>
            <w:shd w:val="clear" w:color="auto" w:fill="003763"/>
          </w:tcPr>
          <w:p>
            <w:pPr>
              <w:jc w:val="center"/>
              <w:ind w:right="229"/>
              <w:spacing w:after="0"/>
              <w:rPr>
                <w:sz w:val="20"/>
                <w:szCs w:val="20"/>
                <w:color w:val="auto"/>
              </w:rPr>
            </w:pPr>
            <w:r>
              <w:rPr>
                <w:rFonts w:ascii="Arial" w:cs="Arial" w:eastAsia="Arial" w:hAnsi="Arial"/>
                <w:sz w:val="13"/>
                <w:szCs w:val="13"/>
                <w:b w:val="1"/>
                <w:bCs w:val="1"/>
                <w:color w:val="FFFFFF"/>
                <w:w w:val="95"/>
              </w:rPr>
              <w:t>Benefit</w:t>
            </w:r>
          </w:p>
        </w:tc>
        <w:tc>
          <w:tcPr>
            <w:tcW w:w="120" w:type="dxa"/>
            <w:vAlign w:val="bottom"/>
            <w:shd w:val="clear" w:color="auto" w:fill="003763"/>
          </w:tcPr>
          <w:p>
            <w:pPr>
              <w:spacing w:after="0"/>
              <w:rPr>
                <w:sz w:val="12"/>
                <w:szCs w:val="12"/>
                <w:color w:val="auto"/>
              </w:rPr>
            </w:pPr>
          </w:p>
        </w:tc>
        <w:tc>
          <w:tcPr>
            <w:tcW w:w="240" w:type="dxa"/>
            <w:vAlign w:val="bottom"/>
            <w:shd w:val="clear" w:color="auto" w:fill="003763"/>
          </w:tcPr>
          <w:p>
            <w:pPr>
              <w:spacing w:after="0"/>
              <w:rPr>
                <w:sz w:val="12"/>
                <w:szCs w:val="12"/>
                <w:color w:val="auto"/>
              </w:rPr>
            </w:pPr>
          </w:p>
        </w:tc>
        <w:tc>
          <w:tcPr>
            <w:tcW w:w="220" w:type="dxa"/>
            <w:vAlign w:val="bottom"/>
            <w:shd w:val="clear" w:color="auto" w:fill="003763"/>
          </w:tcPr>
          <w:p>
            <w:pPr>
              <w:spacing w:after="0"/>
              <w:rPr>
                <w:sz w:val="12"/>
                <w:szCs w:val="12"/>
                <w:color w:val="auto"/>
              </w:rPr>
            </w:pPr>
          </w:p>
        </w:tc>
        <w:tc>
          <w:tcPr>
            <w:tcW w:w="7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during 2024</w:t>
            </w:r>
          </w:p>
        </w:tc>
        <w:tc>
          <w:tcPr>
            <w:tcW w:w="14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120" w:type="dxa"/>
            <w:vAlign w:val="bottom"/>
            <w:tcBorders>
              <w:bottom w:val="single" w:sz="8" w:color="auto"/>
            </w:tcBorders>
            <w:shd w:val="clear" w:color="auto" w:fill="003763"/>
          </w:tcPr>
          <w:p>
            <w:pPr>
              <w:ind w:left="4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Name</w:t>
            </w:r>
          </w:p>
        </w:tc>
        <w:tc>
          <w:tcPr>
            <w:tcW w:w="420" w:type="dxa"/>
            <w:vAlign w:val="bottom"/>
            <w:tcBorders>
              <w:bottom w:val="single" w:sz="8" w:color="auto"/>
            </w:tcBorders>
            <w:shd w:val="clear" w:color="auto" w:fill="003763"/>
          </w:tcPr>
          <w:p>
            <w:pPr>
              <w:ind w:left="260"/>
              <w:spacing w:after="0"/>
              <w:rPr>
                <w:sz w:val="20"/>
                <w:szCs w:val="20"/>
                <w:color w:val="auto"/>
              </w:rPr>
            </w:pPr>
            <w:r>
              <w:rPr>
                <w:rFonts w:ascii="Arial" w:cs="Arial" w:eastAsia="Arial" w:hAnsi="Arial"/>
                <w:sz w:val="13"/>
                <w:szCs w:val="13"/>
                <w:b w:val="1"/>
                <w:bCs w:val="1"/>
                <w:color w:val="FFFFFF"/>
              </w:rPr>
              <w:t>​</w:t>
            </w:r>
          </w:p>
        </w:tc>
        <w:tc>
          <w:tcPr>
            <w:tcW w:w="260" w:type="dxa"/>
            <w:vAlign w:val="bottom"/>
            <w:tcBorders>
              <w:bottom w:val="single" w:sz="8" w:color="auto"/>
            </w:tcBorders>
            <w:shd w:val="clear" w:color="auto" w:fill="003763"/>
          </w:tcPr>
          <w:p>
            <w:pPr>
              <w:ind w:left="160"/>
              <w:spacing w:after="0"/>
              <w:rPr>
                <w:sz w:val="20"/>
                <w:szCs w:val="20"/>
                <w:color w:val="auto"/>
              </w:rPr>
            </w:pPr>
            <w:r>
              <w:rPr>
                <w:rFonts w:ascii="Arial" w:cs="Arial" w:eastAsia="Arial" w:hAnsi="Arial"/>
                <w:sz w:val="13"/>
                <w:szCs w:val="13"/>
                <w:b w:val="1"/>
                <w:bCs w:val="1"/>
                <w:color w:val="FFFFFF"/>
              </w:rPr>
              <w:t>​</w:t>
            </w:r>
          </w:p>
        </w:tc>
        <w:tc>
          <w:tcPr>
            <w:tcW w:w="60" w:type="dxa"/>
            <w:vAlign w:val="bottom"/>
            <w:tcBorders>
              <w:bottom w:val="single" w:sz="8" w:color="auto"/>
            </w:tcBorders>
            <w:shd w:val="clear" w:color="auto" w:fill="003763"/>
          </w:tcPr>
          <w:p>
            <w:pPr>
              <w:spacing w:after="0"/>
              <w:rPr>
                <w:sz w:val="19"/>
                <w:szCs w:val="19"/>
                <w:color w:val="auto"/>
              </w:rPr>
            </w:pPr>
          </w:p>
        </w:tc>
        <w:tc>
          <w:tcPr>
            <w:tcW w:w="2060" w:type="dxa"/>
            <w:vAlign w:val="bottom"/>
            <w:tcBorders>
              <w:bottom w:val="single" w:sz="8" w:color="auto"/>
            </w:tcBorders>
            <w:shd w:val="clear" w:color="auto" w:fill="003763"/>
          </w:tcPr>
          <w:p>
            <w:pPr>
              <w:ind w:left="680"/>
              <w:spacing w:after="0"/>
              <w:rPr>
                <w:sz w:val="20"/>
                <w:szCs w:val="20"/>
                <w:color w:val="auto"/>
              </w:rPr>
            </w:pPr>
            <w:r>
              <w:rPr>
                <w:rFonts w:ascii="Arial" w:cs="Arial" w:eastAsia="Arial" w:hAnsi="Arial"/>
                <w:sz w:val="13"/>
                <w:szCs w:val="13"/>
                <w:b w:val="1"/>
                <w:bCs w:val="1"/>
                <w:color w:val="FFFFFF"/>
              </w:rPr>
              <w:t>Plan Name</w:t>
            </w:r>
          </w:p>
        </w:tc>
        <w:tc>
          <w:tcPr>
            <w:tcW w:w="260" w:type="dxa"/>
            <w:vAlign w:val="bottom"/>
            <w:tcBorders>
              <w:bottom w:val="single" w:sz="8" w:color="auto"/>
            </w:tcBorders>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240" w:type="dxa"/>
            <w:vAlign w:val="bottom"/>
            <w:tcBorders>
              <w:bottom w:val="single" w:sz="8" w:color="auto"/>
            </w:tcBorders>
            <w:shd w:val="clear" w:color="auto" w:fill="003763"/>
          </w:tcPr>
          <w:p>
            <w:pPr>
              <w:ind w:left="140"/>
              <w:spacing w:after="0"/>
              <w:rPr>
                <w:sz w:val="20"/>
                <w:szCs w:val="20"/>
                <w:color w:val="auto"/>
              </w:rPr>
            </w:pPr>
            <w:r>
              <w:rPr>
                <w:rFonts w:ascii="Arial" w:cs="Arial" w:eastAsia="Arial" w:hAnsi="Arial"/>
                <w:sz w:val="13"/>
                <w:szCs w:val="13"/>
                <w:b w:val="1"/>
                <w:bCs w:val="1"/>
                <w:color w:val="FFFFFF"/>
              </w:rPr>
              <w:t>​</w:t>
            </w:r>
          </w:p>
        </w:tc>
        <w:tc>
          <w:tcPr>
            <w:tcW w:w="540" w:type="dxa"/>
            <w:vAlign w:val="bottom"/>
            <w:tcBorders>
              <w:bottom w:val="single" w:sz="8" w:color="auto"/>
            </w:tcBorders>
            <w:shd w:val="clear" w:color="auto" w:fill="003763"/>
          </w:tcPr>
          <w:p>
            <w:pPr>
              <w:jc w:val="center"/>
              <w:ind w:left="168"/>
              <w:spacing w:after="0"/>
              <w:rPr>
                <w:sz w:val="20"/>
                <w:szCs w:val="20"/>
                <w:color w:val="auto"/>
              </w:rPr>
            </w:pPr>
            <w:r>
              <w:rPr>
                <w:rFonts w:ascii="Arial" w:cs="Arial" w:eastAsia="Arial" w:hAnsi="Arial"/>
                <w:sz w:val="13"/>
                <w:szCs w:val="13"/>
                <w:b w:val="1"/>
                <w:bCs w:val="1"/>
                <w:color w:val="FFFFFF"/>
                <w:w w:val="87"/>
              </w:rPr>
              <w:t>(#)</w:t>
            </w:r>
          </w:p>
        </w:tc>
        <w:tc>
          <w:tcPr>
            <w:tcW w:w="160" w:type="dxa"/>
            <w:vAlign w:val="bottom"/>
            <w:tcBorders>
              <w:bottom w:val="single" w:sz="8" w:color="auto"/>
            </w:tcBorders>
            <w:shd w:val="clear" w:color="auto" w:fill="003763"/>
          </w:tcPr>
          <w:p>
            <w:pPr>
              <w:spacing w:after="0"/>
              <w:rPr>
                <w:sz w:val="19"/>
                <w:szCs w:val="19"/>
                <w:color w:val="auto"/>
              </w:rPr>
            </w:pPr>
          </w:p>
        </w:tc>
        <w:tc>
          <w:tcPr>
            <w:tcW w:w="120" w:type="dxa"/>
            <w:vAlign w:val="bottom"/>
            <w:tcBorders>
              <w:bottom w:val="single" w:sz="8" w:color="auto"/>
            </w:tcBorders>
            <w:shd w:val="clear" w:color="auto" w:fill="003763"/>
          </w:tcPr>
          <w:p>
            <w:pPr>
              <w:spacing w:after="0"/>
              <w:rPr>
                <w:sz w:val="19"/>
                <w:szCs w:val="19"/>
                <w:color w:val="auto"/>
              </w:rPr>
            </w:pPr>
          </w:p>
        </w:tc>
        <w:tc>
          <w:tcPr>
            <w:tcW w:w="240" w:type="dxa"/>
            <w:vAlign w:val="bottom"/>
            <w:tcBorders>
              <w:bottom w:val="single" w:sz="8" w:color="auto"/>
            </w:tcBorders>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240" w:type="dxa"/>
            <w:vAlign w:val="bottom"/>
            <w:tcBorders>
              <w:bottom w:val="single" w:sz="8" w:color="auto"/>
            </w:tcBorders>
            <w:shd w:val="clear" w:color="auto" w:fill="003763"/>
          </w:tcPr>
          <w:p>
            <w:pPr>
              <w:ind w:left="140"/>
              <w:spacing w:after="0"/>
              <w:rPr>
                <w:sz w:val="20"/>
                <w:szCs w:val="20"/>
                <w:color w:val="auto"/>
              </w:rPr>
            </w:pPr>
            <w:r>
              <w:rPr>
                <w:rFonts w:ascii="Arial" w:cs="Arial" w:eastAsia="Arial" w:hAnsi="Arial"/>
                <w:sz w:val="13"/>
                <w:szCs w:val="13"/>
                <w:b w:val="1"/>
                <w:bCs w:val="1"/>
                <w:color w:val="FFFFFF"/>
              </w:rPr>
              <w:t>​</w:t>
            </w:r>
          </w:p>
        </w:tc>
        <w:tc>
          <w:tcPr>
            <w:tcW w:w="320" w:type="dxa"/>
            <w:vAlign w:val="bottom"/>
            <w:tcBorders>
              <w:bottom w:val="single" w:sz="8" w:color="auto"/>
            </w:tcBorders>
            <w:shd w:val="clear" w:color="auto" w:fill="003763"/>
          </w:tcPr>
          <w:p>
            <w:pPr>
              <w:spacing w:after="0"/>
              <w:rPr>
                <w:sz w:val="19"/>
                <w:szCs w:val="19"/>
                <w:color w:val="auto"/>
              </w:rPr>
            </w:pPr>
          </w:p>
        </w:tc>
        <w:tc>
          <w:tcPr>
            <w:tcW w:w="720" w:type="dxa"/>
            <w:vAlign w:val="bottom"/>
            <w:tcBorders>
              <w:bottom w:val="single" w:sz="8" w:color="auto"/>
            </w:tcBorders>
            <w:shd w:val="clear" w:color="auto" w:fill="003763"/>
          </w:tcPr>
          <w:p>
            <w:pPr>
              <w:jc w:val="center"/>
              <w:ind w:right="189"/>
              <w:spacing w:after="0"/>
              <w:rPr>
                <w:sz w:val="20"/>
                <w:szCs w:val="20"/>
                <w:color w:val="auto"/>
              </w:rPr>
            </w:pPr>
            <w:r>
              <w:rPr>
                <w:rFonts w:ascii="Arial" w:cs="Arial" w:eastAsia="Arial" w:hAnsi="Arial"/>
                <w:sz w:val="13"/>
                <w:szCs w:val="13"/>
                <w:b w:val="1"/>
                <w:bCs w:val="1"/>
                <w:color w:val="FFFFFF"/>
                <w:w w:val="87"/>
              </w:rPr>
              <w:t>($)</w:t>
            </w:r>
          </w:p>
        </w:tc>
        <w:tc>
          <w:tcPr>
            <w:tcW w:w="120" w:type="dxa"/>
            <w:vAlign w:val="bottom"/>
            <w:tcBorders>
              <w:bottom w:val="single" w:sz="8" w:color="auto"/>
            </w:tcBorders>
            <w:shd w:val="clear" w:color="auto" w:fill="003763"/>
          </w:tcPr>
          <w:p>
            <w:pPr>
              <w:spacing w:after="0"/>
              <w:rPr>
                <w:sz w:val="19"/>
                <w:szCs w:val="19"/>
                <w:color w:val="auto"/>
              </w:rPr>
            </w:pPr>
          </w:p>
        </w:tc>
        <w:tc>
          <w:tcPr>
            <w:tcW w:w="240" w:type="dxa"/>
            <w:vAlign w:val="bottom"/>
            <w:tcBorders>
              <w:bottom w:val="single" w:sz="8" w:color="auto"/>
            </w:tcBorders>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bottom w:val="single" w:sz="8" w:color="auto"/>
            </w:tcBorders>
            <w:shd w:val="clear" w:color="auto" w:fill="003763"/>
          </w:tcPr>
          <w:p>
            <w:pPr>
              <w:ind w:left="120"/>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auto"/>
            </w:tcBorders>
            <w:shd w:val="clear" w:color="auto" w:fill="003763"/>
          </w:tcPr>
          <w:p>
            <w:pPr>
              <w:jc w:val="right"/>
              <w:ind w:right="207"/>
              <w:spacing w:after="0"/>
              <w:rPr>
                <w:sz w:val="20"/>
                <w:szCs w:val="20"/>
                <w:color w:val="auto"/>
              </w:rPr>
            </w:pPr>
            <w:r>
              <w:rPr>
                <w:rFonts w:ascii="Arial" w:cs="Arial" w:eastAsia="Arial" w:hAnsi="Arial"/>
                <w:sz w:val="13"/>
                <w:szCs w:val="13"/>
                <w:b w:val="1"/>
                <w:bCs w:val="1"/>
                <w:color w:val="FFFFFF"/>
              </w:rPr>
              <w:t>($)</w:t>
            </w:r>
          </w:p>
        </w:tc>
        <w:tc>
          <w:tcPr>
            <w:tcW w:w="14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4"/>
        </w:trPr>
        <w:tc>
          <w:tcPr>
            <w:tcW w:w="2120" w:type="dxa"/>
            <w:vAlign w:val="bottom"/>
            <w:tcBorders>
              <w:bottom w:val="single" w:sz="8" w:color="CCCCCC"/>
            </w:tcBorders>
          </w:tcPr>
          <w:p>
            <w:pPr>
              <w:ind w:left="40"/>
              <w:spacing w:after="0"/>
              <w:rPr>
                <w:sz w:val="20"/>
                <w:szCs w:val="20"/>
                <w:color w:val="auto"/>
              </w:rPr>
            </w:pPr>
            <w:r>
              <w:rPr>
                <w:rFonts w:ascii="Arial" w:cs="Arial" w:eastAsia="Arial" w:hAnsi="Arial"/>
                <w:sz w:val="15"/>
                <w:szCs w:val="15"/>
                <w:b w:val="1"/>
                <w:bCs w:val="1"/>
                <w:i w:val="1"/>
                <w:iCs w:val="1"/>
                <w:color w:val="auto"/>
              </w:rPr>
              <w:t>​Cash Balance Formula</w:t>
            </w:r>
            <w:r>
              <w:rPr>
                <w:rFonts w:ascii="Arial" w:cs="Arial" w:eastAsia="Arial" w:hAnsi="Arial"/>
                <w:sz w:val="19"/>
                <w:szCs w:val="19"/>
                <w:b w:val="1"/>
                <w:bCs w:val="1"/>
                <w:i w:val="1"/>
                <w:iCs w:val="1"/>
                <w:color w:val="auto"/>
                <w:vertAlign w:val="superscript"/>
              </w:rPr>
              <w:t>(1)</w:t>
            </w:r>
          </w:p>
        </w:tc>
        <w:tc>
          <w:tcPr>
            <w:tcW w:w="420" w:type="dxa"/>
            <w:vAlign w:val="bottom"/>
            <w:tcBorders>
              <w:bottom w:val="single" w:sz="8" w:color="CCCCCC"/>
            </w:tcBorders>
          </w:tcPr>
          <w:p>
            <w:pPr>
              <w:ind w:left="260"/>
              <w:spacing w:after="0"/>
              <w:rPr>
                <w:sz w:val="20"/>
                <w:szCs w:val="20"/>
                <w:color w:val="auto"/>
              </w:rPr>
            </w:pPr>
            <w:r>
              <w:rPr>
                <w:rFonts w:ascii="Arial" w:cs="Arial" w:eastAsia="Arial" w:hAnsi="Arial"/>
                <w:sz w:val="15"/>
                <w:szCs w:val="15"/>
                <w:b w:val="1"/>
                <w:bCs w:val="1"/>
                <w:i w:val="1"/>
                <w:iCs w:val="1"/>
                <w:color w:val="auto"/>
              </w:rPr>
              <w:t>​</w:t>
            </w:r>
          </w:p>
        </w:tc>
        <w:tc>
          <w:tcPr>
            <w:tcW w:w="260" w:type="dxa"/>
            <w:vAlign w:val="bottom"/>
            <w:tcBorders>
              <w:bottom w:val="single" w:sz="8" w:color="CCCCCC"/>
            </w:tcBorders>
          </w:tcPr>
          <w:p>
            <w:pPr>
              <w:ind w:left="160"/>
              <w:spacing w:after="0"/>
              <w:rPr>
                <w:sz w:val="20"/>
                <w:szCs w:val="20"/>
                <w:color w:val="auto"/>
              </w:rPr>
            </w:pPr>
            <w:r>
              <w:rPr>
                <w:rFonts w:ascii="Arial" w:cs="Arial" w:eastAsia="Arial" w:hAnsi="Arial"/>
                <w:sz w:val="15"/>
                <w:szCs w:val="15"/>
                <w:b w:val="1"/>
                <w:bCs w:val="1"/>
                <w:i w:val="1"/>
                <w:iCs w:val="1"/>
                <w:color w:val="auto"/>
              </w:rPr>
              <w:t>​</w:t>
            </w:r>
          </w:p>
        </w:tc>
        <w:tc>
          <w:tcPr>
            <w:tcW w:w="2120" w:type="dxa"/>
            <w:vAlign w:val="bottom"/>
            <w:tcBorders>
              <w:bottom w:val="single" w:sz="8" w:color="CCCCCC"/>
            </w:tcBorders>
            <w:gridSpan w:val="2"/>
          </w:tcPr>
          <w:p>
            <w:pPr>
              <w:ind w:left="60"/>
              <w:spacing w:after="0"/>
              <w:rPr>
                <w:sz w:val="20"/>
                <w:szCs w:val="20"/>
                <w:color w:val="auto"/>
              </w:rPr>
            </w:pPr>
            <w:r>
              <w:rPr>
                <w:rFonts w:ascii="Arial" w:cs="Arial" w:eastAsia="Arial" w:hAnsi="Arial"/>
                <w:sz w:val="15"/>
                <w:szCs w:val="15"/>
                <w:b w:val="1"/>
                <w:bCs w:val="1"/>
                <w:i w:val="1"/>
                <w:iCs w:val="1"/>
                <w:color w:val="auto"/>
              </w:rPr>
              <w:t>​</w:t>
            </w:r>
          </w:p>
        </w:tc>
        <w:tc>
          <w:tcPr>
            <w:tcW w:w="260" w:type="dxa"/>
            <w:vAlign w:val="bottom"/>
            <w:tcBorders>
              <w:bottom w:val="single" w:sz="8" w:color="CCCCCC"/>
            </w:tcBorders>
          </w:tcPr>
          <w:p>
            <w:pPr>
              <w:ind w:left="80"/>
              <w:spacing w:after="0"/>
              <w:rPr>
                <w:sz w:val="20"/>
                <w:szCs w:val="20"/>
                <w:color w:val="auto"/>
              </w:rPr>
            </w:pPr>
            <w:r>
              <w:rPr>
                <w:rFonts w:ascii="Arial" w:cs="Arial" w:eastAsia="Arial" w:hAnsi="Arial"/>
                <w:sz w:val="15"/>
                <w:szCs w:val="15"/>
                <w:b w:val="1"/>
                <w:bCs w:val="1"/>
                <w:i w:val="1"/>
                <w:iCs w:val="1"/>
                <w:color w:val="auto"/>
              </w:rPr>
              <w:t>​</w:t>
            </w:r>
          </w:p>
        </w:tc>
        <w:tc>
          <w:tcPr>
            <w:tcW w:w="240" w:type="dxa"/>
            <w:vAlign w:val="bottom"/>
            <w:tcBorders>
              <w:bottom w:val="single" w:sz="8" w:color="CCCCCC"/>
            </w:tcBorders>
          </w:tcPr>
          <w:p>
            <w:pPr>
              <w:ind w:left="140"/>
              <w:spacing w:after="0"/>
              <w:rPr>
                <w:sz w:val="20"/>
                <w:szCs w:val="20"/>
                <w:color w:val="auto"/>
              </w:rPr>
            </w:pPr>
            <w:r>
              <w:rPr>
                <w:rFonts w:ascii="Arial" w:cs="Arial" w:eastAsia="Arial" w:hAnsi="Arial"/>
                <w:sz w:val="15"/>
                <w:szCs w:val="15"/>
                <w:b w:val="1"/>
                <w:bCs w:val="1"/>
                <w:i w:val="1"/>
                <w:iCs w:val="1"/>
                <w:color w:val="auto"/>
              </w:rPr>
              <w:t>​</w:t>
            </w:r>
          </w:p>
        </w:tc>
        <w:tc>
          <w:tcPr>
            <w:tcW w:w="540" w:type="dxa"/>
            <w:vAlign w:val="bottom"/>
            <w:tcBorders>
              <w:bottom w:val="single" w:sz="8" w:color="CCCCCC"/>
            </w:tcBorders>
          </w:tcPr>
          <w:p>
            <w:pPr>
              <w:ind w:left="220"/>
              <w:spacing w:after="0"/>
              <w:rPr>
                <w:sz w:val="20"/>
                <w:szCs w:val="20"/>
                <w:color w:val="auto"/>
              </w:rPr>
            </w:pPr>
            <w:r>
              <w:rPr>
                <w:rFonts w:ascii="Arial" w:cs="Arial" w:eastAsia="Arial" w:hAnsi="Arial"/>
                <w:sz w:val="15"/>
                <w:szCs w:val="15"/>
                <w:b w:val="1"/>
                <w:bCs w:val="1"/>
                <w:i w:val="1"/>
                <w:iCs w:val="1"/>
                <w:color w:val="auto"/>
              </w:rPr>
              <w:t>​</w:t>
            </w:r>
          </w:p>
        </w:tc>
        <w:tc>
          <w:tcPr>
            <w:tcW w:w="160" w:type="dxa"/>
            <w:vAlign w:val="bottom"/>
            <w:tcBorders>
              <w:bottom w:val="single" w:sz="8" w:color="CCCCCC"/>
            </w:tcBorders>
          </w:tcPr>
          <w:p>
            <w:pPr>
              <w:spacing w:after="0"/>
              <w:rPr>
                <w:sz w:val="20"/>
                <w:szCs w:val="20"/>
                <w:color w:val="auto"/>
              </w:rPr>
            </w:pPr>
            <w:r>
              <w:rPr>
                <w:rFonts w:ascii="Arial" w:cs="Arial" w:eastAsia="Arial" w:hAnsi="Arial"/>
                <w:sz w:val="15"/>
                <w:szCs w:val="15"/>
                <w:b w:val="1"/>
                <w:bCs w:val="1"/>
                <w:i w:val="1"/>
                <w:iCs w:val="1"/>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5"/>
                <w:szCs w:val="15"/>
                <w:b w:val="1"/>
                <w:bCs w:val="1"/>
                <w:i w:val="1"/>
                <w:iCs w:val="1"/>
                <w:color w:val="auto"/>
              </w:rPr>
              <w:t>​</w:t>
            </w:r>
          </w:p>
        </w:tc>
        <w:tc>
          <w:tcPr>
            <w:tcW w:w="240" w:type="dxa"/>
            <w:vAlign w:val="bottom"/>
            <w:tcBorders>
              <w:bottom w:val="single" w:sz="8" w:color="CCCCCC"/>
            </w:tcBorders>
          </w:tcPr>
          <w:p>
            <w:pPr>
              <w:ind w:left="60"/>
              <w:spacing w:after="0"/>
              <w:rPr>
                <w:sz w:val="20"/>
                <w:szCs w:val="20"/>
                <w:color w:val="auto"/>
              </w:rPr>
            </w:pPr>
            <w:r>
              <w:rPr>
                <w:rFonts w:ascii="Arial" w:cs="Arial" w:eastAsia="Arial" w:hAnsi="Arial"/>
                <w:sz w:val="15"/>
                <w:szCs w:val="15"/>
                <w:b w:val="1"/>
                <w:bCs w:val="1"/>
                <w:i w:val="1"/>
                <w:iCs w:val="1"/>
                <w:color w:val="auto"/>
              </w:rPr>
              <w:t>​</w:t>
            </w:r>
          </w:p>
        </w:tc>
        <w:tc>
          <w:tcPr>
            <w:tcW w:w="240" w:type="dxa"/>
            <w:vAlign w:val="bottom"/>
            <w:tcBorders>
              <w:bottom w:val="single" w:sz="8" w:color="CCCCCC"/>
            </w:tcBorders>
          </w:tcPr>
          <w:p>
            <w:pPr>
              <w:ind w:left="140"/>
              <w:spacing w:after="0"/>
              <w:rPr>
                <w:sz w:val="20"/>
                <w:szCs w:val="20"/>
                <w:color w:val="auto"/>
              </w:rPr>
            </w:pPr>
            <w:r>
              <w:rPr>
                <w:rFonts w:ascii="Arial" w:cs="Arial" w:eastAsia="Arial" w:hAnsi="Arial"/>
                <w:sz w:val="15"/>
                <w:szCs w:val="15"/>
                <w:b w:val="1"/>
                <w:bCs w:val="1"/>
                <w:i w:val="1"/>
                <w:iCs w:val="1"/>
                <w:color w:val="auto"/>
              </w:rPr>
              <w:t>​</w:t>
            </w:r>
          </w:p>
        </w:tc>
        <w:tc>
          <w:tcPr>
            <w:tcW w:w="320" w:type="dxa"/>
            <w:vAlign w:val="bottom"/>
            <w:tcBorders>
              <w:bottom w:val="single" w:sz="8" w:color="CCCCCC"/>
            </w:tcBorders>
          </w:tcPr>
          <w:p>
            <w:pPr>
              <w:ind w:left="260"/>
              <w:spacing w:after="0"/>
              <w:rPr>
                <w:sz w:val="20"/>
                <w:szCs w:val="20"/>
                <w:color w:val="auto"/>
              </w:rPr>
            </w:pPr>
            <w:r>
              <w:rPr>
                <w:rFonts w:ascii="Arial" w:cs="Arial" w:eastAsia="Arial" w:hAnsi="Arial"/>
                <w:sz w:val="15"/>
                <w:szCs w:val="15"/>
                <w:b w:val="1"/>
                <w:bCs w:val="1"/>
                <w:i w:val="1"/>
                <w:iCs w:val="1"/>
                <w:color w:val="auto"/>
              </w:rPr>
              <w:t>​</w:t>
            </w:r>
          </w:p>
        </w:tc>
        <w:tc>
          <w:tcPr>
            <w:tcW w:w="720" w:type="dxa"/>
            <w:vAlign w:val="bottom"/>
            <w:tcBorders>
              <w:bottom w:val="single" w:sz="8" w:color="CCCCCC"/>
            </w:tcBorders>
          </w:tcPr>
          <w:p>
            <w:pPr>
              <w:jc w:val="right"/>
              <w:ind w:right="89"/>
              <w:spacing w:after="0"/>
              <w:rPr>
                <w:sz w:val="20"/>
                <w:szCs w:val="20"/>
                <w:color w:val="auto"/>
              </w:rPr>
            </w:pPr>
            <w:r>
              <w:rPr>
                <w:rFonts w:ascii="Arial" w:cs="Arial" w:eastAsia="Arial" w:hAnsi="Arial"/>
                <w:sz w:val="15"/>
                <w:szCs w:val="15"/>
                <w:b w:val="1"/>
                <w:bCs w:val="1"/>
                <w:i w:val="1"/>
                <w:iCs w:val="1"/>
                <w:color w:val="auto"/>
              </w:rPr>
              <w:t>​</w:t>
            </w:r>
          </w:p>
        </w:tc>
        <w:tc>
          <w:tcPr>
            <w:tcW w:w="120" w:type="dxa"/>
            <w:vAlign w:val="bottom"/>
            <w:tcBorders>
              <w:bottom w:val="single" w:sz="8" w:color="CCCCCC"/>
            </w:tcBorders>
          </w:tcPr>
          <w:p>
            <w:pPr>
              <w:ind w:left="20"/>
              <w:spacing w:after="0"/>
              <w:rPr>
                <w:sz w:val="20"/>
                <w:szCs w:val="20"/>
                <w:color w:val="auto"/>
              </w:rPr>
            </w:pPr>
            <w:r>
              <w:rPr>
                <w:rFonts w:ascii="Arial" w:cs="Arial" w:eastAsia="Arial" w:hAnsi="Arial"/>
                <w:sz w:val="15"/>
                <w:szCs w:val="15"/>
                <w:b w:val="1"/>
                <w:bCs w:val="1"/>
                <w:i w:val="1"/>
                <w:iCs w:val="1"/>
                <w:color w:val="auto"/>
              </w:rPr>
              <w:t>​</w:t>
            </w:r>
          </w:p>
        </w:tc>
        <w:tc>
          <w:tcPr>
            <w:tcW w:w="240" w:type="dxa"/>
            <w:vAlign w:val="bottom"/>
            <w:tcBorders>
              <w:bottom w:val="single" w:sz="8" w:color="CCCCCC"/>
            </w:tcBorders>
          </w:tcPr>
          <w:p>
            <w:pPr>
              <w:ind w:left="60"/>
              <w:spacing w:after="0"/>
              <w:rPr>
                <w:sz w:val="20"/>
                <w:szCs w:val="20"/>
                <w:color w:val="auto"/>
              </w:rPr>
            </w:pPr>
            <w:r>
              <w:rPr>
                <w:rFonts w:ascii="Arial" w:cs="Arial" w:eastAsia="Arial" w:hAnsi="Arial"/>
                <w:sz w:val="15"/>
                <w:szCs w:val="15"/>
                <w:b w:val="1"/>
                <w:bCs w:val="1"/>
                <w:i w:val="1"/>
                <w:iCs w:val="1"/>
                <w:color w:val="auto"/>
              </w:rPr>
              <w:t>​</w:t>
            </w:r>
          </w:p>
        </w:tc>
        <w:tc>
          <w:tcPr>
            <w:tcW w:w="220" w:type="dxa"/>
            <w:vAlign w:val="bottom"/>
            <w:tcBorders>
              <w:bottom w:val="single" w:sz="8" w:color="CCCCCC"/>
            </w:tcBorders>
          </w:tcPr>
          <w:p>
            <w:pPr>
              <w:ind w:left="120"/>
              <w:spacing w:after="0"/>
              <w:rPr>
                <w:sz w:val="20"/>
                <w:szCs w:val="20"/>
                <w:color w:val="auto"/>
              </w:rPr>
            </w:pPr>
            <w:r>
              <w:rPr>
                <w:rFonts w:ascii="Arial" w:cs="Arial" w:eastAsia="Arial" w:hAnsi="Arial"/>
                <w:sz w:val="15"/>
                <w:szCs w:val="15"/>
                <w:b w:val="1"/>
                <w:bCs w:val="1"/>
                <w:i w:val="1"/>
                <w:iCs w:val="1"/>
                <w:color w:val="auto"/>
              </w:rPr>
              <w:t>​</w:t>
            </w:r>
          </w:p>
        </w:tc>
        <w:tc>
          <w:tcPr>
            <w:tcW w:w="780" w:type="dxa"/>
            <w:vAlign w:val="bottom"/>
            <w:tcBorders>
              <w:bottom w:val="single" w:sz="8" w:color="CCCCCC"/>
            </w:tcBorders>
          </w:tcPr>
          <w:p>
            <w:pPr>
              <w:jc w:val="right"/>
              <w:ind w:right="167"/>
              <w:spacing w:after="0"/>
              <w:rPr>
                <w:sz w:val="20"/>
                <w:szCs w:val="20"/>
                <w:color w:val="auto"/>
              </w:rPr>
            </w:pPr>
            <w:r>
              <w:rPr>
                <w:rFonts w:ascii="Arial" w:cs="Arial" w:eastAsia="Arial" w:hAnsi="Arial"/>
                <w:sz w:val="15"/>
                <w:szCs w:val="15"/>
                <w:b w:val="1"/>
                <w:bCs w:val="1"/>
                <w:i w:val="1"/>
                <w:iCs w:val="1"/>
                <w:color w:val="auto"/>
              </w:rPr>
              <w:t>​  ​</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5"/>
                <w:szCs w:val="15"/>
                <w:b w:val="1"/>
                <w:bCs w:val="1"/>
                <w:i w:val="1"/>
                <w:iCs w:val="1"/>
                <w:color w:val="auto"/>
              </w:rPr>
              <w:t>​​</w:t>
            </w:r>
          </w:p>
        </w:tc>
        <w:tc>
          <w:tcPr>
            <w:tcW w:w="0" w:type="dxa"/>
            <w:vAlign w:val="bottom"/>
          </w:tcPr>
          <w:p>
            <w:pPr>
              <w:spacing w:after="0"/>
              <w:rPr>
                <w:sz w:val="1"/>
                <w:szCs w:val="1"/>
                <w:color w:val="auto"/>
              </w:rPr>
            </w:pPr>
          </w:p>
        </w:tc>
      </w:tr>
      <w:tr>
        <w:trPr>
          <w:trHeight w:val="201"/>
        </w:trPr>
        <w:tc>
          <w:tcPr>
            <w:tcW w:w="2120" w:type="dxa"/>
            <w:vAlign w:val="bottom"/>
            <w:tcBorders>
              <w:bottom w:val="single" w:sz="8" w:color="F2F2F2"/>
            </w:tcBorders>
            <w:vMerge w:val="restart"/>
            <w:shd w:val="clear" w:color="auto" w:fill="F2F2F2"/>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Karuturi</w:t>
            </w:r>
          </w:p>
        </w:tc>
        <w:tc>
          <w:tcPr>
            <w:tcW w:w="420" w:type="dxa"/>
            <w:vAlign w:val="bottom"/>
            <w:tcBorders>
              <w:bottom w:val="single" w:sz="8" w:color="F2F2F2"/>
            </w:tcBorders>
            <w:vMerge w:val="restart"/>
            <w:shd w:val="clear" w:color="auto" w:fill="F2F2F2"/>
          </w:tcPr>
          <w:p>
            <w:pPr>
              <w:ind w:left="26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CCCC"/>
            </w:tcBorders>
            <w:shd w:val="clear" w:color="auto" w:fill="F2F2F2"/>
          </w:tcPr>
          <w:p>
            <w:pPr>
              <w:spacing w:after="0"/>
              <w:rPr>
                <w:sz w:val="17"/>
                <w:szCs w:val="17"/>
                <w:color w:val="auto"/>
              </w:rPr>
            </w:pPr>
          </w:p>
        </w:tc>
        <w:tc>
          <w:tcPr>
            <w:tcW w:w="20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5"/>
                <w:szCs w:val="15"/>
                <w:color w:val="auto"/>
              </w:rPr>
              <w:t>CNP Retirement Plan</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CCCC"/>
            </w:tcBorders>
            <w:shd w:val="clear" w:color="auto" w:fill="F2F2F2"/>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10.4</w:t>
            </w:r>
          </w:p>
        </w:tc>
        <w:tc>
          <w:tcPr>
            <w:tcW w:w="160" w:type="dxa"/>
            <w:vAlign w:val="bottom"/>
            <w:tcBorders>
              <w:bottom w:val="single" w:sz="8" w:color="CCCCCC"/>
            </w:tcBorders>
            <w:shd w:val="clear" w:color="auto" w:fill="F2F2F2"/>
          </w:tcPr>
          <w:p>
            <w:pPr>
              <w:spacing w:after="0"/>
              <w:rPr>
                <w:sz w:val="17"/>
                <w:szCs w:val="17"/>
                <w:color w:val="auto"/>
              </w:rPr>
            </w:pP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CCCC"/>
            </w:tcBorders>
            <w:gridSpan w:val="2"/>
            <w:shd w:val="clear" w:color="auto" w:fill="F2F2F2"/>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106,892</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CCCC"/>
            </w:tcBorders>
            <w:shd w:val="clear" w:color="auto" w:fill="F2F2F2"/>
          </w:tcPr>
          <w:p>
            <w:pPr>
              <w:ind w:left="1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CCCC"/>
            </w:tcBorders>
            <w:shd w:val="clear" w:color="auto" w:fill="F2F2F2"/>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4"/>
        </w:trPr>
        <w:tc>
          <w:tcPr>
            <w:tcW w:w="2120" w:type="dxa"/>
            <w:vAlign w:val="bottom"/>
            <w:vMerge w:val="continue"/>
            <w:shd w:val="clear" w:color="auto" w:fill="F2F2F2"/>
          </w:tcPr>
          <w:p>
            <w:pPr>
              <w:spacing w:after="0"/>
              <w:rPr>
                <w:sz w:val="15"/>
                <w:szCs w:val="15"/>
                <w:color w:val="auto"/>
              </w:rPr>
            </w:pPr>
          </w:p>
        </w:tc>
        <w:tc>
          <w:tcPr>
            <w:tcW w:w="420" w:type="dxa"/>
            <w:vAlign w:val="bottom"/>
            <w:vMerge w:val="continue"/>
            <w:shd w:val="clear" w:color="auto" w:fill="F2F2F2"/>
          </w:tcPr>
          <w:p>
            <w:pPr>
              <w:spacing w:after="0"/>
              <w:rPr>
                <w:sz w:val="15"/>
                <w:szCs w:val="15"/>
                <w:color w:val="auto"/>
              </w:rPr>
            </w:pPr>
          </w:p>
        </w:tc>
        <w:tc>
          <w:tcPr>
            <w:tcW w:w="320" w:type="dxa"/>
            <w:vAlign w:val="bottom"/>
            <w:gridSpan w:val="2"/>
            <w:vMerge w:val="restart"/>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2060" w:type="dxa"/>
            <w:vAlign w:val="bottom"/>
            <w:vMerge w:val="restart"/>
            <w:shd w:val="clear" w:color="auto" w:fill="F2F2F2"/>
          </w:tcPr>
          <w:p>
            <w:pPr>
              <w:spacing w:after="0"/>
              <w:rPr>
                <w:sz w:val="20"/>
                <w:szCs w:val="20"/>
                <w:color w:val="auto"/>
              </w:rPr>
            </w:pPr>
            <w:r>
              <w:rPr>
                <w:rFonts w:ascii="Arial" w:cs="Arial" w:eastAsia="Arial" w:hAnsi="Arial"/>
                <w:sz w:val="15"/>
                <w:szCs w:val="15"/>
                <w:color w:val="auto"/>
              </w:rPr>
              <w:t>CNP Benefit Restoration Plan</w:t>
            </w:r>
          </w:p>
        </w:tc>
        <w:tc>
          <w:tcPr>
            <w:tcW w:w="260" w:type="dxa"/>
            <w:vAlign w:val="bottom"/>
            <w:vMerge w:val="restart"/>
            <w:shd w:val="clear" w:color="auto" w:fill="F2F2F2"/>
          </w:tcPr>
          <w:p>
            <w:pPr>
              <w:ind w:left="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F2F2F2"/>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10.4</w:t>
            </w:r>
          </w:p>
        </w:tc>
        <w:tc>
          <w:tcPr>
            <w:tcW w:w="160" w:type="dxa"/>
            <w:vAlign w:val="bottom"/>
            <w:shd w:val="clear" w:color="auto" w:fill="F2F2F2"/>
          </w:tcPr>
          <w:p>
            <w:pPr>
              <w:spacing w:after="0"/>
              <w:rPr>
                <w:sz w:val="15"/>
                <w:szCs w:val="15"/>
                <w:color w:val="auto"/>
              </w:rPr>
            </w:pPr>
          </w:p>
        </w:tc>
        <w:tc>
          <w:tcPr>
            <w:tcW w:w="120" w:type="dxa"/>
            <w:vAlign w:val="bottom"/>
            <w:vMerge w:val="restart"/>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F2F2F2"/>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150,617</w:t>
            </w:r>
          </w:p>
        </w:tc>
        <w:tc>
          <w:tcPr>
            <w:tcW w:w="120" w:type="dxa"/>
            <w:vAlign w:val="bottom"/>
            <w:vMerge w:val="restart"/>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F2F2F2"/>
          </w:tcPr>
          <w:p>
            <w:pPr>
              <w:ind w:left="1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F2F2F2"/>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vMerge w:val="restart"/>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95"/>
        </w:trPr>
        <w:tc>
          <w:tcPr>
            <w:tcW w:w="2120" w:type="dxa"/>
            <w:vAlign w:val="bottom"/>
            <w:tcBorders>
              <w:bottom w:val="single" w:sz="8" w:color="F2F2F2"/>
            </w:tcBorders>
            <w:shd w:val="clear" w:color="auto" w:fill="F2F2F2"/>
          </w:tcPr>
          <w:p>
            <w:pPr>
              <w:spacing w:after="0"/>
              <w:rPr>
                <w:sz w:val="8"/>
                <w:szCs w:val="8"/>
                <w:color w:val="auto"/>
              </w:rPr>
            </w:pPr>
          </w:p>
        </w:tc>
        <w:tc>
          <w:tcPr>
            <w:tcW w:w="420" w:type="dxa"/>
            <w:vAlign w:val="bottom"/>
            <w:tcBorders>
              <w:bottom w:val="single" w:sz="8" w:color="F2F2F2"/>
            </w:tcBorders>
            <w:shd w:val="clear" w:color="auto" w:fill="F2F2F2"/>
          </w:tcPr>
          <w:p>
            <w:pPr>
              <w:spacing w:after="0"/>
              <w:rPr>
                <w:sz w:val="8"/>
                <w:szCs w:val="8"/>
                <w:color w:val="auto"/>
              </w:rPr>
            </w:pPr>
          </w:p>
        </w:tc>
        <w:tc>
          <w:tcPr>
            <w:tcW w:w="320" w:type="dxa"/>
            <w:vAlign w:val="bottom"/>
            <w:tcBorders>
              <w:bottom w:val="single" w:sz="8" w:color="F2F2F2"/>
            </w:tcBorders>
            <w:gridSpan w:val="2"/>
            <w:vMerge w:val="continue"/>
            <w:shd w:val="clear" w:color="auto" w:fill="F2F2F2"/>
          </w:tcPr>
          <w:p>
            <w:pPr>
              <w:spacing w:after="0"/>
              <w:rPr>
                <w:sz w:val="8"/>
                <w:szCs w:val="8"/>
                <w:color w:val="auto"/>
              </w:rPr>
            </w:pPr>
          </w:p>
        </w:tc>
        <w:tc>
          <w:tcPr>
            <w:tcW w:w="2060" w:type="dxa"/>
            <w:vAlign w:val="bottom"/>
            <w:tcBorders>
              <w:bottom w:val="single" w:sz="8" w:color="F2F2F2"/>
            </w:tcBorders>
            <w:vMerge w:val="continue"/>
            <w:shd w:val="clear" w:color="auto" w:fill="F2F2F2"/>
          </w:tcPr>
          <w:p>
            <w:pPr>
              <w:spacing w:after="0"/>
              <w:rPr>
                <w:sz w:val="8"/>
                <w:szCs w:val="8"/>
                <w:color w:val="auto"/>
              </w:rPr>
            </w:pPr>
          </w:p>
        </w:tc>
        <w:tc>
          <w:tcPr>
            <w:tcW w:w="26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540" w:type="dxa"/>
            <w:vAlign w:val="bottom"/>
            <w:tcBorders>
              <w:bottom w:val="single" w:sz="8" w:color="F2F2F2"/>
            </w:tcBorders>
            <w:vMerge w:val="continue"/>
            <w:shd w:val="clear" w:color="auto" w:fill="F2F2F2"/>
          </w:tcPr>
          <w:p>
            <w:pPr>
              <w:spacing w:after="0"/>
              <w:rPr>
                <w:sz w:val="8"/>
                <w:szCs w:val="8"/>
                <w:color w:val="auto"/>
              </w:rPr>
            </w:pPr>
          </w:p>
        </w:tc>
        <w:tc>
          <w:tcPr>
            <w:tcW w:w="160" w:type="dxa"/>
            <w:vAlign w:val="bottom"/>
            <w:tcBorders>
              <w:bottom w:val="single" w:sz="8" w:color="F2F2F2"/>
            </w:tcBorders>
            <w:shd w:val="clear" w:color="auto" w:fill="F2F2F2"/>
          </w:tcPr>
          <w:p>
            <w:pPr>
              <w:spacing w:after="0"/>
              <w:rPr>
                <w:sz w:val="8"/>
                <w:szCs w:val="8"/>
                <w:color w:val="auto"/>
              </w:rPr>
            </w:pPr>
          </w:p>
        </w:tc>
        <w:tc>
          <w:tcPr>
            <w:tcW w:w="12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1040" w:type="dxa"/>
            <w:vAlign w:val="bottom"/>
            <w:tcBorders>
              <w:bottom w:val="single" w:sz="8" w:color="F2F2F2"/>
            </w:tcBorders>
            <w:gridSpan w:val="2"/>
            <w:vMerge w:val="continue"/>
            <w:shd w:val="clear" w:color="auto" w:fill="F2F2F2"/>
          </w:tcPr>
          <w:p>
            <w:pPr>
              <w:spacing w:after="0"/>
              <w:rPr>
                <w:sz w:val="8"/>
                <w:szCs w:val="8"/>
                <w:color w:val="auto"/>
              </w:rPr>
            </w:pPr>
          </w:p>
        </w:tc>
        <w:tc>
          <w:tcPr>
            <w:tcW w:w="12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220" w:type="dxa"/>
            <w:vAlign w:val="bottom"/>
            <w:tcBorders>
              <w:bottom w:val="single" w:sz="8" w:color="F2F2F2"/>
            </w:tcBorders>
            <w:vMerge w:val="continue"/>
            <w:shd w:val="clear" w:color="auto" w:fill="F2F2F2"/>
          </w:tcPr>
          <w:p>
            <w:pPr>
              <w:spacing w:after="0"/>
              <w:rPr>
                <w:sz w:val="8"/>
                <w:szCs w:val="8"/>
                <w:color w:val="auto"/>
              </w:rPr>
            </w:pPr>
          </w:p>
        </w:tc>
        <w:tc>
          <w:tcPr>
            <w:tcW w:w="780" w:type="dxa"/>
            <w:vAlign w:val="bottom"/>
            <w:tcBorders>
              <w:bottom w:val="single" w:sz="8" w:color="F2F2F2"/>
            </w:tcBorders>
            <w:vMerge w:val="continue"/>
            <w:shd w:val="clear" w:color="auto" w:fill="F2F2F2"/>
          </w:tcPr>
          <w:p>
            <w:pPr>
              <w:spacing w:after="0"/>
              <w:rPr>
                <w:sz w:val="8"/>
                <w:szCs w:val="8"/>
                <w:color w:val="auto"/>
              </w:rPr>
            </w:pPr>
          </w:p>
        </w:tc>
        <w:tc>
          <w:tcPr>
            <w:tcW w:w="140" w:type="dxa"/>
            <w:vAlign w:val="bottom"/>
            <w:tcBorders>
              <w:bottom w:val="single" w:sz="8" w:color="F2F2F2"/>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120" w:type="dxa"/>
            <w:vAlign w:val="bottom"/>
            <w:tcBorders>
              <w:top w:val="single" w:sz="8" w:color="CCCCCC"/>
              <w:bottom w:val="single" w:sz="8" w:color="CCCCCC"/>
            </w:tcBorders>
            <w:vMerge w:val="restart"/>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Ryan</w:t>
            </w:r>
          </w:p>
        </w:tc>
        <w:tc>
          <w:tcPr>
            <w:tcW w:w="420" w:type="dxa"/>
            <w:vAlign w:val="bottom"/>
            <w:tcBorders>
              <w:top w:val="single" w:sz="8" w:color="CCCCCC"/>
              <w:bottom w:val="single" w:sz="8" w:color="CCCCCC"/>
            </w:tcBorders>
            <w:vMerge w:val="restart"/>
          </w:tcPr>
          <w:p>
            <w:pPr>
              <w:ind w:left="260"/>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CCCCCC"/>
              <w:bottom w:val="single" w:sz="8" w:color="CCCCCC"/>
            </w:tcBorders>
          </w:tcPr>
          <w:p>
            <w:pPr>
              <w:ind w:left="160"/>
              <w:spacing w:after="0"/>
              <w:rPr>
                <w:sz w:val="20"/>
                <w:szCs w:val="20"/>
                <w:color w:val="auto"/>
              </w:rPr>
            </w:pPr>
            <w:r>
              <w:rPr>
                <w:rFonts w:ascii="Arial" w:cs="Arial" w:eastAsia="Arial" w:hAnsi="Arial"/>
                <w:sz w:val="15"/>
                <w:szCs w:val="15"/>
                <w:color w:val="auto"/>
              </w:rPr>
              <w:t>​</w:t>
            </w:r>
          </w:p>
        </w:tc>
        <w:tc>
          <w:tcPr>
            <w:tcW w:w="2120" w:type="dxa"/>
            <w:vAlign w:val="bottom"/>
            <w:tcBorders>
              <w:top w:val="single" w:sz="8" w:color="CCCCCC"/>
              <w:bottom w:val="single" w:sz="8" w:color="CCCCCC"/>
            </w:tcBorders>
            <w:gridSpan w:val="2"/>
          </w:tcPr>
          <w:p>
            <w:pPr>
              <w:ind w:left="60"/>
              <w:spacing w:after="0"/>
              <w:rPr>
                <w:sz w:val="20"/>
                <w:szCs w:val="20"/>
                <w:color w:val="auto"/>
              </w:rPr>
            </w:pPr>
            <w:r>
              <w:rPr>
                <w:rFonts w:ascii="Arial" w:cs="Arial" w:eastAsia="Arial" w:hAnsi="Arial"/>
                <w:sz w:val="15"/>
                <w:szCs w:val="15"/>
                <w:color w:val="auto"/>
              </w:rPr>
              <w:t>CNP Retirement Plan</w:t>
            </w:r>
          </w:p>
        </w:tc>
        <w:tc>
          <w:tcPr>
            <w:tcW w:w="260" w:type="dxa"/>
            <w:vAlign w:val="bottom"/>
            <w:tcBorders>
              <w:top w:val="single" w:sz="8" w:color="CCCCCC"/>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CCCCCC"/>
              <w:bottom w:val="single" w:sz="8" w:color="CCCCCC"/>
            </w:tcBorders>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15.1</w:t>
            </w:r>
          </w:p>
        </w:tc>
        <w:tc>
          <w:tcPr>
            <w:tcW w:w="160" w:type="dxa"/>
            <w:vAlign w:val="bottom"/>
            <w:tcBorders>
              <w:top w:val="single" w:sz="8" w:color="CCCCCC"/>
              <w:bottom w:val="single" w:sz="8" w:color="CCCCCC"/>
            </w:tcBorders>
          </w:tcPr>
          <w:p>
            <w:pPr>
              <w:spacing w:after="0"/>
              <w:rPr>
                <w:sz w:val="16"/>
                <w:szCs w:val="16"/>
                <w:color w:val="auto"/>
              </w:rPr>
            </w:pPr>
          </w:p>
        </w:tc>
        <w:tc>
          <w:tcPr>
            <w:tcW w:w="120" w:type="dxa"/>
            <w:vAlign w:val="bottom"/>
            <w:tcBorders>
              <w:top w:val="single" w:sz="8" w:color="CCCCCC"/>
              <w:bottom w:val="single" w:sz="8" w:color="CCCCCC"/>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6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CCCCCC"/>
              <w:bottom w:val="single" w:sz="8" w:color="CCCCCC"/>
            </w:tcBorders>
            <w:gridSpan w:val="2"/>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165,760</w:t>
            </w:r>
          </w:p>
        </w:tc>
        <w:tc>
          <w:tcPr>
            <w:tcW w:w="120" w:type="dxa"/>
            <w:vAlign w:val="bottom"/>
            <w:tcBorders>
              <w:top w:val="single" w:sz="8" w:color="CCCCCC"/>
              <w:bottom w:val="single" w:sz="8" w:color="CCCCCC"/>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6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CCCC"/>
              <w:bottom w:val="single" w:sz="8" w:color="CCCCCC"/>
            </w:tcBorders>
          </w:tcPr>
          <w:p>
            <w:pPr>
              <w:ind w:left="1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CCCCCC"/>
              <w:bottom w:val="single" w:sz="8" w:color="CCCCCC"/>
            </w:tcBorders>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tcBorders>
              <w:top w:val="single" w:sz="8" w:color="CCCCCC"/>
              <w:bottom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4"/>
        </w:trPr>
        <w:tc>
          <w:tcPr>
            <w:tcW w:w="21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380" w:type="dxa"/>
            <w:vAlign w:val="bottom"/>
            <w:gridSpan w:val="3"/>
            <w:vMerge w:val="restart"/>
          </w:tcPr>
          <w:p>
            <w:pPr>
              <w:ind w:left="160"/>
              <w:spacing w:after="0"/>
              <w:rPr>
                <w:sz w:val="20"/>
                <w:szCs w:val="20"/>
                <w:color w:val="auto"/>
              </w:rPr>
            </w:pPr>
            <w:r>
              <w:rPr>
                <w:rFonts w:ascii="Arial" w:cs="Arial" w:eastAsia="Arial" w:hAnsi="Arial"/>
                <w:sz w:val="15"/>
                <w:szCs w:val="15"/>
                <w:color w:val="auto"/>
              </w:rPr>
              <w:t>​  CNP Benefit Restoration Plan</w:t>
            </w:r>
          </w:p>
        </w:tc>
        <w:tc>
          <w:tcPr>
            <w:tcW w:w="26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15.1</w:t>
            </w:r>
          </w:p>
        </w:tc>
        <w:tc>
          <w:tcPr>
            <w:tcW w:w="1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141,761</w:t>
            </w: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120" w:type="dxa"/>
            <w:vAlign w:val="bottom"/>
            <w:tcBorders>
              <w:bottom w:val="single" w:sz="8" w:color="CCCCCC"/>
            </w:tcBorders>
          </w:tcPr>
          <w:p>
            <w:pPr>
              <w:spacing w:after="0"/>
              <w:rPr>
                <w:sz w:val="4"/>
                <w:szCs w:val="4"/>
                <w:color w:val="auto"/>
              </w:rPr>
            </w:pPr>
          </w:p>
        </w:tc>
        <w:tc>
          <w:tcPr>
            <w:tcW w:w="420" w:type="dxa"/>
            <w:vAlign w:val="bottom"/>
            <w:tcBorders>
              <w:bottom w:val="single" w:sz="8" w:color="CCCCCC"/>
            </w:tcBorders>
          </w:tcPr>
          <w:p>
            <w:pPr>
              <w:spacing w:after="0"/>
              <w:rPr>
                <w:sz w:val="4"/>
                <w:szCs w:val="4"/>
                <w:color w:val="auto"/>
              </w:rPr>
            </w:pPr>
          </w:p>
        </w:tc>
        <w:tc>
          <w:tcPr>
            <w:tcW w:w="260" w:type="dxa"/>
            <w:vAlign w:val="bottom"/>
            <w:tcBorders>
              <w:bottom w:val="single" w:sz="8" w:color="CCCCCC"/>
            </w:tcBorders>
          </w:tcPr>
          <w:p>
            <w:pPr>
              <w:spacing w:after="0"/>
              <w:rPr>
                <w:sz w:val="4"/>
                <w:szCs w:val="4"/>
                <w:color w:val="auto"/>
              </w:rPr>
            </w:pPr>
          </w:p>
        </w:tc>
        <w:tc>
          <w:tcPr>
            <w:tcW w:w="2120" w:type="dxa"/>
            <w:vAlign w:val="bottom"/>
            <w:tcBorders>
              <w:bottom w:val="single" w:sz="8" w:color="CCCCCC"/>
            </w:tcBorders>
            <w:gridSpan w:val="2"/>
          </w:tcPr>
          <w:p>
            <w:pPr>
              <w:spacing w:after="0"/>
              <w:rPr>
                <w:sz w:val="4"/>
                <w:szCs w:val="4"/>
                <w:color w:val="auto"/>
              </w:rPr>
            </w:pPr>
          </w:p>
        </w:tc>
        <w:tc>
          <w:tcPr>
            <w:tcW w:w="26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1040" w:type="dxa"/>
            <w:vAlign w:val="bottom"/>
            <w:tcBorders>
              <w:bottom w:val="single" w:sz="8" w:color="CCCCCC"/>
            </w:tcBorders>
            <w:gridSpan w:val="2"/>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780" w:type="dxa"/>
            <w:vAlign w:val="bottom"/>
            <w:tcBorders>
              <w:bottom w:val="single" w:sz="8" w:color="CCCCCC"/>
            </w:tcBorders>
          </w:tcPr>
          <w:p>
            <w:pPr>
              <w:spacing w:after="0"/>
              <w:rPr>
                <w:sz w:val="4"/>
                <w:szCs w:val="4"/>
                <w:color w:val="auto"/>
              </w:rPr>
            </w:pPr>
          </w:p>
        </w:tc>
        <w:tc>
          <w:tcPr>
            <w:tcW w:w="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120" w:type="dxa"/>
            <w:vAlign w:val="bottom"/>
            <w:tcBorders>
              <w:bottom w:val="single" w:sz="8" w:color="F2F2F2"/>
            </w:tcBorders>
            <w:vMerge w:val="restart"/>
            <w:shd w:val="clear" w:color="auto" w:fill="F2F2F2"/>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Harkel-Rumford</w:t>
            </w:r>
          </w:p>
        </w:tc>
        <w:tc>
          <w:tcPr>
            <w:tcW w:w="420" w:type="dxa"/>
            <w:vAlign w:val="bottom"/>
            <w:tcBorders>
              <w:bottom w:val="single" w:sz="8" w:color="F2F2F2"/>
            </w:tcBorders>
            <w:vMerge w:val="restart"/>
            <w:shd w:val="clear" w:color="auto" w:fill="F2F2F2"/>
          </w:tcPr>
          <w:p>
            <w:pPr>
              <w:ind w:left="26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CCCC"/>
            </w:tcBorders>
            <w:shd w:val="clear" w:color="auto" w:fill="F2F2F2"/>
          </w:tcPr>
          <w:p>
            <w:pPr>
              <w:spacing w:after="0"/>
              <w:rPr>
                <w:sz w:val="16"/>
                <w:szCs w:val="16"/>
                <w:color w:val="auto"/>
              </w:rPr>
            </w:pPr>
          </w:p>
        </w:tc>
        <w:tc>
          <w:tcPr>
            <w:tcW w:w="2060" w:type="dxa"/>
            <w:vAlign w:val="bottom"/>
            <w:tcBorders>
              <w:bottom w:val="single" w:sz="8" w:color="CCCCCC"/>
            </w:tcBorders>
            <w:shd w:val="clear" w:color="auto" w:fill="F2F2F2"/>
          </w:tcPr>
          <w:p>
            <w:pPr>
              <w:spacing w:after="0"/>
              <w:rPr>
                <w:sz w:val="20"/>
                <w:szCs w:val="20"/>
                <w:color w:val="auto"/>
              </w:rPr>
            </w:pPr>
            <w:r>
              <w:rPr>
                <w:rFonts w:ascii="Arial" w:cs="Arial" w:eastAsia="Arial" w:hAnsi="Arial"/>
                <w:sz w:val="15"/>
                <w:szCs w:val="15"/>
                <w:color w:val="auto"/>
              </w:rPr>
              <w:t>CNP Retirement Plan</w:t>
            </w:r>
          </w:p>
        </w:tc>
        <w:tc>
          <w:tcPr>
            <w:tcW w:w="260" w:type="dxa"/>
            <w:vAlign w:val="bottom"/>
            <w:tcBorders>
              <w:bottom w:val="single" w:sz="8" w:color="CCCCCC"/>
            </w:tcBorders>
            <w:shd w:val="clear" w:color="auto" w:fill="F2F2F2"/>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CCCC"/>
            </w:tcBorders>
            <w:shd w:val="clear" w:color="auto" w:fill="F2F2F2"/>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25.5</w:t>
            </w:r>
          </w:p>
        </w:tc>
        <w:tc>
          <w:tcPr>
            <w:tcW w:w="160" w:type="dxa"/>
            <w:vAlign w:val="bottom"/>
            <w:tcBorders>
              <w:bottom w:val="single" w:sz="8" w:color="CCCCCC"/>
            </w:tcBorders>
            <w:shd w:val="clear" w:color="auto" w:fill="F2F2F2"/>
          </w:tcPr>
          <w:p>
            <w:pPr>
              <w:spacing w:after="0"/>
              <w:rPr>
                <w:sz w:val="16"/>
                <w:szCs w:val="16"/>
                <w:color w:val="auto"/>
              </w:rPr>
            </w:pP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CCCC"/>
            </w:tcBorders>
            <w:gridSpan w:val="2"/>
            <w:shd w:val="clear" w:color="auto" w:fill="F2F2F2"/>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430,494</w:t>
            </w:r>
          </w:p>
        </w:tc>
        <w:tc>
          <w:tcPr>
            <w:tcW w:w="12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CCCC"/>
            </w:tcBorders>
            <w:shd w:val="clear" w:color="auto" w:fill="F2F2F2"/>
          </w:tcPr>
          <w:p>
            <w:pPr>
              <w:ind w:left="1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CCCC"/>
            </w:tcBorders>
            <w:shd w:val="clear" w:color="auto" w:fill="F2F2F2"/>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4"/>
        </w:trPr>
        <w:tc>
          <w:tcPr>
            <w:tcW w:w="2120" w:type="dxa"/>
            <w:vAlign w:val="bottom"/>
            <w:vMerge w:val="continue"/>
            <w:shd w:val="clear" w:color="auto" w:fill="F2F2F2"/>
          </w:tcPr>
          <w:p>
            <w:pPr>
              <w:spacing w:after="0"/>
              <w:rPr>
                <w:sz w:val="15"/>
                <w:szCs w:val="15"/>
                <w:color w:val="auto"/>
              </w:rPr>
            </w:pPr>
          </w:p>
        </w:tc>
        <w:tc>
          <w:tcPr>
            <w:tcW w:w="420" w:type="dxa"/>
            <w:vAlign w:val="bottom"/>
            <w:vMerge w:val="continue"/>
            <w:shd w:val="clear" w:color="auto" w:fill="F2F2F2"/>
          </w:tcPr>
          <w:p>
            <w:pPr>
              <w:spacing w:after="0"/>
              <w:rPr>
                <w:sz w:val="15"/>
                <w:szCs w:val="15"/>
                <w:color w:val="auto"/>
              </w:rPr>
            </w:pPr>
          </w:p>
        </w:tc>
        <w:tc>
          <w:tcPr>
            <w:tcW w:w="320" w:type="dxa"/>
            <w:vAlign w:val="bottom"/>
            <w:gridSpan w:val="2"/>
            <w:vMerge w:val="restart"/>
            <w:shd w:val="clear" w:color="auto" w:fill="F2F2F2"/>
          </w:tcPr>
          <w:p>
            <w:pPr>
              <w:ind w:left="160"/>
              <w:spacing w:after="0"/>
              <w:rPr>
                <w:sz w:val="20"/>
                <w:szCs w:val="20"/>
                <w:color w:val="auto"/>
              </w:rPr>
            </w:pPr>
            <w:r>
              <w:rPr>
                <w:rFonts w:ascii="Arial" w:cs="Arial" w:eastAsia="Arial" w:hAnsi="Arial"/>
                <w:sz w:val="15"/>
                <w:szCs w:val="15"/>
                <w:color w:val="auto"/>
              </w:rPr>
              <w:t>​</w:t>
            </w:r>
          </w:p>
        </w:tc>
        <w:tc>
          <w:tcPr>
            <w:tcW w:w="2060" w:type="dxa"/>
            <w:vAlign w:val="bottom"/>
            <w:vMerge w:val="restart"/>
            <w:shd w:val="clear" w:color="auto" w:fill="F2F2F2"/>
          </w:tcPr>
          <w:p>
            <w:pPr>
              <w:spacing w:after="0"/>
              <w:rPr>
                <w:sz w:val="20"/>
                <w:szCs w:val="20"/>
                <w:color w:val="auto"/>
              </w:rPr>
            </w:pPr>
            <w:r>
              <w:rPr>
                <w:rFonts w:ascii="Arial" w:cs="Arial" w:eastAsia="Arial" w:hAnsi="Arial"/>
                <w:sz w:val="15"/>
                <w:szCs w:val="15"/>
                <w:color w:val="auto"/>
              </w:rPr>
              <w:t>CNP Benefit Restoration Plan</w:t>
            </w:r>
          </w:p>
        </w:tc>
        <w:tc>
          <w:tcPr>
            <w:tcW w:w="260" w:type="dxa"/>
            <w:vAlign w:val="bottom"/>
            <w:vMerge w:val="restart"/>
            <w:shd w:val="clear" w:color="auto" w:fill="F2F2F2"/>
          </w:tcPr>
          <w:p>
            <w:pPr>
              <w:ind w:left="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F2F2F2"/>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25.5</w:t>
            </w:r>
          </w:p>
        </w:tc>
        <w:tc>
          <w:tcPr>
            <w:tcW w:w="160" w:type="dxa"/>
            <w:vAlign w:val="bottom"/>
            <w:shd w:val="clear" w:color="auto" w:fill="F2F2F2"/>
          </w:tcPr>
          <w:p>
            <w:pPr>
              <w:spacing w:after="0"/>
              <w:rPr>
                <w:sz w:val="15"/>
                <w:szCs w:val="15"/>
                <w:color w:val="auto"/>
              </w:rPr>
            </w:pPr>
          </w:p>
        </w:tc>
        <w:tc>
          <w:tcPr>
            <w:tcW w:w="120" w:type="dxa"/>
            <w:vAlign w:val="bottom"/>
            <w:vMerge w:val="restart"/>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14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F2F2F2"/>
          </w:tcPr>
          <w:p>
            <w:pPr>
              <w:ind w:left="2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165,471</w:t>
            </w:r>
          </w:p>
        </w:tc>
        <w:tc>
          <w:tcPr>
            <w:tcW w:w="120" w:type="dxa"/>
            <w:vAlign w:val="bottom"/>
            <w:vMerge w:val="restart"/>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20" w:type="dxa"/>
            <w:vAlign w:val="bottom"/>
            <w:vMerge w:val="restart"/>
            <w:shd w:val="clear" w:color="auto" w:fill="F2F2F2"/>
          </w:tcPr>
          <w:p>
            <w:pPr>
              <w:ind w:left="1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F2F2F2"/>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vMerge w:val="restart"/>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94"/>
        </w:trPr>
        <w:tc>
          <w:tcPr>
            <w:tcW w:w="2120" w:type="dxa"/>
            <w:vAlign w:val="bottom"/>
            <w:tcBorders>
              <w:bottom w:val="single" w:sz="8" w:color="F2F2F2"/>
            </w:tcBorders>
            <w:shd w:val="clear" w:color="auto" w:fill="F2F2F2"/>
          </w:tcPr>
          <w:p>
            <w:pPr>
              <w:spacing w:after="0"/>
              <w:rPr>
                <w:sz w:val="8"/>
                <w:szCs w:val="8"/>
                <w:color w:val="auto"/>
              </w:rPr>
            </w:pPr>
          </w:p>
        </w:tc>
        <w:tc>
          <w:tcPr>
            <w:tcW w:w="420" w:type="dxa"/>
            <w:vAlign w:val="bottom"/>
            <w:tcBorders>
              <w:bottom w:val="single" w:sz="8" w:color="F2F2F2"/>
            </w:tcBorders>
            <w:shd w:val="clear" w:color="auto" w:fill="F2F2F2"/>
          </w:tcPr>
          <w:p>
            <w:pPr>
              <w:spacing w:after="0"/>
              <w:rPr>
                <w:sz w:val="8"/>
                <w:szCs w:val="8"/>
                <w:color w:val="auto"/>
              </w:rPr>
            </w:pPr>
          </w:p>
        </w:tc>
        <w:tc>
          <w:tcPr>
            <w:tcW w:w="320" w:type="dxa"/>
            <w:vAlign w:val="bottom"/>
            <w:tcBorders>
              <w:bottom w:val="single" w:sz="8" w:color="F2F2F2"/>
            </w:tcBorders>
            <w:gridSpan w:val="2"/>
            <w:vMerge w:val="continue"/>
            <w:shd w:val="clear" w:color="auto" w:fill="F2F2F2"/>
          </w:tcPr>
          <w:p>
            <w:pPr>
              <w:spacing w:after="0"/>
              <w:rPr>
                <w:sz w:val="8"/>
                <w:szCs w:val="8"/>
                <w:color w:val="auto"/>
              </w:rPr>
            </w:pPr>
          </w:p>
        </w:tc>
        <w:tc>
          <w:tcPr>
            <w:tcW w:w="2060" w:type="dxa"/>
            <w:vAlign w:val="bottom"/>
            <w:tcBorders>
              <w:bottom w:val="single" w:sz="8" w:color="F2F2F2"/>
            </w:tcBorders>
            <w:vMerge w:val="continue"/>
            <w:shd w:val="clear" w:color="auto" w:fill="F2F2F2"/>
          </w:tcPr>
          <w:p>
            <w:pPr>
              <w:spacing w:after="0"/>
              <w:rPr>
                <w:sz w:val="8"/>
                <w:szCs w:val="8"/>
                <w:color w:val="auto"/>
              </w:rPr>
            </w:pPr>
          </w:p>
        </w:tc>
        <w:tc>
          <w:tcPr>
            <w:tcW w:w="26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540" w:type="dxa"/>
            <w:vAlign w:val="bottom"/>
            <w:tcBorders>
              <w:bottom w:val="single" w:sz="8" w:color="F2F2F2"/>
            </w:tcBorders>
            <w:vMerge w:val="continue"/>
            <w:shd w:val="clear" w:color="auto" w:fill="F2F2F2"/>
          </w:tcPr>
          <w:p>
            <w:pPr>
              <w:spacing w:after="0"/>
              <w:rPr>
                <w:sz w:val="8"/>
                <w:szCs w:val="8"/>
                <w:color w:val="auto"/>
              </w:rPr>
            </w:pPr>
          </w:p>
        </w:tc>
        <w:tc>
          <w:tcPr>
            <w:tcW w:w="160" w:type="dxa"/>
            <w:vAlign w:val="bottom"/>
            <w:tcBorders>
              <w:bottom w:val="single" w:sz="8" w:color="F2F2F2"/>
            </w:tcBorders>
            <w:shd w:val="clear" w:color="auto" w:fill="F2F2F2"/>
          </w:tcPr>
          <w:p>
            <w:pPr>
              <w:spacing w:after="0"/>
              <w:rPr>
                <w:sz w:val="8"/>
                <w:szCs w:val="8"/>
                <w:color w:val="auto"/>
              </w:rPr>
            </w:pPr>
          </w:p>
        </w:tc>
        <w:tc>
          <w:tcPr>
            <w:tcW w:w="12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1040" w:type="dxa"/>
            <w:vAlign w:val="bottom"/>
            <w:tcBorders>
              <w:bottom w:val="single" w:sz="8" w:color="F2F2F2"/>
            </w:tcBorders>
            <w:gridSpan w:val="2"/>
            <w:vMerge w:val="continue"/>
            <w:shd w:val="clear" w:color="auto" w:fill="F2F2F2"/>
          </w:tcPr>
          <w:p>
            <w:pPr>
              <w:spacing w:after="0"/>
              <w:rPr>
                <w:sz w:val="8"/>
                <w:szCs w:val="8"/>
                <w:color w:val="auto"/>
              </w:rPr>
            </w:pPr>
          </w:p>
        </w:tc>
        <w:tc>
          <w:tcPr>
            <w:tcW w:w="120" w:type="dxa"/>
            <w:vAlign w:val="bottom"/>
            <w:tcBorders>
              <w:bottom w:val="single" w:sz="8" w:color="F2F2F2"/>
            </w:tcBorders>
            <w:vMerge w:val="continue"/>
            <w:shd w:val="clear" w:color="auto" w:fill="F2F2F2"/>
          </w:tcPr>
          <w:p>
            <w:pPr>
              <w:spacing w:after="0"/>
              <w:rPr>
                <w:sz w:val="8"/>
                <w:szCs w:val="8"/>
                <w:color w:val="auto"/>
              </w:rPr>
            </w:pPr>
          </w:p>
        </w:tc>
        <w:tc>
          <w:tcPr>
            <w:tcW w:w="240" w:type="dxa"/>
            <w:vAlign w:val="bottom"/>
            <w:tcBorders>
              <w:bottom w:val="single" w:sz="8" w:color="F2F2F2"/>
            </w:tcBorders>
            <w:vMerge w:val="continue"/>
            <w:shd w:val="clear" w:color="auto" w:fill="F2F2F2"/>
          </w:tcPr>
          <w:p>
            <w:pPr>
              <w:spacing w:after="0"/>
              <w:rPr>
                <w:sz w:val="8"/>
                <w:szCs w:val="8"/>
                <w:color w:val="auto"/>
              </w:rPr>
            </w:pPr>
          </w:p>
        </w:tc>
        <w:tc>
          <w:tcPr>
            <w:tcW w:w="220" w:type="dxa"/>
            <w:vAlign w:val="bottom"/>
            <w:tcBorders>
              <w:bottom w:val="single" w:sz="8" w:color="F2F2F2"/>
            </w:tcBorders>
            <w:vMerge w:val="continue"/>
            <w:shd w:val="clear" w:color="auto" w:fill="F2F2F2"/>
          </w:tcPr>
          <w:p>
            <w:pPr>
              <w:spacing w:after="0"/>
              <w:rPr>
                <w:sz w:val="8"/>
                <w:szCs w:val="8"/>
                <w:color w:val="auto"/>
              </w:rPr>
            </w:pPr>
          </w:p>
        </w:tc>
        <w:tc>
          <w:tcPr>
            <w:tcW w:w="780" w:type="dxa"/>
            <w:vAlign w:val="bottom"/>
            <w:tcBorders>
              <w:bottom w:val="single" w:sz="8" w:color="F2F2F2"/>
            </w:tcBorders>
            <w:vMerge w:val="continue"/>
            <w:shd w:val="clear" w:color="auto" w:fill="F2F2F2"/>
          </w:tcPr>
          <w:p>
            <w:pPr>
              <w:spacing w:after="0"/>
              <w:rPr>
                <w:sz w:val="8"/>
                <w:szCs w:val="8"/>
                <w:color w:val="auto"/>
              </w:rPr>
            </w:pPr>
          </w:p>
        </w:tc>
        <w:tc>
          <w:tcPr>
            <w:tcW w:w="140" w:type="dxa"/>
            <w:vAlign w:val="bottom"/>
            <w:tcBorders>
              <w:bottom w:val="single" w:sz="8" w:color="F2F2F2"/>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120" w:type="dxa"/>
            <w:vAlign w:val="bottom"/>
            <w:tcBorders>
              <w:top w:val="single" w:sz="8" w:color="CCCCCC"/>
              <w:bottom w:val="single" w:sz="8" w:color="CCCCCC"/>
            </w:tcBorders>
            <w:vMerge w:val="restart"/>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Wilson</w:t>
            </w:r>
          </w:p>
        </w:tc>
        <w:tc>
          <w:tcPr>
            <w:tcW w:w="420" w:type="dxa"/>
            <w:vAlign w:val="bottom"/>
            <w:tcBorders>
              <w:top w:val="single" w:sz="8" w:color="CCCCCC"/>
              <w:bottom w:val="single" w:sz="8" w:color="CCCCCC"/>
            </w:tcBorders>
            <w:vMerge w:val="restart"/>
          </w:tcPr>
          <w:p>
            <w:pPr>
              <w:ind w:left="260"/>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CCCCCC"/>
              <w:bottom w:val="single" w:sz="8" w:color="CCCCCC"/>
            </w:tcBorders>
          </w:tcPr>
          <w:p>
            <w:pPr>
              <w:ind w:left="160"/>
              <w:spacing w:after="0"/>
              <w:rPr>
                <w:sz w:val="20"/>
                <w:szCs w:val="20"/>
                <w:color w:val="auto"/>
              </w:rPr>
            </w:pPr>
            <w:r>
              <w:rPr>
                <w:rFonts w:ascii="Arial" w:cs="Arial" w:eastAsia="Arial" w:hAnsi="Arial"/>
                <w:sz w:val="15"/>
                <w:szCs w:val="15"/>
                <w:color w:val="auto"/>
              </w:rPr>
              <w:t>​</w:t>
            </w:r>
          </w:p>
        </w:tc>
        <w:tc>
          <w:tcPr>
            <w:tcW w:w="2120" w:type="dxa"/>
            <w:vAlign w:val="bottom"/>
            <w:tcBorders>
              <w:top w:val="single" w:sz="8" w:color="CCCCCC"/>
              <w:bottom w:val="single" w:sz="8" w:color="CCCCCC"/>
            </w:tcBorders>
            <w:gridSpan w:val="2"/>
          </w:tcPr>
          <w:p>
            <w:pPr>
              <w:ind w:left="60"/>
              <w:spacing w:after="0"/>
              <w:rPr>
                <w:sz w:val="20"/>
                <w:szCs w:val="20"/>
                <w:color w:val="auto"/>
              </w:rPr>
            </w:pPr>
            <w:r>
              <w:rPr>
                <w:rFonts w:ascii="Arial" w:cs="Arial" w:eastAsia="Arial" w:hAnsi="Arial"/>
                <w:sz w:val="15"/>
                <w:szCs w:val="15"/>
                <w:color w:val="auto"/>
              </w:rPr>
              <w:t>Vectren Retirement Plan</w:t>
            </w:r>
          </w:p>
        </w:tc>
        <w:tc>
          <w:tcPr>
            <w:tcW w:w="260" w:type="dxa"/>
            <w:vAlign w:val="bottom"/>
            <w:tcBorders>
              <w:top w:val="single" w:sz="8" w:color="CCCCCC"/>
              <w:bottom w:val="single" w:sz="8" w:color="CCCCCC"/>
            </w:tcBorders>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CCCCCC"/>
              <w:bottom w:val="single" w:sz="8" w:color="CCCCCC"/>
            </w:tcBorders>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21.6</w:t>
            </w:r>
          </w:p>
        </w:tc>
        <w:tc>
          <w:tcPr>
            <w:tcW w:w="160" w:type="dxa"/>
            <w:vAlign w:val="bottom"/>
            <w:tcBorders>
              <w:top w:val="single" w:sz="8" w:color="CCCCCC"/>
              <w:bottom w:val="single" w:sz="8" w:color="CCCCCC"/>
            </w:tcBorders>
          </w:tcPr>
          <w:p>
            <w:pPr>
              <w:spacing w:after="0"/>
              <w:rPr>
                <w:sz w:val="16"/>
                <w:szCs w:val="16"/>
                <w:color w:val="auto"/>
              </w:rPr>
            </w:pPr>
          </w:p>
        </w:tc>
        <w:tc>
          <w:tcPr>
            <w:tcW w:w="120" w:type="dxa"/>
            <w:vAlign w:val="bottom"/>
            <w:tcBorders>
              <w:top w:val="single" w:sz="8" w:color="CCCCCC"/>
              <w:bottom w:val="single" w:sz="8" w:color="CCCCCC"/>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6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140"/>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CCCCCC"/>
              <w:bottom w:val="single" w:sz="8" w:color="CCCCCC"/>
            </w:tcBorders>
          </w:tcPr>
          <w:p>
            <w:pPr>
              <w:ind w:left="260"/>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CCCCCC"/>
              <w:bottom w:val="single" w:sz="8" w:color="CCCCCC"/>
            </w:tcBorders>
          </w:tcPr>
          <w:p>
            <w:pPr>
              <w:jc w:val="right"/>
              <w:ind w:right="129"/>
              <w:spacing w:after="0"/>
              <w:rPr>
                <w:sz w:val="20"/>
                <w:szCs w:val="20"/>
                <w:color w:val="auto"/>
              </w:rPr>
            </w:pPr>
            <w:r>
              <w:rPr>
                <w:rFonts w:ascii="Arial" w:cs="Arial" w:eastAsia="Arial" w:hAnsi="Arial"/>
                <w:sz w:val="15"/>
                <w:szCs w:val="15"/>
                <w:color w:val="auto"/>
              </w:rPr>
              <w:t>78,714</w:t>
            </w:r>
          </w:p>
        </w:tc>
        <w:tc>
          <w:tcPr>
            <w:tcW w:w="120" w:type="dxa"/>
            <w:vAlign w:val="bottom"/>
            <w:tcBorders>
              <w:top w:val="single" w:sz="8" w:color="CCCCCC"/>
              <w:bottom w:val="single" w:sz="8" w:color="CCCCCC"/>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CCCC"/>
              <w:bottom w:val="single" w:sz="8" w:color="CCCCCC"/>
            </w:tcBorders>
          </w:tcPr>
          <w:p>
            <w:pPr>
              <w:ind w:left="6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CCCC"/>
              <w:bottom w:val="single" w:sz="8" w:color="CCCCCC"/>
            </w:tcBorders>
          </w:tcPr>
          <w:p>
            <w:pPr>
              <w:ind w:left="1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CCCCCC"/>
              <w:bottom w:val="single" w:sz="8" w:color="CCCCCC"/>
            </w:tcBorders>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tcBorders>
              <w:top w:val="single" w:sz="8" w:color="CCCCCC"/>
              <w:bottom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4"/>
        </w:trPr>
        <w:tc>
          <w:tcPr>
            <w:tcW w:w="21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2120" w:type="dxa"/>
            <w:vAlign w:val="bottom"/>
            <w:gridSpan w:val="2"/>
            <w:vMerge w:val="restart"/>
          </w:tcPr>
          <w:p>
            <w:pPr>
              <w:ind w:left="60"/>
              <w:spacing w:after="0"/>
              <w:rPr>
                <w:sz w:val="20"/>
                <w:szCs w:val="20"/>
                <w:color w:val="auto"/>
              </w:rPr>
            </w:pPr>
            <w:r>
              <w:rPr>
                <w:rFonts w:ascii="Arial" w:cs="Arial" w:eastAsia="Arial" w:hAnsi="Arial"/>
                <w:sz w:val="15"/>
                <w:szCs w:val="15"/>
                <w:color w:val="auto"/>
              </w:rPr>
              <w:t>Vectren Restoration Plan</w:t>
            </w:r>
          </w:p>
        </w:tc>
        <w:tc>
          <w:tcPr>
            <w:tcW w:w="26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21.6</w:t>
            </w:r>
          </w:p>
        </w:tc>
        <w:tc>
          <w:tcPr>
            <w:tcW w:w="1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w:t>
            </w:r>
          </w:p>
        </w:tc>
        <w:tc>
          <w:tcPr>
            <w:tcW w:w="720" w:type="dxa"/>
            <w:vAlign w:val="bottom"/>
            <w:vMerge w:val="restart"/>
          </w:tcPr>
          <w:p>
            <w:pPr>
              <w:jc w:val="right"/>
              <w:ind w:right="129"/>
              <w:spacing w:after="0"/>
              <w:rPr>
                <w:sz w:val="20"/>
                <w:szCs w:val="20"/>
                <w:color w:val="auto"/>
              </w:rPr>
            </w:pPr>
            <w:r>
              <w:rPr>
                <w:rFonts w:ascii="Arial" w:cs="Arial" w:eastAsia="Arial" w:hAnsi="Arial"/>
                <w:sz w:val="15"/>
                <w:szCs w:val="15"/>
                <w:color w:val="auto"/>
              </w:rPr>
              <w:t>5,305</w:t>
            </w: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ind w:left="6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20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120" w:type="dxa"/>
            <w:vAlign w:val="bottom"/>
            <w:tcBorders>
              <w:bottom w:val="single" w:sz="8" w:color="CCCCCC"/>
            </w:tcBorders>
          </w:tcPr>
          <w:p>
            <w:pPr>
              <w:spacing w:after="0"/>
              <w:rPr>
                <w:sz w:val="4"/>
                <w:szCs w:val="4"/>
                <w:color w:val="auto"/>
              </w:rPr>
            </w:pPr>
          </w:p>
        </w:tc>
        <w:tc>
          <w:tcPr>
            <w:tcW w:w="420" w:type="dxa"/>
            <w:vAlign w:val="bottom"/>
            <w:tcBorders>
              <w:bottom w:val="single" w:sz="8" w:color="CCCCCC"/>
            </w:tcBorders>
          </w:tcPr>
          <w:p>
            <w:pPr>
              <w:spacing w:after="0"/>
              <w:rPr>
                <w:sz w:val="4"/>
                <w:szCs w:val="4"/>
                <w:color w:val="auto"/>
              </w:rPr>
            </w:pPr>
          </w:p>
        </w:tc>
        <w:tc>
          <w:tcPr>
            <w:tcW w:w="260" w:type="dxa"/>
            <w:vAlign w:val="bottom"/>
            <w:tcBorders>
              <w:bottom w:val="single" w:sz="8" w:color="CCCCCC"/>
            </w:tcBorders>
          </w:tcPr>
          <w:p>
            <w:pPr>
              <w:spacing w:after="0"/>
              <w:rPr>
                <w:sz w:val="4"/>
                <w:szCs w:val="4"/>
                <w:color w:val="auto"/>
              </w:rPr>
            </w:pPr>
          </w:p>
        </w:tc>
        <w:tc>
          <w:tcPr>
            <w:tcW w:w="60" w:type="dxa"/>
            <w:vAlign w:val="bottom"/>
            <w:tcBorders>
              <w:bottom w:val="single" w:sz="8" w:color="CCCCCC"/>
            </w:tcBorders>
          </w:tcPr>
          <w:p>
            <w:pPr>
              <w:spacing w:after="0"/>
              <w:rPr>
                <w:sz w:val="4"/>
                <w:szCs w:val="4"/>
                <w:color w:val="auto"/>
              </w:rPr>
            </w:pPr>
          </w:p>
        </w:tc>
        <w:tc>
          <w:tcPr>
            <w:tcW w:w="2060" w:type="dxa"/>
            <w:vAlign w:val="bottom"/>
            <w:tcBorders>
              <w:bottom w:val="single" w:sz="8" w:color="CCCCCC"/>
            </w:tcBorders>
          </w:tcPr>
          <w:p>
            <w:pPr>
              <w:spacing w:after="0"/>
              <w:rPr>
                <w:sz w:val="4"/>
                <w:szCs w:val="4"/>
                <w:color w:val="auto"/>
              </w:rPr>
            </w:pPr>
          </w:p>
        </w:tc>
        <w:tc>
          <w:tcPr>
            <w:tcW w:w="26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54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32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tcPr>
          <w:p>
            <w:pPr>
              <w:spacing w:after="0"/>
              <w:rPr>
                <w:sz w:val="4"/>
                <w:szCs w:val="4"/>
                <w:color w:val="auto"/>
              </w:rPr>
            </w:pPr>
          </w:p>
        </w:tc>
        <w:tc>
          <w:tcPr>
            <w:tcW w:w="120" w:type="dxa"/>
            <w:vAlign w:val="bottom"/>
            <w:tcBorders>
              <w:bottom w:val="single" w:sz="8" w:color="CCCCCC"/>
            </w:tcBorders>
          </w:tcPr>
          <w:p>
            <w:pPr>
              <w:spacing w:after="0"/>
              <w:rPr>
                <w:sz w:val="4"/>
                <w:szCs w:val="4"/>
                <w:color w:val="auto"/>
              </w:rPr>
            </w:pPr>
          </w:p>
        </w:tc>
        <w:tc>
          <w:tcPr>
            <w:tcW w:w="24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780" w:type="dxa"/>
            <w:vAlign w:val="bottom"/>
            <w:tcBorders>
              <w:bottom w:val="single" w:sz="8" w:color="CCCCCC"/>
            </w:tcBorders>
          </w:tcPr>
          <w:p>
            <w:pPr>
              <w:spacing w:after="0"/>
              <w:rPr>
                <w:sz w:val="4"/>
                <w:szCs w:val="4"/>
                <w:color w:val="auto"/>
              </w:rPr>
            </w:pPr>
          </w:p>
        </w:tc>
        <w:tc>
          <w:tcPr>
            <w:tcW w:w="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920" w:right="100" w:hanging="189"/>
        <w:spacing w:after="0" w:line="210" w:lineRule="auto"/>
        <w:tabs>
          <w:tab w:leader="none" w:pos="920" w:val="left"/>
        </w:tabs>
        <w:numPr>
          <w:ilvl w:val="0"/>
          <w:numId w:val="123"/>
        </w:numPr>
        <w:rPr>
          <w:rFonts w:ascii="Arial" w:cs="Arial" w:eastAsia="Arial" w:hAnsi="Arial"/>
          <w:sz w:val="20"/>
          <w:szCs w:val="20"/>
          <w:color w:val="auto"/>
          <w:vertAlign w:val="superscript"/>
        </w:rPr>
      </w:pPr>
      <w:r>
        <w:rPr>
          <w:rFonts w:ascii="Arial" w:cs="Arial" w:eastAsia="Arial" w:hAnsi="Arial"/>
          <w:sz w:val="13"/>
          <w:szCs w:val="13"/>
          <w:color w:val="auto"/>
        </w:rPr>
        <w:t>The benefits for Mses. Karuturi and Harkel-Rumford and Mr. Ryan are based solely on the cash balance formula under the CNP Retirement Plan. Interest accrues in the current year at the average annual interest rate for 30-year Treasury Securities as reported daily during the previous November based upon the account balance as of the end of the previous year. The interest rate for the 2024 plan year was 4.66%.</w:t>
      </w:r>
    </w:p>
    <w:p>
      <w:pPr>
        <w:spacing w:after="0" w:line="36" w:lineRule="exact"/>
        <w:rPr>
          <w:rFonts w:ascii="Arial" w:cs="Arial" w:eastAsia="Arial" w:hAnsi="Arial"/>
          <w:sz w:val="20"/>
          <w:szCs w:val="20"/>
          <w:color w:val="auto"/>
          <w:vertAlign w:val="superscript"/>
        </w:rPr>
      </w:pPr>
    </w:p>
    <w:p>
      <w:pPr>
        <w:ind w:left="920" w:right="120"/>
        <w:spacing w:after="0" w:line="264" w:lineRule="auto"/>
        <w:rPr>
          <w:rFonts w:ascii="Arial" w:cs="Arial" w:eastAsia="Arial" w:hAnsi="Arial"/>
          <w:sz w:val="20"/>
          <w:szCs w:val="20"/>
          <w:color w:val="auto"/>
          <w:vertAlign w:val="superscript"/>
        </w:rPr>
      </w:pPr>
      <w:r>
        <w:rPr>
          <w:rFonts w:ascii="Arial" w:cs="Arial" w:eastAsia="Arial" w:hAnsi="Arial"/>
          <w:sz w:val="13"/>
          <w:szCs w:val="13"/>
          <w:color w:val="auto"/>
        </w:rPr>
        <w:t>Mses. Karuturi and Harkel-Rumford and Mr. Ryan accrued an excess benefit amount under the CNP Benefit Restoration Plan based on the cash balance formula as if the Internal Revenue Code annual benefit and compensation limits did not apply.</w:t>
      </w:r>
    </w:p>
    <w:p>
      <w:pPr>
        <w:spacing w:after="0" w:line="22" w:lineRule="exact"/>
        <w:rPr>
          <w:rFonts w:ascii="Arial" w:cs="Arial" w:eastAsia="Arial" w:hAnsi="Arial"/>
          <w:sz w:val="20"/>
          <w:szCs w:val="20"/>
          <w:color w:val="auto"/>
          <w:vertAlign w:val="superscript"/>
        </w:rPr>
      </w:pPr>
    </w:p>
    <w:p>
      <w:pPr>
        <w:ind w:left="920" w:right="60"/>
        <w:spacing w:after="0" w:line="235" w:lineRule="auto"/>
        <w:rPr>
          <w:rFonts w:ascii="Arial" w:cs="Arial" w:eastAsia="Arial" w:hAnsi="Arial"/>
          <w:sz w:val="20"/>
          <w:szCs w:val="20"/>
          <w:color w:val="auto"/>
          <w:vertAlign w:val="superscript"/>
        </w:rPr>
      </w:pPr>
      <w:r>
        <w:rPr>
          <w:rFonts w:ascii="Arial" w:cs="Arial" w:eastAsia="Arial" w:hAnsi="Arial"/>
          <w:sz w:val="13"/>
          <w:szCs w:val="13"/>
          <w:color w:val="auto"/>
        </w:rPr>
        <w:t>The present values for Mses. Karuturi and Harkel-Rumford and Mr. Ryan were calculated based on benefits accrued through December 31, 2024 payable at age 65. Account balances are assumed to accumulate interest credits until age 65 at 3.00%. Since these are cash balance benefits, the lump sum payment is equal to the participant’s account balance at retirement. The single life annuity is calculated by dividing the account balance by the present value factor of an immediate single life annuity assuming an interest rate of 5.60%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2024 is 5.60%.</w:t>
      </w:r>
    </w:p>
    <w:p>
      <w:pPr>
        <w:spacing w:after="0" w:line="26" w:lineRule="exact"/>
        <w:rPr>
          <w:rFonts w:ascii="Arial" w:cs="Arial" w:eastAsia="Arial" w:hAnsi="Arial"/>
          <w:sz w:val="20"/>
          <w:szCs w:val="20"/>
          <w:color w:val="auto"/>
          <w:vertAlign w:val="superscript"/>
        </w:rPr>
      </w:pPr>
    </w:p>
    <w:p>
      <w:pPr>
        <w:jc w:val="both"/>
        <w:ind w:left="920" w:right="80"/>
        <w:spacing w:after="0" w:line="251" w:lineRule="auto"/>
        <w:rPr>
          <w:rFonts w:ascii="Arial" w:cs="Arial" w:eastAsia="Arial" w:hAnsi="Arial"/>
          <w:sz w:val="20"/>
          <w:szCs w:val="20"/>
          <w:color w:val="auto"/>
          <w:vertAlign w:val="superscript"/>
        </w:rPr>
      </w:pPr>
      <w:r>
        <w:rPr>
          <w:rFonts w:ascii="Arial" w:cs="Arial" w:eastAsia="Arial" w:hAnsi="Arial"/>
          <w:sz w:val="13"/>
          <w:szCs w:val="13"/>
          <w:color w:val="auto"/>
        </w:rPr>
        <w:t>The benefit for Ms. Wilson is based solely on a cash balance formula under the Vectren Retirement Plan and was frozen, except with respect to interest credits, as of January 1, 2020. Interest accrues in the current year at a rate equal to the greater of (1) the average of the annual yields for 10-year United States Treasury Constant Maturities for the previous October and (2) 4.15%. The interest rate for the 2024 plan year was 4.80%.</w:t>
      </w:r>
    </w:p>
    <w:p>
      <w:pPr>
        <w:spacing w:after="0" w:line="16" w:lineRule="exact"/>
        <w:rPr>
          <w:rFonts w:ascii="Arial" w:cs="Arial" w:eastAsia="Arial" w:hAnsi="Arial"/>
          <w:sz w:val="20"/>
          <w:szCs w:val="20"/>
          <w:color w:val="auto"/>
          <w:vertAlign w:val="superscript"/>
        </w:rPr>
      </w:pPr>
    </w:p>
    <w:p>
      <w:pPr>
        <w:ind w:left="920" w:right="60"/>
        <w:spacing w:after="0" w:line="264" w:lineRule="auto"/>
        <w:rPr>
          <w:rFonts w:ascii="Arial" w:cs="Arial" w:eastAsia="Arial" w:hAnsi="Arial"/>
          <w:sz w:val="20"/>
          <w:szCs w:val="20"/>
          <w:color w:val="auto"/>
          <w:vertAlign w:val="superscript"/>
        </w:rPr>
      </w:pPr>
      <w:r>
        <w:rPr>
          <w:rFonts w:ascii="Arial" w:cs="Arial" w:eastAsia="Arial" w:hAnsi="Arial"/>
          <w:sz w:val="13"/>
          <w:szCs w:val="13"/>
          <w:color w:val="auto"/>
        </w:rPr>
        <w:t>Ms. Wilson accrued an excess benefit amount under the Vectren Restoration Plan based on the cash balance formula as if the Internal Revenue Code annual benefit and compensation limits did not apply.</w:t>
      </w:r>
    </w:p>
    <w:p>
      <w:pPr>
        <w:spacing w:after="0" w:line="225"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240"/>
        <w:spacing w:after="0" w:line="225" w:lineRule="auto"/>
        <w:rPr>
          <w:sz w:val="20"/>
          <w:szCs w:val="20"/>
          <w:color w:val="auto"/>
        </w:rPr>
      </w:pPr>
      <w:r>
        <w:rPr>
          <w:rFonts w:ascii="Arial" w:cs="Arial" w:eastAsia="Arial" w:hAnsi="Arial"/>
          <w:sz w:val="13"/>
          <w:szCs w:val="13"/>
          <w:color w:val="auto"/>
        </w:rPr>
        <w:t>The present values for Ms. Wilson were calculated based on benefits accrued through December 31, 2024 payable at age 65. Account balances are assumed to accumulate interest credits until age 65 at 4.15%. Since this is a cash balance benefit, the lump sum payment is equal to the participant’s account balance at retirement. The single life annuity is calculated by dividing the account balance by the present value factor of an immediate single life annuity assuming an interest rate of 5.60%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2024 is 5.60%.</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Savings Plan and Savings Restoration Plans</w:t>
      </w:r>
    </w:p>
    <w:p>
      <w:pPr>
        <w:spacing w:after="0" w:line="112" w:lineRule="exact"/>
        <w:rPr>
          <w:sz w:val="20"/>
          <w:szCs w:val="20"/>
          <w:color w:val="auto"/>
        </w:rPr>
      </w:pPr>
    </w:p>
    <w:p>
      <w:pPr>
        <w:ind w:left="740" w:right="60"/>
        <w:spacing w:after="0" w:line="248" w:lineRule="auto"/>
        <w:rPr>
          <w:sz w:val="20"/>
          <w:szCs w:val="20"/>
          <w:color w:val="auto"/>
        </w:rPr>
      </w:pPr>
      <w:r>
        <w:rPr>
          <w:rFonts w:ascii="Arial" w:cs="Arial" w:eastAsia="Arial" w:hAnsi="Arial"/>
          <w:sz w:val="16"/>
          <w:szCs w:val="16"/>
          <w:color w:val="auto"/>
        </w:rPr>
        <w:t>Under our savings plan, our named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named executive officers contribute under the plan. For our named executive officers hired or rehired on or after January 1, 2020 (Messrs. Lesar, Wells, and Foster) or employed in connection with the Vectren merger (Ms. Wilson), in lieu of eligibility under the defined benefit pension plans, we also make employer nonelective contributions of 3% of eligible pay. Payment options under the savings plan include (i) a 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 Section 409A of the Internal Revenue Code. Benefits under this plan are paid in a lump sum following the participant’s separation from service, and all of our named executive officers participate in this plan. Benefit payments for our named executive officers and 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of the Internal Revenue Code, and benefits are paid under this plan at the same time and in the 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Deferred Compensation Plans</w:t>
      </w:r>
    </w:p>
    <w:p>
      <w:pPr>
        <w:spacing w:after="0" w:line="126" w:lineRule="exact"/>
        <w:rPr>
          <w:sz w:val="20"/>
          <w:szCs w:val="20"/>
          <w:color w:val="auto"/>
        </w:rPr>
      </w:pPr>
    </w:p>
    <w:p>
      <w:pPr>
        <w:ind w:left="740" w:right="260"/>
        <w:spacing w:after="0" w:line="259" w:lineRule="auto"/>
        <w:rPr>
          <w:sz w:val="20"/>
          <w:szCs w:val="20"/>
          <w:color w:val="auto"/>
        </w:rPr>
      </w:pPr>
      <w:r>
        <w:rPr>
          <w:rFonts w:ascii="Arial" w:cs="Arial" w:eastAsia="Arial" w:hAnsi="Arial"/>
          <w:sz w:val="16"/>
          <w:szCs w:val="16"/>
          <w:color w:val="auto"/>
        </w:rPr>
        <w:t>Prior to January 1, 2023, our deferred compensation plan permitted eligible key employees to elect voluntarily each year to defer a percentage of up to 90% of salary and/or short-term incentive compensation. The plan was frozen as of January 1, 2023 such that no further compensation may be deferred under the plan after that date. However, interest continues to accrue on prior deferrals at the rate described below.</w:t>
      </w:r>
    </w:p>
    <w:p>
      <w:pPr>
        <w:spacing w:after="0" w:line="97" w:lineRule="exact"/>
        <w:rPr>
          <w:sz w:val="20"/>
          <w:szCs w:val="20"/>
          <w:color w:val="auto"/>
        </w:rPr>
      </w:pPr>
    </w:p>
    <w:p>
      <w:pPr>
        <w:ind w:left="740" w:right="60"/>
        <w:spacing w:after="0" w:line="256" w:lineRule="auto"/>
        <w:rPr>
          <w:sz w:val="20"/>
          <w:szCs w:val="20"/>
          <w:color w:val="auto"/>
        </w:rPr>
      </w:pPr>
      <w:r>
        <w:rPr>
          <w:rFonts w:ascii="Arial" w:cs="Arial" w:eastAsia="Arial" w:hAnsi="Arial"/>
          <w:sz w:val="16"/>
          <w:szCs w:val="16"/>
          <w:color w:val="auto"/>
        </w:rPr>
        <w:t>To comply with the provisions of Section 409A of the Internal Revenue Code, we established the CenterPoint Energy 2005 Deferred Compensation Plan (CNP Deferred Compensation Plan) for deferrals after December 31, 2004, and this plan is subject to Section 409A of the Internal Revenue Code. Under the terms of our deferred compensation plan, interest accrues on deferrals at a rate adjusted annually equal to the average yield during the year of the Moody’s Long-Term Corporate Bond Index plus two percent.</w:t>
      </w:r>
    </w:p>
    <w:p>
      <w:pPr>
        <w:spacing w:after="0" w:line="112" w:lineRule="exact"/>
        <w:rPr>
          <w:sz w:val="20"/>
          <w:szCs w:val="20"/>
          <w:color w:val="auto"/>
        </w:rPr>
      </w:pPr>
    </w:p>
    <w:p>
      <w:pPr>
        <w:ind w:left="740" w:right="240"/>
        <w:spacing w:after="0" w:line="286" w:lineRule="auto"/>
        <w:rPr>
          <w:sz w:val="20"/>
          <w:szCs w:val="20"/>
          <w:color w:val="auto"/>
        </w:rPr>
      </w:pPr>
      <w:r>
        <w:rPr>
          <w:rFonts w:ascii="Arial" w:cs="Arial" w:eastAsia="Arial" w:hAnsi="Arial"/>
          <w:sz w:val="16"/>
          <w:szCs w:val="16"/>
          <w:color w:val="auto"/>
        </w:rPr>
        <w:t>Participants in the plan could elect at the time of their deferral election to receive distributions of their deferred compensation and interest in three ways:</w:t>
      </w:r>
    </w:p>
    <w:p>
      <w:pPr>
        <w:spacing w:after="0" w:line="48" w:lineRule="exact"/>
        <w:rPr>
          <w:sz w:val="20"/>
          <w:szCs w:val="20"/>
          <w:color w:val="auto"/>
        </w:rPr>
      </w:pPr>
    </w:p>
    <w:p>
      <w:pPr>
        <w:jc w:val="both"/>
        <w:ind w:left="920" w:right="40" w:hanging="189"/>
        <w:spacing w:after="0" w:line="275" w:lineRule="auto"/>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p>
    <w:p>
      <w:pPr>
        <w:spacing w:after="0" w:line="69" w:lineRule="exact"/>
        <w:rPr>
          <w:rFonts w:ascii="Arial" w:cs="Arial" w:eastAsia="Arial" w:hAnsi="Arial"/>
          <w:sz w:val="16"/>
          <w:szCs w:val="16"/>
          <w:color w:val="auto"/>
        </w:rPr>
      </w:pPr>
    </w:p>
    <w:p>
      <w:pPr>
        <w:ind w:left="920" w:hanging="189"/>
        <w:spacing w:after="0"/>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lump sum distribution upon termination of employment on or after age 55; or</w:t>
      </w:r>
    </w:p>
    <w:p>
      <w:pPr>
        <w:spacing w:after="0" w:line="113" w:lineRule="exact"/>
        <w:rPr>
          <w:rFonts w:ascii="Arial" w:cs="Arial" w:eastAsia="Arial" w:hAnsi="Arial"/>
          <w:sz w:val="16"/>
          <w:szCs w:val="16"/>
          <w:color w:val="auto"/>
        </w:rPr>
      </w:pPr>
    </w:p>
    <w:p>
      <w:pPr>
        <w:ind w:left="920" w:hanging="189"/>
        <w:spacing w:after="0"/>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15 annual installments commencing upon termination of employment on or after age 55.</w:t>
      </w:r>
    </w:p>
    <w:p>
      <w:pPr>
        <w:spacing w:after="0" w:line="167" w:lineRule="exact"/>
        <w:rPr>
          <w:sz w:val="20"/>
          <w:szCs w:val="20"/>
          <w:color w:val="auto"/>
        </w:rPr>
      </w:pPr>
    </w:p>
    <w:p>
      <w:pPr>
        <w:jc w:val="both"/>
        <w:ind w:left="740" w:right="40"/>
        <w:spacing w:after="0" w:line="270" w:lineRule="auto"/>
        <w:rPr>
          <w:sz w:val="20"/>
          <w:szCs w:val="20"/>
          <w:color w:val="auto"/>
        </w:rPr>
      </w:pPr>
      <w:r>
        <w:rPr>
          <w:rFonts w:ascii="Arial" w:cs="Arial" w:eastAsia="Arial" w:hAnsi="Arial"/>
          <w:sz w:val="15"/>
          <w:szCs w:val="15"/>
          <w:color w:val="auto"/>
        </w:rPr>
        <w:t>If a participant terminates employment prior to age 55, a lump sum distribution of his or her deferral amount plus interest, calculated using the Moody’s rate and excluding the additional two percentage points, will be made regardless of his or her form of distribution election. If a participant terminates employment on or after age 55, the deferral amount plus interest (including the additional</w:t>
      </w:r>
    </w:p>
    <w:p>
      <w:pPr>
        <w:spacing w:after="0" w:line="1" w:lineRule="exact"/>
        <w:rPr>
          <w:sz w:val="20"/>
          <w:szCs w:val="20"/>
          <w:color w:val="auto"/>
        </w:rPr>
      </w:pPr>
    </w:p>
    <w:p>
      <w:pPr>
        <w:ind w:left="740" w:right="200"/>
        <w:spacing w:after="0" w:line="252" w:lineRule="auto"/>
        <w:rPr>
          <w:sz w:val="20"/>
          <w:szCs w:val="20"/>
          <w:color w:val="auto"/>
        </w:rPr>
      </w:pPr>
      <w:r>
        <w:rPr>
          <w:rFonts w:ascii="Arial" w:cs="Arial" w:eastAsia="Arial" w:hAnsi="Arial"/>
          <w:sz w:val="16"/>
          <w:szCs w:val="16"/>
          <w:color w:val="auto"/>
        </w:rPr>
        <w:t>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w:t>
      </w:r>
    </w:p>
    <w:p>
      <w:pPr>
        <w:spacing w:after="0" w:line="102" w:lineRule="exact"/>
        <w:rPr>
          <w:sz w:val="20"/>
          <w:szCs w:val="20"/>
          <w:color w:val="auto"/>
        </w:rPr>
      </w:pPr>
    </w:p>
    <w:p>
      <w:pPr>
        <w:ind w:left="740" w:right="120"/>
        <w:spacing w:after="0" w:line="282" w:lineRule="auto"/>
        <w:rPr>
          <w:sz w:val="20"/>
          <w:szCs w:val="20"/>
          <w:color w:val="auto"/>
        </w:rPr>
      </w:pPr>
      <w:r>
        <w:rPr>
          <w:rFonts w:ascii="Arial" w:cs="Arial" w:eastAsia="Arial" w:hAnsi="Arial"/>
          <w:sz w:val="15"/>
          <w:szCs w:val="15"/>
          <w:color w:val="auto"/>
        </w:rPr>
        <w:t>In connection with the Vectren merger, we also acquired, and continue to maintain, the Vectren Corporation Nonqualified Deferred Compensation Plan (Vectren Deferred Compensation Plan). Prior to 2020, Ms. Wilson was eligible to participate in this plan, which permitted deferrals of salaries, annual incentives, and long-term incentives. This plan also provided savings restoration credits to restore employer contributions limited under Vectren’s tax-qualified savings plan by the Internal Revenue Code. Beginning</w:t>
      </w:r>
    </w:p>
    <w:p>
      <w:pPr>
        <w:spacing w:after="0" w:line="21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240"/>
        <w:spacing w:after="0" w:line="275" w:lineRule="auto"/>
        <w:rPr>
          <w:sz w:val="20"/>
          <w:szCs w:val="20"/>
          <w:color w:val="auto"/>
        </w:rPr>
      </w:pPr>
      <w:r>
        <w:rPr>
          <w:rFonts w:ascii="Arial" w:cs="Arial" w:eastAsia="Arial" w:hAnsi="Arial"/>
          <w:sz w:val="16"/>
          <w:szCs w:val="16"/>
          <w:color w:val="auto"/>
        </w:rPr>
        <w:t>with 2020, Ms. Wilson is no longer eligible to participate in this plan, and no further compensation deferrals or savings restoration credits were made under the plan for that or any future year. However, earnings continue to accrue on her outstanding account balance, based on deemed investment in one or more investment funds selected by Ms. Wilson.</w:t>
      </w:r>
    </w:p>
    <w:p>
      <w:pPr>
        <w:spacing w:after="0" w:line="97" w:lineRule="exact"/>
        <w:rPr>
          <w:sz w:val="20"/>
          <w:szCs w:val="20"/>
          <w:color w:val="auto"/>
        </w:rPr>
      </w:pPr>
    </w:p>
    <w:p>
      <w:pPr>
        <w:ind w:left="740" w:right="40"/>
        <w:spacing w:after="0" w:line="284" w:lineRule="auto"/>
        <w:rPr>
          <w:sz w:val="20"/>
          <w:szCs w:val="20"/>
          <w:color w:val="auto"/>
        </w:rPr>
      </w:pPr>
      <w:r>
        <w:rPr>
          <w:rFonts w:ascii="Arial" w:cs="Arial" w:eastAsia="Arial" w:hAnsi="Arial"/>
          <w:sz w:val="15"/>
          <w:szCs w:val="15"/>
          <w:color w:val="auto"/>
        </w:rPr>
        <w:t>Participants in the Vectren Deferred Compensation Plan could elect at the time of their deferral election to receive an early distribution of their deferred compensation on a preselected date at least three years after the initial deferral year or upon a change in control. However, distribution of a participant’s outstanding plan benefit occurs in any event upon retirement (on or after age 55 with at least 10 years of service) in a lump sum or, if properly elected, in annual installments over 5, 10, or 15 years; upon non-retirement termination in a lump sum or, if properly elected, in installments over 5 years; upon disability in a lump sum; or upon death in a lump sum. A participant may also request a distribution in the event of an unforeseeable emergency. Benefit payments to be made upon separation from service for our named executive officers and other key employees will be delayed for six months after the separation from service (other than by reason of death) to comply with Section 409A of the Internal Revenue Code.</w:t>
      </w:r>
    </w:p>
    <w:p>
      <w:pPr>
        <w:spacing w:after="0" w:line="95" w:lineRule="exact"/>
        <w:rPr>
          <w:sz w:val="20"/>
          <w:szCs w:val="20"/>
          <w:color w:val="auto"/>
        </w:rPr>
      </w:pPr>
    </w:p>
    <w:p>
      <w:pPr>
        <w:ind w:left="740" w:right="80"/>
        <w:spacing w:after="0" w:line="264" w:lineRule="auto"/>
        <w:rPr>
          <w:sz w:val="20"/>
          <w:szCs w:val="20"/>
          <w:color w:val="auto"/>
        </w:rPr>
      </w:pPr>
      <w:r>
        <w:rPr>
          <w:rFonts w:ascii="Arial" w:cs="Arial" w:eastAsia="Arial" w:hAnsi="Arial"/>
          <w:sz w:val="16"/>
          <w:szCs w:val="16"/>
          <w:color w:val="auto"/>
        </w:rPr>
        <w:t>Each of our deferred compensation plans discussed above is a nonqualified plan, and the participants are general, unsecured creditors of CenterPoint Energy. With respect to the CNP Deferred Compensation Plan, no fund or other assets of CenterPoint Energy have been set aside or segregated to pay benefits under the plan. Please refer to “Rabbi Trust” under “Potential Payments upon Change in Control or Termination” for information on funding of the plan upon a change in control. With respect to the Vectren Deferred Compensation Plan, in connection with the Vectren merger, we acquired, and continue to maintain, a rabbi trust with an independent trustee for the purpose of funding benefits under the plan. The trust is an irrevocable, grantor trust. The assets of the grantor trust are required to be held separate and apart from the other funds of CenterPoint Energy and its subsidiaries but remain subject to the claims of general creditors under applicable state and federal law.</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Nonqualified Deferred Compensation Table</w:t>
      </w:r>
    </w:p>
    <w:p>
      <w:pPr>
        <w:spacing w:after="0" w:line="126" w:lineRule="exact"/>
        <w:rPr>
          <w:sz w:val="20"/>
          <w:szCs w:val="20"/>
          <w:color w:val="auto"/>
        </w:rPr>
      </w:pPr>
    </w:p>
    <w:p>
      <w:pPr>
        <w:ind w:left="740" w:right="40"/>
        <w:spacing w:after="0" w:line="304" w:lineRule="auto"/>
        <w:rPr>
          <w:sz w:val="20"/>
          <w:szCs w:val="20"/>
          <w:color w:val="auto"/>
        </w:rPr>
      </w:pPr>
      <w:r>
        <w:rPr>
          <w:rFonts w:ascii="Arial" w:cs="Arial" w:eastAsia="Arial" w:hAnsi="Arial"/>
          <w:sz w:val="16"/>
          <w:szCs w:val="16"/>
          <w:color w:val="auto"/>
        </w:rPr>
        <w:t>The following table provides information with respect to benefits under the deferred compensation plans and the savings restoration plans.</w:t>
      </w:r>
    </w:p>
    <w:p>
      <w:pPr>
        <w:spacing w:after="0" w:line="12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12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340" w:type="dxa"/>
            <w:vAlign w:val="bottom"/>
            <w:shd w:val="clear" w:color="auto" w:fill="003763"/>
          </w:tcPr>
          <w:p>
            <w:pPr>
              <w:spacing w:after="0"/>
              <w:rPr>
                <w:sz w:val="14"/>
                <w:szCs w:val="14"/>
                <w:color w:val="auto"/>
              </w:rPr>
            </w:pPr>
          </w:p>
        </w:tc>
        <w:tc>
          <w:tcPr>
            <w:tcW w:w="208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84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56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180" w:type="dxa"/>
            <w:vAlign w:val="bottom"/>
            <w:shd w:val="clear" w:color="auto" w:fill="003763"/>
          </w:tcPr>
          <w:p>
            <w:pPr>
              <w:spacing w:after="0"/>
              <w:rPr>
                <w:sz w:val="14"/>
                <w:szCs w:val="14"/>
                <w:color w:val="auto"/>
              </w:rPr>
            </w:pPr>
          </w:p>
        </w:tc>
        <w:tc>
          <w:tcPr>
            <w:tcW w:w="54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48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8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4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340" w:type="dxa"/>
            <w:vAlign w:val="bottom"/>
            <w:shd w:val="clear" w:color="auto" w:fill="003763"/>
          </w:tcPr>
          <w:p>
            <w:pPr>
              <w:spacing w:after="0"/>
              <w:rPr>
                <w:sz w:val="12"/>
                <w:szCs w:val="12"/>
                <w:color w:val="auto"/>
              </w:rPr>
            </w:pPr>
          </w:p>
        </w:tc>
        <w:tc>
          <w:tcPr>
            <w:tcW w:w="2080" w:type="dxa"/>
            <w:vAlign w:val="bottom"/>
            <w:shd w:val="clear" w:color="auto" w:fill="003763"/>
          </w:tcPr>
          <w:p>
            <w:pPr>
              <w:spacing w:after="0"/>
              <w:rPr>
                <w:sz w:val="12"/>
                <w:szCs w:val="12"/>
                <w:color w:val="auto"/>
              </w:rPr>
            </w:pPr>
          </w:p>
        </w:tc>
        <w:tc>
          <w:tcPr>
            <w:tcW w:w="28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Executive</w:t>
            </w:r>
          </w:p>
        </w:tc>
        <w:tc>
          <w:tcPr>
            <w:tcW w:w="220" w:type="dxa"/>
            <w:vAlign w:val="bottom"/>
            <w:shd w:val="clear" w:color="auto" w:fill="003763"/>
          </w:tcPr>
          <w:p>
            <w:pPr>
              <w:spacing w:after="0"/>
              <w:rPr>
                <w:sz w:val="12"/>
                <w:szCs w:val="12"/>
                <w:color w:val="auto"/>
              </w:rPr>
            </w:pPr>
          </w:p>
        </w:tc>
        <w:tc>
          <w:tcPr>
            <w:tcW w:w="8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200" w:type="dxa"/>
            <w:vAlign w:val="bottom"/>
            <w:shd w:val="clear" w:color="auto" w:fill="003763"/>
          </w:tcPr>
          <w:p>
            <w:pPr>
              <w:spacing w:after="0"/>
              <w:rPr>
                <w:sz w:val="12"/>
                <w:szCs w:val="12"/>
                <w:color w:val="auto"/>
              </w:rPr>
            </w:pPr>
          </w:p>
        </w:tc>
        <w:tc>
          <w:tcPr>
            <w:tcW w:w="72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w w:val="99"/>
              </w:rPr>
              <w:t>Aggregate</w:t>
            </w:r>
          </w:p>
        </w:tc>
        <w:tc>
          <w:tcPr>
            <w:tcW w:w="280" w:type="dxa"/>
            <w:vAlign w:val="bottom"/>
            <w:shd w:val="clear" w:color="auto" w:fill="003763"/>
          </w:tcPr>
          <w:p>
            <w:pPr>
              <w:spacing w:after="0"/>
              <w:rPr>
                <w:sz w:val="12"/>
                <w:szCs w:val="12"/>
                <w:color w:val="auto"/>
              </w:rPr>
            </w:pPr>
          </w:p>
        </w:tc>
        <w:tc>
          <w:tcPr>
            <w:tcW w:w="940" w:type="dxa"/>
            <w:vAlign w:val="bottom"/>
            <w:gridSpan w:val="2"/>
            <w:shd w:val="clear" w:color="auto" w:fill="003763"/>
          </w:tcPr>
          <w:p>
            <w:pPr>
              <w:jc w:val="right"/>
              <w:ind w:right="245"/>
              <w:spacing w:after="0"/>
              <w:rPr>
                <w:sz w:val="20"/>
                <w:szCs w:val="20"/>
                <w:color w:val="auto"/>
              </w:rPr>
            </w:pPr>
            <w:r>
              <w:rPr>
                <w:rFonts w:ascii="Arial" w:cs="Arial" w:eastAsia="Arial" w:hAnsi="Arial"/>
                <w:sz w:val="13"/>
                <w:szCs w:val="13"/>
                <w:b w:val="1"/>
                <w:bCs w:val="1"/>
                <w:color w:val="FFFFFF"/>
                <w:w w:val="93"/>
              </w:rPr>
              <w:t>Aggregate</w:t>
            </w:r>
          </w:p>
        </w:tc>
        <w:tc>
          <w:tcPr>
            <w:tcW w:w="8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Balance at</w:t>
            </w:r>
          </w:p>
        </w:tc>
        <w:tc>
          <w:tcPr>
            <w:tcW w:w="14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340" w:type="dxa"/>
            <w:vAlign w:val="bottom"/>
            <w:shd w:val="clear" w:color="auto" w:fill="003763"/>
          </w:tcPr>
          <w:p>
            <w:pPr>
              <w:spacing w:after="0"/>
              <w:rPr>
                <w:sz w:val="14"/>
                <w:szCs w:val="14"/>
                <w:color w:val="auto"/>
              </w:rPr>
            </w:pPr>
          </w:p>
        </w:tc>
        <w:tc>
          <w:tcPr>
            <w:tcW w:w="208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Contributions</w:t>
            </w:r>
          </w:p>
        </w:tc>
        <w:tc>
          <w:tcPr>
            <w:tcW w:w="220" w:type="dxa"/>
            <w:vAlign w:val="bottom"/>
            <w:shd w:val="clear" w:color="auto" w:fill="003763"/>
          </w:tcPr>
          <w:p>
            <w:pPr>
              <w:spacing w:after="0"/>
              <w:rPr>
                <w:sz w:val="14"/>
                <w:szCs w:val="14"/>
                <w:color w:val="auto"/>
              </w:rPr>
            </w:pPr>
          </w:p>
        </w:tc>
        <w:tc>
          <w:tcPr>
            <w:tcW w:w="8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Contributions</w:t>
            </w:r>
          </w:p>
        </w:tc>
        <w:tc>
          <w:tcPr>
            <w:tcW w:w="200" w:type="dxa"/>
            <w:vAlign w:val="bottom"/>
            <w:shd w:val="clear" w:color="auto" w:fill="003763"/>
          </w:tcPr>
          <w:p>
            <w:pPr>
              <w:spacing w:after="0"/>
              <w:rPr>
                <w:sz w:val="14"/>
                <w:szCs w:val="14"/>
                <w:color w:val="auto"/>
              </w:rPr>
            </w:pPr>
          </w:p>
        </w:tc>
        <w:tc>
          <w:tcPr>
            <w:tcW w:w="72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w w:val="95"/>
              </w:rPr>
              <w:t>Earnings in</w:t>
            </w:r>
          </w:p>
        </w:tc>
        <w:tc>
          <w:tcPr>
            <w:tcW w:w="1220" w:type="dxa"/>
            <w:vAlign w:val="bottom"/>
            <w:gridSpan w:val="3"/>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Withdrawals/​</w:t>
            </w:r>
          </w:p>
        </w:tc>
        <w:tc>
          <w:tcPr>
            <w:tcW w:w="84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December 31,</w:t>
            </w:r>
          </w:p>
        </w:tc>
        <w:tc>
          <w:tcPr>
            <w:tcW w:w="14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003763"/>
          </w:tcPr>
          <w:p>
            <w:pPr>
              <w:spacing w:after="0"/>
              <w:rPr>
                <w:sz w:val="12"/>
                <w:szCs w:val="12"/>
                <w:color w:val="auto"/>
              </w:rPr>
            </w:pPr>
          </w:p>
        </w:tc>
        <w:tc>
          <w:tcPr>
            <w:tcW w:w="160" w:type="dxa"/>
            <w:vAlign w:val="bottom"/>
            <w:shd w:val="clear" w:color="auto" w:fill="003763"/>
          </w:tcPr>
          <w:p>
            <w:pPr>
              <w:spacing w:after="0"/>
              <w:rPr>
                <w:sz w:val="12"/>
                <w:szCs w:val="12"/>
                <w:color w:val="auto"/>
              </w:rPr>
            </w:pPr>
          </w:p>
        </w:tc>
        <w:tc>
          <w:tcPr>
            <w:tcW w:w="100" w:type="dxa"/>
            <w:vAlign w:val="bottom"/>
            <w:shd w:val="clear" w:color="auto" w:fill="003763"/>
          </w:tcPr>
          <w:p>
            <w:pPr>
              <w:spacing w:after="0"/>
              <w:rPr>
                <w:sz w:val="12"/>
                <w:szCs w:val="12"/>
                <w:color w:val="auto"/>
              </w:rPr>
            </w:pPr>
          </w:p>
        </w:tc>
        <w:tc>
          <w:tcPr>
            <w:tcW w:w="340" w:type="dxa"/>
            <w:vAlign w:val="bottom"/>
            <w:shd w:val="clear" w:color="auto" w:fill="003763"/>
          </w:tcPr>
          <w:p>
            <w:pPr>
              <w:spacing w:after="0"/>
              <w:rPr>
                <w:sz w:val="12"/>
                <w:szCs w:val="12"/>
                <w:color w:val="auto"/>
              </w:rPr>
            </w:pPr>
          </w:p>
        </w:tc>
        <w:tc>
          <w:tcPr>
            <w:tcW w:w="2080" w:type="dxa"/>
            <w:vAlign w:val="bottom"/>
            <w:shd w:val="clear" w:color="auto" w:fill="003763"/>
          </w:tcPr>
          <w:p>
            <w:pPr>
              <w:spacing w:after="0"/>
              <w:rPr>
                <w:sz w:val="12"/>
                <w:szCs w:val="12"/>
                <w:color w:val="auto"/>
              </w:rPr>
            </w:pPr>
          </w:p>
        </w:tc>
        <w:tc>
          <w:tcPr>
            <w:tcW w:w="280" w:type="dxa"/>
            <w:vAlign w:val="bottom"/>
            <w:shd w:val="clear" w:color="auto" w:fill="003763"/>
          </w:tcPr>
          <w:p>
            <w:pPr>
              <w:spacing w:after="0"/>
              <w:rPr>
                <w:sz w:val="12"/>
                <w:szCs w:val="12"/>
                <w:color w:val="auto"/>
              </w:rPr>
            </w:pPr>
          </w:p>
        </w:tc>
        <w:tc>
          <w:tcPr>
            <w:tcW w:w="8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in 2024</w:t>
            </w:r>
          </w:p>
        </w:tc>
        <w:tc>
          <w:tcPr>
            <w:tcW w:w="220" w:type="dxa"/>
            <w:vAlign w:val="bottom"/>
            <w:shd w:val="clear" w:color="auto" w:fill="003763"/>
          </w:tcPr>
          <w:p>
            <w:pPr>
              <w:spacing w:after="0"/>
              <w:rPr>
                <w:sz w:val="12"/>
                <w:szCs w:val="12"/>
                <w:color w:val="auto"/>
              </w:rPr>
            </w:pPr>
          </w:p>
        </w:tc>
        <w:tc>
          <w:tcPr>
            <w:tcW w:w="840" w:type="dxa"/>
            <w:vAlign w:val="bottom"/>
            <w:gridSpan w:val="2"/>
            <w:shd w:val="clear" w:color="auto" w:fill="003763"/>
          </w:tcPr>
          <w:p>
            <w:pPr>
              <w:ind w:left="160"/>
              <w:spacing w:after="0" w:line="148" w:lineRule="exact"/>
              <w:rPr>
                <w:sz w:val="20"/>
                <w:szCs w:val="20"/>
                <w:color w:val="auto"/>
              </w:rPr>
            </w:pPr>
            <w:r>
              <w:rPr>
                <w:rFonts w:ascii="Arial" w:cs="Arial" w:eastAsia="Arial" w:hAnsi="Arial"/>
                <w:sz w:val="13"/>
                <w:szCs w:val="13"/>
                <w:b w:val="1"/>
                <w:bCs w:val="1"/>
                <w:color w:val="FFFFFF"/>
              </w:rPr>
              <w:t>in 2024</w:t>
            </w:r>
            <w:r>
              <w:rPr>
                <w:rFonts w:ascii="Arial" w:cs="Arial" w:eastAsia="Arial" w:hAnsi="Arial"/>
                <w:sz w:val="16"/>
                <w:szCs w:val="16"/>
                <w:b w:val="1"/>
                <w:bCs w:val="1"/>
                <w:color w:val="FFFFFF"/>
                <w:vertAlign w:val="superscript"/>
              </w:rPr>
              <w:t>(1)</w:t>
            </w:r>
          </w:p>
        </w:tc>
        <w:tc>
          <w:tcPr>
            <w:tcW w:w="200" w:type="dxa"/>
            <w:vAlign w:val="bottom"/>
            <w:shd w:val="clear" w:color="auto" w:fill="003763"/>
          </w:tcPr>
          <w:p>
            <w:pPr>
              <w:spacing w:after="0"/>
              <w:rPr>
                <w:sz w:val="12"/>
                <w:szCs w:val="12"/>
                <w:color w:val="auto"/>
              </w:rPr>
            </w:pPr>
          </w:p>
        </w:tc>
        <w:tc>
          <w:tcPr>
            <w:tcW w:w="180" w:type="dxa"/>
            <w:vAlign w:val="bottom"/>
            <w:shd w:val="clear" w:color="auto" w:fill="003763"/>
          </w:tcPr>
          <w:p>
            <w:pPr>
              <w:spacing w:after="0"/>
              <w:rPr>
                <w:sz w:val="12"/>
                <w:szCs w:val="12"/>
                <w:color w:val="auto"/>
              </w:rPr>
            </w:pPr>
          </w:p>
        </w:tc>
        <w:tc>
          <w:tcPr>
            <w:tcW w:w="540" w:type="dxa"/>
            <w:vAlign w:val="bottom"/>
            <w:shd w:val="clear" w:color="auto" w:fill="003763"/>
          </w:tcPr>
          <w:p>
            <w:pPr>
              <w:jc w:val="right"/>
              <w:ind w:right="108"/>
              <w:spacing w:after="0" w:line="148" w:lineRule="exact"/>
              <w:rPr>
                <w:sz w:val="20"/>
                <w:szCs w:val="20"/>
                <w:color w:val="auto"/>
              </w:rPr>
            </w:pPr>
            <w:r>
              <w:rPr>
                <w:rFonts w:ascii="Arial" w:cs="Arial" w:eastAsia="Arial" w:hAnsi="Arial"/>
                <w:sz w:val="13"/>
                <w:szCs w:val="13"/>
                <w:b w:val="1"/>
                <w:bCs w:val="1"/>
                <w:color w:val="FFFFFF"/>
                <w:w w:val="80"/>
              </w:rPr>
              <w:t>2024</w:t>
            </w:r>
            <w:r>
              <w:rPr>
                <w:rFonts w:ascii="Arial" w:cs="Arial" w:eastAsia="Arial" w:hAnsi="Arial"/>
                <w:sz w:val="16"/>
                <w:szCs w:val="16"/>
                <w:b w:val="1"/>
                <w:bCs w:val="1"/>
                <w:color w:val="FFFFFF"/>
                <w:w w:val="80"/>
                <w:vertAlign w:val="superscript"/>
              </w:rPr>
              <w:t>(2)</w:t>
            </w:r>
          </w:p>
        </w:tc>
        <w:tc>
          <w:tcPr>
            <w:tcW w:w="1220" w:type="dxa"/>
            <w:vAlign w:val="bottom"/>
            <w:gridSpan w:val="3"/>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Distributions</w:t>
            </w:r>
          </w:p>
        </w:tc>
        <w:tc>
          <w:tcPr>
            <w:tcW w:w="220" w:type="dxa"/>
            <w:vAlign w:val="bottom"/>
            <w:shd w:val="clear" w:color="auto" w:fill="003763"/>
          </w:tcPr>
          <w:p>
            <w:pPr>
              <w:spacing w:after="0"/>
              <w:rPr>
                <w:sz w:val="12"/>
                <w:szCs w:val="12"/>
                <w:color w:val="auto"/>
              </w:rPr>
            </w:pPr>
          </w:p>
        </w:tc>
        <w:tc>
          <w:tcPr>
            <w:tcW w:w="620" w:type="dxa"/>
            <w:vAlign w:val="bottom"/>
            <w:shd w:val="clear" w:color="auto" w:fill="003763"/>
          </w:tcPr>
          <w:p>
            <w:pPr>
              <w:jc w:val="center"/>
              <w:ind w:right="147"/>
              <w:spacing w:after="0"/>
              <w:rPr>
                <w:sz w:val="20"/>
                <w:szCs w:val="20"/>
                <w:color w:val="auto"/>
              </w:rPr>
            </w:pPr>
            <w:r>
              <w:rPr>
                <w:rFonts w:ascii="Arial" w:cs="Arial" w:eastAsia="Arial" w:hAnsi="Arial"/>
                <w:sz w:val="13"/>
                <w:szCs w:val="13"/>
                <w:b w:val="1"/>
                <w:bCs w:val="1"/>
                <w:color w:val="FFFFFF"/>
                <w:w w:val="96"/>
              </w:rPr>
              <w:t>2024</w:t>
            </w:r>
          </w:p>
        </w:tc>
        <w:tc>
          <w:tcPr>
            <w:tcW w:w="14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280" w:type="dxa"/>
            <w:vAlign w:val="bottom"/>
            <w:tcBorders>
              <w:bottom w:val="single" w:sz="8" w:color="auto"/>
            </w:tcBorders>
            <w:shd w:val="clear" w:color="auto" w:fill="003763"/>
          </w:tcPr>
          <w:p>
            <w:pPr>
              <w:ind w:left="4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Name</w:t>
            </w:r>
          </w:p>
        </w:tc>
        <w:tc>
          <w:tcPr>
            <w:tcW w:w="600" w:type="dxa"/>
            <w:vAlign w:val="bottom"/>
            <w:tcBorders>
              <w:bottom w:val="single" w:sz="8" w:color="auto"/>
            </w:tcBorders>
            <w:gridSpan w:val="3"/>
            <w:shd w:val="clear" w:color="auto" w:fill="003763"/>
          </w:tcPr>
          <w:p>
            <w:pPr>
              <w:ind w:left="100"/>
              <w:spacing w:after="0"/>
              <w:rPr>
                <w:sz w:val="20"/>
                <w:szCs w:val="20"/>
                <w:color w:val="auto"/>
              </w:rPr>
            </w:pPr>
            <w:r>
              <w:rPr>
                <w:rFonts w:ascii="Arial" w:cs="Arial" w:eastAsia="Arial" w:hAnsi="Arial"/>
                <w:sz w:val="13"/>
                <w:szCs w:val="13"/>
                <w:b w:val="1"/>
                <w:bCs w:val="1"/>
                <w:color w:val="FFFFFF"/>
              </w:rPr>
              <w:t>​ ​</w:t>
            </w:r>
          </w:p>
        </w:tc>
        <w:tc>
          <w:tcPr>
            <w:tcW w:w="2080" w:type="dxa"/>
            <w:vAlign w:val="bottom"/>
            <w:tcBorders>
              <w:bottom w:val="single" w:sz="8" w:color="auto"/>
            </w:tcBorders>
            <w:shd w:val="clear" w:color="auto" w:fill="003763"/>
          </w:tcPr>
          <w:p>
            <w:pPr>
              <w:jc w:val="right"/>
              <w:ind w:right="767"/>
              <w:spacing w:after="0"/>
              <w:rPr>
                <w:sz w:val="20"/>
                <w:szCs w:val="20"/>
                <w:color w:val="auto"/>
              </w:rPr>
            </w:pPr>
            <w:r>
              <w:rPr>
                <w:rFonts w:ascii="Arial" w:cs="Arial" w:eastAsia="Arial" w:hAnsi="Arial"/>
                <w:sz w:val="13"/>
                <w:szCs w:val="13"/>
                <w:b w:val="1"/>
                <w:bCs w:val="1"/>
                <w:color w:val="FFFFFF"/>
              </w:rPr>
              <w:t>Plan Name</w:t>
            </w:r>
          </w:p>
        </w:tc>
        <w:tc>
          <w:tcPr>
            <w:tcW w:w="280" w:type="dxa"/>
            <w:vAlign w:val="bottom"/>
            <w:tcBorders>
              <w:bottom w:val="single" w:sz="8" w:color="auto"/>
            </w:tcBorders>
            <w:shd w:val="clear" w:color="auto" w:fill="003763"/>
          </w:tcPr>
          <w:p>
            <w:pPr>
              <w:ind w:left="140"/>
              <w:spacing w:after="0"/>
              <w:rPr>
                <w:sz w:val="20"/>
                <w:szCs w:val="20"/>
                <w:color w:val="auto"/>
              </w:rPr>
            </w:pPr>
            <w:r>
              <w:rPr>
                <w:rFonts w:ascii="Arial" w:cs="Arial" w:eastAsia="Arial" w:hAnsi="Arial"/>
                <w:sz w:val="13"/>
                <w:szCs w:val="13"/>
                <w:b w:val="1"/>
                <w:bCs w:val="1"/>
                <w:color w:val="FFFFFF"/>
              </w:rPr>
              <w:t>​ ​</w:t>
            </w:r>
          </w:p>
        </w:tc>
        <w:tc>
          <w:tcPr>
            <w:tcW w:w="840" w:type="dxa"/>
            <w:vAlign w:val="bottom"/>
            <w:tcBorders>
              <w:bottom w:val="single" w:sz="8" w:color="auto"/>
            </w:tcBorders>
            <w:shd w:val="clear" w:color="auto" w:fill="003763"/>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280" w:type="dxa"/>
            <w:vAlign w:val="bottom"/>
            <w:tcBorders>
              <w:bottom w:val="single" w:sz="8" w:color="auto"/>
            </w:tcBorders>
            <w:shd w:val="clear" w:color="auto" w:fill="003763"/>
          </w:tcPr>
          <w:p>
            <w:pPr>
              <w:spacing w:after="0"/>
              <w:rPr>
                <w:sz w:val="19"/>
                <w:szCs w:val="19"/>
                <w:color w:val="auto"/>
              </w:rPr>
            </w:pPr>
          </w:p>
        </w:tc>
        <w:tc>
          <w:tcPr>
            <w:tcW w:w="560" w:type="dxa"/>
            <w:vAlign w:val="bottom"/>
            <w:tcBorders>
              <w:bottom w:val="single" w:sz="8" w:color="auto"/>
            </w:tcBorders>
            <w:shd w:val="clear" w:color="auto" w:fill="003763"/>
          </w:tcPr>
          <w:p>
            <w:pPr>
              <w:jc w:val="center"/>
              <w:ind w:right="186"/>
              <w:spacing w:after="0"/>
              <w:rPr>
                <w:sz w:val="20"/>
                <w:szCs w:val="20"/>
                <w:color w:val="auto"/>
              </w:rPr>
            </w:pPr>
            <w:r>
              <w:rPr>
                <w:rFonts w:ascii="Arial" w:cs="Arial" w:eastAsia="Arial" w:hAnsi="Arial"/>
                <w:sz w:val="13"/>
                <w:szCs w:val="13"/>
                <w:b w:val="1"/>
                <w:bCs w:val="1"/>
                <w:color w:val="FFFFFF"/>
                <w:w w:val="87"/>
              </w:rPr>
              <w:t>($)</w:t>
            </w:r>
          </w:p>
        </w:tc>
        <w:tc>
          <w:tcPr>
            <w:tcW w:w="20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80" w:type="dxa"/>
            <w:vAlign w:val="bottom"/>
            <w:tcBorders>
              <w:bottom w:val="single" w:sz="8" w:color="auto"/>
            </w:tcBorders>
            <w:shd w:val="clear" w:color="auto" w:fill="003763"/>
          </w:tcPr>
          <w:p>
            <w:pPr>
              <w:spacing w:after="0"/>
              <w:rPr>
                <w:sz w:val="19"/>
                <w:szCs w:val="19"/>
                <w:color w:val="auto"/>
              </w:rPr>
            </w:pPr>
          </w:p>
        </w:tc>
        <w:tc>
          <w:tcPr>
            <w:tcW w:w="540" w:type="dxa"/>
            <w:vAlign w:val="bottom"/>
            <w:tcBorders>
              <w:bottom w:val="single" w:sz="8" w:color="auto"/>
            </w:tcBorders>
            <w:shd w:val="clear" w:color="auto" w:fill="003763"/>
          </w:tcPr>
          <w:p>
            <w:pPr>
              <w:jc w:val="right"/>
              <w:ind w:right="208"/>
              <w:spacing w:after="0"/>
              <w:rPr>
                <w:sz w:val="20"/>
                <w:szCs w:val="20"/>
                <w:color w:val="auto"/>
              </w:rPr>
            </w:pPr>
            <w:r>
              <w:rPr>
                <w:rFonts w:ascii="Arial" w:cs="Arial" w:eastAsia="Arial" w:hAnsi="Arial"/>
                <w:sz w:val="13"/>
                <w:szCs w:val="13"/>
                <w:b w:val="1"/>
                <w:bCs w:val="1"/>
                <w:color w:val="FFFFFF"/>
              </w:rPr>
              <w:t>($)</w:t>
            </w:r>
          </w:p>
        </w:tc>
        <w:tc>
          <w:tcPr>
            <w:tcW w:w="280" w:type="dxa"/>
            <w:vAlign w:val="bottom"/>
            <w:tcBorders>
              <w:bottom w:val="single" w:sz="8" w:color="auto"/>
            </w:tcBorders>
            <w:shd w:val="clear" w:color="auto" w:fill="003763"/>
          </w:tcPr>
          <w:p>
            <w:pPr>
              <w:jc w:val="center"/>
              <w:spacing w:after="0"/>
              <w:rPr>
                <w:sz w:val="20"/>
                <w:szCs w:val="20"/>
                <w:color w:val="auto"/>
              </w:rPr>
            </w:pPr>
            <w:r>
              <w:rPr>
                <w:rFonts w:ascii="Arial" w:cs="Arial" w:eastAsia="Arial" w:hAnsi="Arial"/>
                <w:sz w:val="13"/>
                <w:szCs w:val="13"/>
                <w:b w:val="1"/>
                <w:bCs w:val="1"/>
                <w:color w:val="FFFFFF"/>
              </w:rPr>
              <w:t>​ ​</w:t>
            </w:r>
          </w:p>
        </w:tc>
        <w:tc>
          <w:tcPr>
            <w:tcW w:w="480" w:type="dxa"/>
            <w:vAlign w:val="bottom"/>
            <w:tcBorders>
              <w:bottom w:val="single" w:sz="8" w:color="auto"/>
            </w:tcBorders>
            <w:shd w:val="clear" w:color="auto" w:fill="003763"/>
          </w:tcPr>
          <w:p>
            <w:pPr>
              <w:jc w:val="center"/>
              <w:ind w:left="117"/>
              <w:spacing w:after="0"/>
              <w:rPr>
                <w:sz w:val="20"/>
                <w:szCs w:val="20"/>
                <w:color w:val="auto"/>
              </w:rPr>
            </w:pPr>
            <w:r>
              <w:rPr>
                <w:rFonts w:ascii="Arial" w:cs="Arial" w:eastAsia="Arial" w:hAnsi="Arial"/>
                <w:sz w:val="13"/>
                <w:szCs w:val="13"/>
                <w:b w:val="1"/>
                <w:bCs w:val="1"/>
                <w:color w:val="FFFFFF"/>
                <w:w w:val="87"/>
              </w:rPr>
              <w:t>($)</w:t>
            </w:r>
          </w:p>
        </w:tc>
        <w:tc>
          <w:tcPr>
            <w:tcW w:w="46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220" w:type="dxa"/>
            <w:vAlign w:val="bottom"/>
            <w:tcBorders>
              <w:bottom w:val="single" w:sz="8" w:color="auto"/>
            </w:tcBorders>
            <w:shd w:val="clear" w:color="auto" w:fill="003763"/>
          </w:tcPr>
          <w:p>
            <w:pPr>
              <w:spacing w:after="0"/>
              <w:rPr>
                <w:sz w:val="19"/>
                <w:szCs w:val="19"/>
                <w:color w:val="auto"/>
              </w:rPr>
            </w:pPr>
          </w:p>
        </w:tc>
        <w:tc>
          <w:tcPr>
            <w:tcW w:w="620" w:type="dxa"/>
            <w:vAlign w:val="bottom"/>
            <w:tcBorders>
              <w:bottom w:val="single" w:sz="8" w:color="auto"/>
            </w:tcBorders>
            <w:shd w:val="clear" w:color="auto" w:fill="003763"/>
          </w:tcPr>
          <w:p>
            <w:pPr>
              <w:jc w:val="center"/>
              <w:ind w:right="127"/>
              <w:spacing w:after="0"/>
              <w:rPr>
                <w:sz w:val="20"/>
                <w:szCs w:val="20"/>
                <w:color w:val="auto"/>
              </w:rPr>
            </w:pPr>
            <w:r>
              <w:rPr>
                <w:rFonts w:ascii="Arial" w:cs="Arial" w:eastAsia="Arial" w:hAnsi="Arial"/>
                <w:sz w:val="13"/>
                <w:szCs w:val="13"/>
                <w:b w:val="1"/>
                <w:bCs w:val="1"/>
                <w:color w:val="FFFFFF"/>
                <w:w w:val="87"/>
              </w:rPr>
              <w:t>($)</w:t>
            </w:r>
          </w:p>
        </w:tc>
        <w:tc>
          <w:tcPr>
            <w:tcW w:w="140" w:type="dxa"/>
            <w:vAlign w:val="bottom"/>
            <w:tcBorders>
              <w:bottom w:val="single" w:sz="8" w:color="auto"/>
            </w:tcBorders>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30"/>
        </w:trPr>
        <w:tc>
          <w:tcPr>
            <w:tcW w:w="1280" w:type="dxa"/>
            <w:vAlign w:val="bottom"/>
          </w:tcPr>
          <w:p>
            <w:pPr>
              <w:ind w:left="40"/>
              <w:spacing w:after="0"/>
              <w:rPr>
                <w:sz w:val="20"/>
                <w:szCs w:val="20"/>
                <w:color w:val="auto"/>
              </w:rPr>
            </w:pPr>
            <w:r>
              <w:rPr>
                <w:rFonts w:ascii="Arial" w:cs="Arial" w:eastAsia="Arial" w:hAnsi="Arial"/>
                <w:sz w:val="15"/>
                <w:szCs w:val="15"/>
                <w:color w:val="auto"/>
              </w:rPr>
              <w:t>​Wells</w:t>
            </w:r>
          </w:p>
        </w:tc>
        <w:tc>
          <w:tcPr>
            <w:tcW w:w="600" w:type="dxa"/>
            <w:vAlign w:val="bottom"/>
            <w:gridSpan w:val="3"/>
          </w:tcPr>
          <w:p>
            <w:pPr>
              <w:ind w:left="100"/>
              <w:spacing w:after="0"/>
              <w:rPr>
                <w:sz w:val="20"/>
                <w:szCs w:val="20"/>
                <w:color w:val="auto"/>
              </w:rPr>
            </w:pPr>
            <w:r>
              <w:rPr>
                <w:rFonts w:ascii="Arial" w:cs="Arial" w:eastAsia="Arial" w:hAnsi="Arial"/>
                <w:sz w:val="15"/>
                <w:szCs w:val="15"/>
                <w:color w:val="auto"/>
              </w:rPr>
              <w:t>​ ​CNP</w:t>
            </w:r>
          </w:p>
        </w:tc>
        <w:tc>
          <w:tcPr>
            <w:tcW w:w="2080" w:type="dxa"/>
            <w:vAlign w:val="bottom"/>
          </w:tcPr>
          <w:p>
            <w:pPr>
              <w:jc w:val="right"/>
              <w:ind w:right="307"/>
              <w:spacing w:after="0"/>
              <w:rPr>
                <w:sz w:val="20"/>
                <w:szCs w:val="20"/>
                <w:color w:val="auto"/>
              </w:rPr>
            </w:pPr>
            <w:r>
              <w:rPr>
                <w:rFonts w:ascii="Arial" w:cs="Arial" w:eastAsia="Arial" w:hAnsi="Arial"/>
                <w:sz w:val="15"/>
                <w:szCs w:val="15"/>
                <w:color w:val="auto"/>
                <w:w w:val="99"/>
              </w:rPr>
              <w:t>Savings Restoration Plan</w:t>
            </w:r>
          </w:p>
        </w:tc>
        <w:tc>
          <w:tcPr>
            <w:tcW w:w="280" w:type="dxa"/>
            <w:vAlign w:val="bottom"/>
          </w:tcPr>
          <w:p>
            <w:pPr>
              <w:ind w:left="140"/>
              <w:spacing w:after="0"/>
              <w:rPr>
                <w:sz w:val="20"/>
                <w:szCs w:val="20"/>
                <w:color w:val="auto"/>
              </w:rPr>
            </w:pPr>
            <w:r>
              <w:rPr>
                <w:rFonts w:ascii="Arial" w:cs="Arial" w:eastAsia="Arial" w:hAnsi="Arial"/>
                <w:sz w:val="15"/>
                <w:szCs w:val="15"/>
                <w:color w:val="auto"/>
              </w:rPr>
              <w:t>​ ​</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249,129</w:t>
            </w:r>
          </w:p>
        </w:tc>
        <w:tc>
          <w:tcPr>
            <w:tcW w:w="200" w:type="dxa"/>
            <w:vAlign w:val="bottom"/>
          </w:tcPr>
          <w:p>
            <w:pPr>
              <w:jc w:val="right"/>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76,078</w:t>
            </w:r>
          </w:p>
        </w:tc>
        <w:tc>
          <w:tcPr>
            <w:tcW w:w="280" w:type="dxa"/>
            <w:vAlign w:val="bottom"/>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 ​​ ​</w:t>
            </w:r>
          </w:p>
        </w:tc>
        <w:tc>
          <w:tcPr>
            <w:tcW w:w="840" w:type="dxa"/>
            <w:vAlign w:val="bottom"/>
            <w:gridSpan w:val="2"/>
          </w:tcPr>
          <w:p>
            <w:pPr>
              <w:jc w:val="right"/>
              <w:ind w:right="4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675,116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1280" w:type="dxa"/>
            <w:vAlign w:val="bottom"/>
            <w:tcBorders>
              <w:bottom w:val="single" w:sz="8" w:color="CCCCCC"/>
            </w:tcBorders>
          </w:tcPr>
          <w:p>
            <w:pPr>
              <w:spacing w:after="0"/>
              <w:rPr>
                <w:sz w:val="4"/>
                <w:szCs w:val="4"/>
                <w:color w:val="auto"/>
              </w:rPr>
            </w:pPr>
          </w:p>
        </w:tc>
        <w:tc>
          <w:tcPr>
            <w:tcW w:w="160" w:type="dxa"/>
            <w:vAlign w:val="bottom"/>
            <w:tcBorders>
              <w:bottom w:val="single" w:sz="8" w:color="CCCCCC"/>
            </w:tcBorders>
          </w:tcPr>
          <w:p>
            <w:pPr>
              <w:spacing w:after="0"/>
              <w:rPr>
                <w:sz w:val="4"/>
                <w:szCs w:val="4"/>
                <w:color w:val="auto"/>
              </w:rPr>
            </w:pPr>
          </w:p>
        </w:tc>
        <w:tc>
          <w:tcPr>
            <w:tcW w:w="100" w:type="dxa"/>
            <w:vAlign w:val="bottom"/>
            <w:tcBorders>
              <w:bottom w:val="single" w:sz="8" w:color="CCCCCC"/>
            </w:tcBorders>
          </w:tcPr>
          <w:p>
            <w:pPr>
              <w:spacing w:after="0"/>
              <w:rPr>
                <w:sz w:val="4"/>
                <w:szCs w:val="4"/>
                <w:color w:val="auto"/>
              </w:rPr>
            </w:pPr>
          </w:p>
        </w:tc>
        <w:tc>
          <w:tcPr>
            <w:tcW w:w="340" w:type="dxa"/>
            <w:vAlign w:val="bottom"/>
            <w:tcBorders>
              <w:bottom w:val="single" w:sz="8" w:color="CCCCCC"/>
            </w:tcBorders>
          </w:tcPr>
          <w:p>
            <w:pPr>
              <w:spacing w:after="0"/>
              <w:rPr>
                <w:sz w:val="4"/>
                <w:szCs w:val="4"/>
                <w:color w:val="auto"/>
              </w:rPr>
            </w:pPr>
          </w:p>
        </w:tc>
        <w:tc>
          <w:tcPr>
            <w:tcW w:w="2080" w:type="dxa"/>
            <w:vAlign w:val="bottom"/>
            <w:tcBorders>
              <w:bottom w:val="single" w:sz="8" w:color="CCCCCC"/>
            </w:tcBorders>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tcPr>
          <w:p>
            <w:pPr>
              <w:spacing w:after="0"/>
              <w:rPr>
                <w:sz w:val="4"/>
                <w:szCs w:val="4"/>
                <w:color w:val="auto"/>
              </w:rPr>
            </w:pPr>
          </w:p>
        </w:tc>
        <w:tc>
          <w:tcPr>
            <w:tcW w:w="22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gridSpan w:val="2"/>
          </w:tcPr>
          <w:p>
            <w:pPr>
              <w:spacing w:after="0"/>
              <w:rPr>
                <w:sz w:val="4"/>
                <w:szCs w:val="4"/>
                <w:color w:val="auto"/>
              </w:rPr>
            </w:pPr>
          </w:p>
        </w:tc>
        <w:tc>
          <w:tcPr>
            <w:tcW w:w="200" w:type="dxa"/>
            <w:vAlign w:val="bottom"/>
            <w:tcBorders>
              <w:bottom w:val="single" w:sz="8" w:color="CCCCCC"/>
            </w:tcBorders>
          </w:tcPr>
          <w:p>
            <w:pPr>
              <w:spacing w:after="0"/>
              <w:rPr>
                <w:sz w:val="4"/>
                <w:szCs w:val="4"/>
                <w:color w:val="auto"/>
              </w:rPr>
            </w:pPr>
          </w:p>
        </w:tc>
        <w:tc>
          <w:tcPr>
            <w:tcW w:w="720" w:type="dxa"/>
            <w:vAlign w:val="bottom"/>
            <w:tcBorders>
              <w:bottom w:val="single" w:sz="8" w:color="CCCCCC"/>
            </w:tcBorders>
            <w:gridSpan w:val="2"/>
          </w:tcPr>
          <w:p>
            <w:pPr>
              <w:spacing w:after="0"/>
              <w:rPr>
                <w:sz w:val="4"/>
                <w:szCs w:val="4"/>
                <w:color w:val="auto"/>
              </w:rPr>
            </w:pPr>
          </w:p>
        </w:tc>
        <w:tc>
          <w:tcPr>
            <w:tcW w:w="280" w:type="dxa"/>
            <w:vAlign w:val="bottom"/>
            <w:tcBorders>
              <w:bottom w:val="single" w:sz="8" w:color="CCCCCC"/>
            </w:tcBorders>
          </w:tcPr>
          <w:p>
            <w:pPr>
              <w:spacing w:after="0"/>
              <w:rPr>
                <w:sz w:val="4"/>
                <w:szCs w:val="4"/>
                <w:color w:val="auto"/>
              </w:rPr>
            </w:pPr>
          </w:p>
        </w:tc>
        <w:tc>
          <w:tcPr>
            <w:tcW w:w="480" w:type="dxa"/>
            <w:vAlign w:val="bottom"/>
            <w:tcBorders>
              <w:bottom w:val="single" w:sz="8" w:color="CCCCCC"/>
            </w:tcBorders>
          </w:tcPr>
          <w:p>
            <w:pPr>
              <w:spacing w:after="0"/>
              <w:rPr>
                <w:sz w:val="4"/>
                <w:szCs w:val="4"/>
                <w:color w:val="auto"/>
              </w:rPr>
            </w:pPr>
          </w:p>
        </w:tc>
        <w:tc>
          <w:tcPr>
            <w:tcW w:w="460" w:type="dxa"/>
            <w:vAlign w:val="bottom"/>
            <w:tcBorders>
              <w:bottom w:val="single" w:sz="8" w:color="CCCCCC"/>
            </w:tcBorders>
          </w:tcPr>
          <w:p>
            <w:pPr>
              <w:spacing w:after="0"/>
              <w:rPr>
                <w:sz w:val="4"/>
                <w:szCs w:val="4"/>
                <w:color w:val="auto"/>
              </w:rPr>
            </w:pPr>
          </w:p>
        </w:tc>
        <w:tc>
          <w:tcPr>
            <w:tcW w:w="840" w:type="dxa"/>
            <w:vAlign w:val="bottom"/>
            <w:tcBorders>
              <w:bottom w:val="single" w:sz="8" w:color="CCCCCC"/>
            </w:tcBorders>
            <w:gridSpan w:val="2"/>
          </w:tcPr>
          <w:p>
            <w:pPr>
              <w:spacing w:after="0"/>
              <w:rPr>
                <w:sz w:val="4"/>
                <w:szCs w:val="4"/>
                <w:color w:val="auto"/>
              </w:rPr>
            </w:pPr>
          </w:p>
        </w:tc>
        <w:tc>
          <w:tcPr>
            <w:tcW w:w="1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28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5"/>
                <w:szCs w:val="15"/>
                <w:color w:val="auto"/>
              </w:rPr>
              <w:t>​Foster</w:t>
            </w:r>
          </w:p>
        </w:tc>
        <w:tc>
          <w:tcPr>
            <w:tcW w:w="600" w:type="dxa"/>
            <w:vAlign w:val="bottom"/>
            <w:tcBorders>
              <w:bottom w:val="single" w:sz="8" w:color="F2F2F2"/>
            </w:tcBorders>
            <w:gridSpan w:val="3"/>
            <w:shd w:val="clear" w:color="auto" w:fill="F2F2F2"/>
          </w:tcPr>
          <w:p>
            <w:pPr>
              <w:ind w:left="100"/>
              <w:spacing w:after="0"/>
              <w:rPr>
                <w:sz w:val="20"/>
                <w:szCs w:val="20"/>
                <w:color w:val="auto"/>
              </w:rPr>
            </w:pPr>
            <w:r>
              <w:rPr>
                <w:rFonts w:ascii="Arial" w:cs="Arial" w:eastAsia="Arial" w:hAnsi="Arial"/>
                <w:sz w:val="15"/>
                <w:szCs w:val="15"/>
                <w:color w:val="auto"/>
              </w:rPr>
              <w:t>​ ​CNP</w:t>
            </w:r>
          </w:p>
        </w:tc>
        <w:tc>
          <w:tcPr>
            <w:tcW w:w="2080" w:type="dxa"/>
            <w:vAlign w:val="bottom"/>
            <w:tcBorders>
              <w:bottom w:val="single" w:sz="8" w:color="F2F2F2"/>
            </w:tcBorders>
            <w:shd w:val="clear" w:color="auto" w:fill="F2F2F2"/>
          </w:tcPr>
          <w:p>
            <w:pPr>
              <w:jc w:val="right"/>
              <w:ind w:right="307"/>
              <w:spacing w:after="0"/>
              <w:rPr>
                <w:sz w:val="20"/>
                <w:szCs w:val="20"/>
                <w:color w:val="auto"/>
              </w:rPr>
            </w:pPr>
            <w:r>
              <w:rPr>
                <w:rFonts w:ascii="Arial" w:cs="Arial" w:eastAsia="Arial" w:hAnsi="Arial"/>
                <w:sz w:val="15"/>
                <w:szCs w:val="15"/>
                <w:color w:val="auto"/>
                <w:w w:val="99"/>
              </w:rPr>
              <w:t>Savings Restoration Plan</w:t>
            </w:r>
          </w:p>
        </w:tc>
        <w:tc>
          <w:tcPr>
            <w:tcW w:w="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840" w:type="dxa"/>
            <w:vAlign w:val="bottom"/>
            <w:tcBorders>
              <w:bottom w:val="single" w:sz="8" w:color="F2F2F2"/>
            </w:tcBorders>
            <w:gridSpan w:val="2"/>
            <w:shd w:val="clear" w:color="auto" w:fill="F2F2F2"/>
          </w:tcPr>
          <w:p>
            <w:pPr>
              <w:jc w:val="right"/>
              <w:ind w:right="66"/>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121,794</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F2F2F2"/>
            </w:tcBorders>
            <w:gridSpan w:val="2"/>
            <w:shd w:val="clear" w:color="auto" w:fill="F2F2F2"/>
          </w:tcPr>
          <w:p>
            <w:pPr>
              <w:jc w:val="right"/>
              <w:ind w:right="4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14,045</w:t>
            </w:r>
          </w:p>
        </w:tc>
        <w:tc>
          <w:tcPr>
            <w:tcW w:w="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Borders>
              <w:bottom w:val="single" w:sz="8" w:color="F2F2F2"/>
            </w:tcBorders>
            <w:shd w:val="clear" w:color="auto" w:fill="F2F2F2"/>
          </w:tcPr>
          <w:p>
            <w:pPr>
              <w:spacing w:after="0"/>
              <w:rPr>
                <w:sz w:val="24"/>
                <w:szCs w:val="24"/>
                <w:color w:val="auto"/>
              </w:rPr>
            </w:pPr>
          </w:p>
        </w:tc>
        <w:tc>
          <w:tcPr>
            <w:tcW w:w="4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 ​</w:t>
            </w:r>
          </w:p>
        </w:tc>
        <w:tc>
          <w:tcPr>
            <w:tcW w:w="840" w:type="dxa"/>
            <w:vAlign w:val="bottom"/>
            <w:tcBorders>
              <w:bottom w:val="single" w:sz="8" w:color="F2F2F2"/>
            </w:tcBorders>
            <w:gridSpan w:val="2"/>
            <w:shd w:val="clear" w:color="auto" w:fill="F2F2F2"/>
          </w:tcPr>
          <w:p>
            <w:pPr>
              <w:jc w:val="right"/>
              <w:ind w:right="4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146,550</w:t>
            </w:r>
          </w:p>
        </w:tc>
        <w:tc>
          <w:tcPr>
            <w:tcW w:w="1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28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​Karuturi</w:t>
            </w:r>
          </w:p>
        </w:tc>
        <w:tc>
          <w:tcPr>
            <w:tcW w:w="600" w:type="dxa"/>
            <w:vAlign w:val="bottom"/>
            <w:tcBorders>
              <w:top w:val="single" w:sz="8" w:color="CCCCCC"/>
            </w:tcBorders>
            <w:gridSpan w:val="3"/>
          </w:tcPr>
          <w:p>
            <w:pPr>
              <w:ind w:left="100"/>
              <w:spacing w:after="0"/>
              <w:rPr>
                <w:sz w:val="20"/>
                <w:szCs w:val="20"/>
                <w:color w:val="auto"/>
              </w:rPr>
            </w:pPr>
            <w:r>
              <w:rPr>
                <w:rFonts w:ascii="Arial" w:cs="Arial" w:eastAsia="Arial" w:hAnsi="Arial"/>
                <w:sz w:val="15"/>
                <w:szCs w:val="15"/>
                <w:color w:val="auto"/>
              </w:rPr>
              <w:t>​ ​CNP</w:t>
            </w:r>
          </w:p>
        </w:tc>
        <w:tc>
          <w:tcPr>
            <w:tcW w:w="2080" w:type="dxa"/>
            <w:vAlign w:val="bottom"/>
            <w:tcBorders>
              <w:top w:val="single" w:sz="8" w:color="CCCCCC"/>
            </w:tcBorders>
          </w:tcPr>
          <w:p>
            <w:pPr>
              <w:jc w:val="right"/>
              <w:ind w:right="307"/>
              <w:spacing w:after="0"/>
              <w:rPr>
                <w:sz w:val="20"/>
                <w:szCs w:val="20"/>
                <w:color w:val="auto"/>
              </w:rPr>
            </w:pPr>
            <w:r>
              <w:rPr>
                <w:rFonts w:ascii="Arial" w:cs="Arial" w:eastAsia="Arial" w:hAnsi="Arial"/>
                <w:sz w:val="15"/>
                <w:szCs w:val="15"/>
                <w:color w:val="auto"/>
                <w:w w:val="99"/>
              </w:rPr>
              <w:t>Savings Restoration Plan</w:t>
            </w:r>
          </w:p>
        </w:tc>
        <w:tc>
          <w:tcPr>
            <w:tcW w:w="280" w:type="dxa"/>
            <w:vAlign w:val="bottom"/>
            <w:tcBorders>
              <w:top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top w:val="single" w:sz="8" w:color="CCCCCC"/>
            </w:tcBorders>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840" w:type="dxa"/>
            <w:vAlign w:val="bottom"/>
            <w:tcBorders>
              <w:top w:val="single" w:sz="8" w:color="CCCCCC"/>
            </w:tcBorders>
            <w:gridSpan w:val="2"/>
          </w:tcPr>
          <w:p>
            <w:pPr>
              <w:jc w:val="right"/>
              <w:ind w:right="66"/>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87,196</w:t>
            </w:r>
          </w:p>
        </w:tc>
        <w:tc>
          <w:tcPr>
            <w:tcW w:w="20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720" w:type="dxa"/>
            <w:vAlign w:val="bottom"/>
            <w:tcBorders>
              <w:top w:val="single" w:sz="8" w:color="CCCCCC"/>
            </w:tcBorders>
            <w:gridSpan w:val="2"/>
          </w:tcPr>
          <w:p>
            <w:pPr>
              <w:jc w:val="right"/>
              <w:ind w:right="4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43,597</w:t>
            </w:r>
          </w:p>
        </w:tc>
        <w:tc>
          <w:tcPr>
            <w:tcW w:w="28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Borders>
              <w:top w:val="single" w:sz="8" w:color="CCCCCC"/>
            </w:tcBorders>
          </w:tcPr>
          <w:p>
            <w:pPr>
              <w:spacing w:after="0"/>
              <w:rPr>
                <w:sz w:val="21"/>
                <w:szCs w:val="21"/>
                <w:color w:val="auto"/>
              </w:rPr>
            </w:pPr>
          </w:p>
        </w:tc>
        <w:tc>
          <w:tcPr>
            <w:tcW w:w="46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 ​</w:t>
            </w:r>
          </w:p>
        </w:tc>
        <w:tc>
          <w:tcPr>
            <w:tcW w:w="840" w:type="dxa"/>
            <w:vAlign w:val="bottom"/>
            <w:tcBorders>
              <w:top w:val="single" w:sz="8" w:color="CCCCCC"/>
            </w:tcBorders>
            <w:gridSpan w:val="2"/>
          </w:tcPr>
          <w:p>
            <w:pPr>
              <w:jc w:val="right"/>
              <w:ind w:right="4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361,125</w:t>
            </w:r>
          </w:p>
        </w:tc>
        <w:tc>
          <w:tcPr>
            <w:tcW w:w="14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128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20" w:type="dxa"/>
            <w:vAlign w:val="bottom"/>
            <w:tcBorders>
              <w:bottom w:val="single" w:sz="8" w:color="CCCCCC"/>
            </w:tcBorders>
            <w:gridSpan w:val="2"/>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720" w:type="dxa"/>
            <w:vAlign w:val="bottom"/>
            <w:tcBorders>
              <w:bottom w:val="single" w:sz="8" w:color="CCCCCC"/>
            </w:tcBorders>
            <w:gridSpan w:val="2"/>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480" w:type="dxa"/>
            <w:vAlign w:val="bottom"/>
            <w:tcBorders>
              <w:bottom w:val="single" w:sz="8" w:color="CCCCCC"/>
            </w:tcBorders>
          </w:tcPr>
          <w:p>
            <w:pPr>
              <w:spacing w:after="0"/>
              <w:rPr>
                <w:sz w:val="5"/>
                <w:szCs w:val="5"/>
                <w:color w:val="auto"/>
              </w:rPr>
            </w:pPr>
          </w:p>
        </w:tc>
        <w:tc>
          <w:tcPr>
            <w:tcW w:w="46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280" w:type="dxa"/>
            <w:vAlign w:val="bottom"/>
            <w:tcBorders>
              <w:bottom w:val="single" w:sz="8" w:color="F2F2F2"/>
            </w:tcBorders>
            <w:vMerge w:val="restart"/>
            <w:shd w:val="clear" w:color="auto" w:fill="F2F2F2"/>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Ryan</w:t>
            </w:r>
          </w:p>
        </w:tc>
        <w:tc>
          <w:tcPr>
            <w:tcW w:w="160" w:type="dxa"/>
            <w:vAlign w:val="bottom"/>
            <w:tcBorders>
              <w:bottom w:val="single" w:sz="8" w:color="F2F2F2"/>
            </w:tcBorders>
            <w:vMerge w:val="restart"/>
            <w:shd w:val="clear" w:color="auto" w:fill="F2F2F2"/>
          </w:tcPr>
          <w:p>
            <w:pPr>
              <w:ind w:left="1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F2F2F2"/>
            </w:tcBorders>
            <w:shd w:val="clear" w:color="auto" w:fill="F2F2F2"/>
          </w:tcPr>
          <w:p>
            <w:pPr>
              <w:spacing w:after="0"/>
              <w:rPr>
                <w:sz w:val="24"/>
                <w:szCs w:val="24"/>
                <w:color w:val="auto"/>
              </w:rPr>
            </w:pPr>
          </w:p>
        </w:tc>
        <w:tc>
          <w:tcPr>
            <w:tcW w:w="2420" w:type="dxa"/>
            <w:vAlign w:val="bottom"/>
            <w:tcBorders>
              <w:bottom w:val="single" w:sz="8" w:color="F2F2F2"/>
            </w:tcBorders>
            <w:gridSpan w:val="2"/>
            <w:shd w:val="clear" w:color="auto" w:fill="F2F2F2"/>
          </w:tcPr>
          <w:p>
            <w:pPr>
              <w:jc w:val="right"/>
              <w:ind w:right="47"/>
              <w:spacing w:after="0"/>
              <w:rPr>
                <w:sz w:val="20"/>
                <w:szCs w:val="20"/>
                <w:color w:val="auto"/>
              </w:rPr>
            </w:pPr>
            <w:r>
              <w:rPr>
                <w:rFonts w:ascii="Arial" w:cs="Arial" w:eastAsia="Arial" w:hAnsi="Arial"/>
                <w:sz w:val="15"/>
                <w:szCs w:val="15"/>
                <w:color w:val="auto"/>
                <w:w w:val="99"/>
              </w:rPr>
              <w:t>​CNP Deferred Compensation Plan</w:t>
            </w:r>
          </w:p>
        </w:tc>
        <w:tc>
          <w:tcPr>
            <w:tcW w:w="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F2F2F2"/>
            </w:tcBorders>
            <w:shd w:val="clear" w:color="auto" w:fill="F2F2F2"/>
          </w:tcPr>
          <w:p>
            <w:pPr>
              <w:jc w:val="right"/>
              <w:ind w:right="6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720" w:type="dxa"/>
            <w:vAlign w:val="bottom"/>
            <w:tcBorders>
              <w:bottom w:val="single" w:sz="8" w:color="F2F2F2"/>
            </w:tcBorders>
            <w:gridSpan w:val="2"/>
            <w:shd w:val="clear" w:color="auto" w:fill="F2F2F2"/>
          </w:tcPr>
          <w:p>
            <w:pPr>
              <w:jc w:val="right"/>
              <w:ind w:right="48"/>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1,083</w:t>
            </w:r>
          </w:p>
        </w:tc>
        <w:tc>
          <w:tcPr>
            <w:tcW w:w="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Borders>
              <w:bottom w:val="single" w:sz="8" w:color="F2F2F2"/>
            </w:tcBorders>
            <w:shd w:val="clear" w:color="auto" w:fill="F2F2F2"/>
          </w:tcPr>
          <w:p>
            <w:pPr>
              <w:spacing w:after="0"/>
              <w:rPr>
                <w:sz w:val="24"/>
                <w:szCs w:val="24"/>
                <w:color w:val="auto"/>
              </w:rPr>
            </w:pPr>
          </w:p>
        </w:tc>
        <w:tc>
          <w:tcPr>
            <w:tcW w:w="4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 ​</w:t>
            </w:r>
          </w:p>
        </w:tc>
        <w:tc>
          <w:tcPr>
            <w:tcW w:w="2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F2F2F2"/>
            </w:tcBorders>
            <w:shd w:val="clear" w:color="auto" w:fill="F2F2F2"/>
          </w:tcPr>
          <w:p>
            <w:pPr>
              <w:jc w:val="right"/>
              <w:ind w:right="47"/>
              <w:spacing w:after="0"/>
              <w:rPr>
                <w:sz w:val="20"/>
                <w:szCs w:val="20"/>
                <w:color w:val="auto"/>
              </w:rPr>
            </w:pPr>
            <w:r>
              <w:rPr>
                <w:rFonts w:ascii="Arial" w:cs="Arial" w:eastAsia="Arial" w:hAnsi="Arial"/>
                <w:sz w:val="15"/>
                <w:szCs w:val="15"/>
                <w:color w:val="auto"/>
              </w:rPr>
              <w:t>15,630</w:t>
            </w:r>
          </w:p>
        </w:tc>
        <w:tc>
          <w:tcPr>
            <w:tcW w:w="1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2"/>
        </w:trPr>
        <w:tc>
          <w:tcPr>
            <w:tcW w:w="1280" w:type="dxa"/>
            <w:vAlign w:val="bottom"/>
            <w:tcBorders>
              <w:top w:val="single" w:sz="8" w:color="F2F2F2"/>
            </w:tcBorders>
            <w:vMerge w:val="continue"/>
            <w:shd w:val="clear" w:color="auto" w:fill="F2F2F2"/>
          </w:tcPr>
          <w:p>
            <w:pPr>
              <w:spacing w:after="0"/>
              <w:rPr>
                <w:sz w:val="7"/>
                <w:szCs w:val="7"/>
                <w:color w:val="auto"/>
              </w:rPr>
            </w:pPr>
          </w:p>
        </w:tc>
        <w:tc>
          <w:tcPr>
            <w:tcW w:w="160" w:type="dxa"/>
            <w:vAlign w:val="bottom"/>
            <w:tcBorders>
              <w:top w:val="single" w:sz="8" w:color="F2F2F2"/>
            </w:tcBorders>
            <w:vMerge w:val="continue"/>
            <w:shd w:val="clear" w:color="auto" w:fill="F2F2F2"/>
          </w:tcPr>
          <w:p>
            <w:pPr>
              <w:spacing w:after="0"/>
              <w:rPr>
                <w:sz w:val="7"/>
                <w:szCs w:val="7"/>
                <w:color w:val="auto"/>
              </w:rPr>
            </w:pPr>
          </w:p>
        </w:tc>
        <w:tc>
          <w:tcPr>
            <w:tcW w:w="100" w:type="dxa"/>
            <w:vAlign w:val="bottom"/>
            <w:tcBorders>
              <w:top w:val="single" w:sz="8" w:color="CCCCCC"/>
            </w:tcBorders>
            <w:shd w:val="clear" w:color="auto" w:fill="F2F2F2"/>
          </w:tcPr>
          <w:p>
            <w:pPr>
              <w:spacing w:after="0"/>
              <w:rPr>
                <w:sz w:val="7"/>
                <w:szCs w:val="7"/>
                <w:color w:val="auto"/>
              </w:rPr>
            </w:pPr>
          </w:p>
        </w:tc>
        <w:tc>
          <w:tcPr>
            <w:tcW w:w="2420" w:type="dxa"/>
            <w:vAlign w:val="bottom"/>
            <w:tcBorders>
              <w:top w:val="single" w:sz="8" w:color="CCCCCC"/>
            </w:tcBorders>
            <w:gridSpan w:val="2"/>
            <w:vMerge w:val="restart"/>
            <w:shd w:val="clear" w:color="auto" w:fill="F2F2F2"/>
          </w:tcPr>
          <w:p>
            <w:pPr>
              <w:jc w:val="right"/>
              <w:ind w:right="307"/>
              <w:spacing w:after="0"/>
              <w:rPr>
                <w:sz w:val="20"/>
                <w:szCs w:val="20"/>
                <w:color w:val="auto"/>
              </w:rPr>
            </w:pPr>
            <w:r>
              <w:rPr>
                <w:rFonts w:ascii="Arial" w:cs="Arial" w:eastAsia="Arial" w:hAnsi="Arial"/>
                <w:sz w:val="15"/>
                <w:szCs w:val="15"/>
                <w:color w:val="auto"/>
                <w:w w:val="98"/>
              </w:rPr>
              <w:t>​CNP Savings Restoration Plan</w:t>
            </w:r>
          </w:p>
        </w:tc>
        <w:tc>
          <w:tcPr>
            <w:tcW w:w="280" w:type="dxa"/>
            <w:vAlign w:val="bottom"/>
            <w:tcBorders>
              <w:top w:val="single" w:sz="8" w:color="CCCCCC"/>
            </w:tcBorders>
            <w:vMerge w:val="restart"/>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top w:val="single" w:sz="8" w:color="CCCCCC"/>
            </w:tcBorders>
            <w:vMerge w:val="restart"/>
            <w:shd w:val="clear" w:color="auto" w:fill="F2F2F2"/>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840" w:type="dxa"/>
            <w:vAlign w:val="bottom"/>
            <w:tcBorders>
              <w:top w:val="single" w:sz="8" w:color="CCCCCC"/>
            </w:tcBorders>
            <w:gridSpan w:val="2"/>
            <w:vMerge w:val="restart"/>
            <w:shd w:val="clear" w:color="auto" w:fill="F2F2F2"/>
          </w:tcPr>
          <w:p>
            <w:pPr>
              <w:jc w:val="right"/>
              <w:ind w:right="66"/>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48,043</w:t>
            </w:r>
          </w:p>
        </w:tc>
        <w:tc>
          <w:tcPr>
            <w:tcW w:w="20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720" w:type="dxa"/>
            <w:vAlign w:val="bottom"/>
            <w:tcBorders>
              <w:top w:val="single" w:sz="8" w:color="CCCCCC"/>
            </w:tcBorders>
            <w:gridSpan w:val="2"/>
            <w:vMerge w:val="restart"/>
            <w:shd w:val="clear" w:color="auto" w:fill="F2F2F2"/>
          </w:tcPr>
          <w:p>
            <w:pPr>
              <w:jc w:val="right"/>
              <w:ind w:right="4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56,361</w:t>
            </w:r>
          </w:p>
        </w:tc>
        <w:tc>
          <w:tcPr>
            <w:tcW w:w="280" w:type="dxa"/>
            <w:vAlign w:val="bottom"/>
            <w:tcBorders>
              <w:top w:val="single" w:sz="8" w:color="CCCCCC"/>
            </w:tcBorders>
            <w:vMerge w:val="restart"/>
            <w:shd w:val="clear" w:color="auto" w:fill="F2F2F2"/>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Borders>
              <w:top w:val="single" w:sz="8" w:color="CCCCCC"/>
            </w:tcBorders>
            <w:shd w:val="clear" w:color="auto" w:fill="F2F2F2"/>
          </w:tcPr>
          <w:p>
            <w:pPr>
              <w:spacing w:after="0"/>
              <w:rPr>
                <w:sz w:val="7"/>
                <w:szCs w:val="7"/>
                <w:color w:val="auto"/>
              </w:rPr>
            </w:pPr>
          </w:p>
        </w:tc>
        <w:tc>
          <w:tcPr>
            <w:tcW w:w="46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5"/>
                <w:szCs w:val="15"/>
                <w:color w:val="auto"/>
              </w:rPr>
              <w:t>— ​​ ​</w:t>
            </w:r>
          </w:p>
        </w:tc>
        <w:tc>
          <w:tcPr>
            <w:tcW w:w="840" w:type="dxa"/>
            <w:vAlign w:val="bottom"/>
            <w:tcBorders>
              <w:top w:val="single" w:sz="8" w:color="CCCCCC"/>
            </w:tcBorders>
            <w:gridSpan w:val="2"/>
            <w:vMerge w:val="restart"/>
            <w:shd w:val="clear" w:color="auto" w:fill="F2F2F2"/>
          </w:tcPr>
          <w:p>
            <w:pPr>
              <w:jc w:val="right"/>
              <w:ind w:right="4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353,781</w:t>
            </w:r>
          </w:p>
        </w:tc>
        <w:tc>
          <w:tcPr>
            <w:tcW w:w="140" w:type="dxa"/>
            <w:vAlign w:val="bottom"/>
            <w:tcBorders>
              <w:top w:val="single" w:sz="8" w:color="CCCCCC"/>
            </w:tcBorders>
            <w:vMerge w:val="restart"/>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8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420" w:type="dxa"/>
            <w:vAlign w:val="bottom"/>
            <w:gridSpan w:val="2"/>
            <w:vMerge w:val="continue"/>
            <w:shd w:val="clear" w:color="auto" w:fill="F2F2F2"/>
          </w:tcPr>
          <w:p>
            <w:pPr>
              <w:spacing w:after="0"/>
              <w:rPr>
                <w:sz w:val="14"/>
                <w:szCs w:val="14"/>
                <w:color w:val="auto"/>
              </w:rPr>
            </w:pPr>
          </w:p>
        </w:tc>
        <w:tc>
          <w:tcPr>
            <w:tcW w:w="280" w:type="dxa"/>
            <w:vAlign w:val="bottom"/>
            <w:vMerge w:val="continue"/>
            <w:shd w:val="clear" w:color="auto" w:fill="F2F2F2"/>
          </w:tcPr>
          <w:p>
            <w:pPr>
              <w:spacing w:after="0"/>
              <w:rPr>
                <w:sz w:val="14"/>
                <w:szCs w:val="14"/>
                <w:color w:val="auto"/>
              </w:rPr>
            </w:pPr>
          </w:p>
        </w:tc>
        <w:tc>
          <w:tcPr>
            <w:tcW w:w="840" w:type="dxa"/>
            <w:vAlign w:val="bottom"/>
            <w:vMerge w:val="continue"/>
            <w:shd w:val="clear" w:color="auto" w:fill="F2F2F2"/>
          </w:tcPr>
          <w:p>
            <w:pPr>
              <w:spacing w:after="0"/>
              <w:rPr>
                <w:sz w:val="14"/>
                <w:szCs w:val="14"/>
                <w:color w:val="auto"/>
              </w:rPr>
            </w:pPr>
          </w:p>
        </w:tc>
        <w:tc>
          <w:tcPr>
            <w:tcW w:w="220" w:type="dxa"/>
            <w:vAlign w:val="bottom"/>
            <w:vMerge w:val="continue"/>
            <w:shd w:val="clear" w:color="auto" w:fill="F2F2F2"/>
          </w:tcPr>
          <w:p>
            <w:pPr>
              <w:spacing w:after="0"/>
              <w:rPr>
                <w:sz w:val="14"/>
                <w:szCs w:val="14"/>
                <w:color w:val="auto"/>
              </w:rPr>
            </w:pPr>
          </w:p>
        </w:tc>
        <w:tc>
          <w:tcPr>
            <w:tcW w:w="840" w:type="dxa"/>
            <w:vAlign w:val="bottom"/>
            <w:gridSpan w:val="2"/>
            <w:vMerge w:val="continue"/>
            <w:shd w:val="clear" w:color="auto" w:fill="F2F2F2"/>
          </w:tcPr>
          <w:p>
            <w:pPr>
              <w:spacing w:after="0"/>
              <w:rPr>
                <w:sz w:val="14"/>
                <w:szCs w:val="14"/>
                <w:color w:val="auto"/>
              </w:rPr>
            </w:pPr>
          </w:p>
        </w:tc>
        <w:tc>
          <w:tcPr>
            <w:tcW w:w="200" w:type="dxa"/>
            <w:vAlign w:val="bottom"/>
            <w:vMerge w:val="continue"/>
            <w:shd w:val="clear" w:color="auto" w:fill="F2F2F2"/>
          </w:tcPr>
          <w:p>
            <w:pPr>
              <w:spacing w:after="0"/>
              <w:rPr>
                <w:sz w:val="14"/>
                <w:szCs w:val="14"/>
                <w:color w:val="auto"/>
              </w:rPr>
            </w:pPr>
          </w:p>
        </w:tc>
        <w:tc>
          <w:tcPr>
            <w:tcW w:w="720" w:type="dxa"/>
            <w:vAlign w:val="bottom"/>
            <w:gridSpan w:val="2"/>
            <w:vMerge w:val="continue"/>
            <w:shd w:val="clear" w:color="auto" w:fill="F2F2F2"/>
          </w:tcPr>
          <w:p>
            <w:pPr>
              <w:spacing w:after="0"/>
              <w:rPr>
                <w:sz w:val="14"/>
                <w:szCs w:val="14"/>
                <w:color w:val="auto"/>
              </w:rPr>
            </w:pPr>
          </w:p>
        </w:tc>
        <w:tc>
          <w:tcPr>
            <w:tcW w:w="280" w:type="dxa"/>
            <w:vAlign w:val="bottom"/>
            <w:vMerge w:val="continue"/>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460" w:type="dxa"/>
            <w:vAlign w:val="bottom"/>
            <w:vMerge w:val="continue"/>
            <w:shd w:val="clear" w:color="auto" w:fill="F2F2F2"/>
          </w:tcPr>
          <w:p>
            <w:pPr>
              <w:spacing w:after="0"/>
              <w:rPr>
                <w:sz w:val="14"/>
                <w:szCs w:val="14"/>
                <w:color w:val="auto"/>
              </w:rPr>
            </w:pPr>
          </w:p>
        </w:tc>
        <w:tc>
          <w:tcPr>
            <w:tcW w:w="840" w:type="dxa"/>
            <w:vAlign w:val="bottom"/>
            <w:gridSpan w:val="2"/>
            <w:vMerge w:val="continue"/>
            <w:shd w:val="clear" w:color="auto" w:fill="F2F2F2"/>
          </w:tcPr>
          <w:p>
            <w:pPr>
              <w:spacing w:after="0"/>
              <w:rPr>
                <w:sz w:val="14"/>
                <w:szCs w:val="14"/>
                <w:color w:val="auto"/>
              </w:rPr>
            </w:pPr>
          </w:p>
        </w:tc>
        <w:tc>
          <w:tcPr>
            <w:tcW w:w="14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280" w:type="dxa"/>
            <w:vAlign w:val="bottom"/>
            <w:tcBorders>
              <w:bottom w:val="single" w:sz="8" w:color="CCCCCC"/>
            </w:tcBorders>
            <w:shd w:val="clear" w:color="auto" w:fill="F2F2F2"/>
          </w:tcPr>
          <w:p>
            <w:pPr>
              <w:spacing w:after="0"/>
              <w:rPr>
                <w:sz w:val="5"/>
                <w:szCs w:val="5"/>
                <w:color w:val="auto"/>
              </w:rPr>
            </w:pPr>
          </w:p>
        </w:tc>
        <w:tc>
          <w:tcPr>
            <w:tcW w:w="160" w:type="dxa"/>
            <w:vAlign w:val="bottom"/>
            <w:tcBorders>
              <w:bottom w:val="single" w:sz="8" w:color="CCCCCC"/>
            </w:tcBorders>
            <w:shd w:val="clear" w:color="auto" w:fill="F2F2F2"/>
          </w:tcPr>
          <w:p>
            <w:pPr>
              <w:spacing w:after="0"/>
              <w:rPr>
                <w:sz w:val="5"/>
                <w:szCs w:val="5"/>
                <w:color w:val="auto"/>
              </w:rPr>
            </w:pPr>
          </w:p>
        </w:tc>
        <w:tc>
          <w:tcPr>
            <w:tcW w:w="100" w:type="dxa"/>
            <w:vAlign w:val="bottom"/>
            <w:tcBorders>
              <w:bottom w:val="single" w:sz="8" w:color="CCCCCC"/>
            </w:tcBorders>
            <w:shd w:val="clear" w:color="auto" w:fill="F2F2F2"/>
          </w:tcPr>
          <w:p>
            <w:pPr>
              <w:spacing w:after="0"/>
              <w:rPr>
                <w:sz w:val="5"/>
                <w:szCs w:val="5"/>
                <w:color w:val="auto"/>
              </w:rPr>
            </w:pPr>
          </w:p>
        </w:tc>
        <w:tc>
          <w:tcPr>
            <w:tcW w:w="2420" w:type="dxa"/>
            <w:vAlign w:val="bottom"/>
            <w:tcBorders>
              <w:bottom w:val="single" w:sz="8" w:color="CCCCCC"/>
            </w:tcBorders>
            <w:gridSpan w:val="2"/>
            <w:shd w:val="clear" w:color="auto" w:fill="F2F2F2"/>
          </w:tcPr>
          <w:p>
            <w:pPr>
              <w:spacing w:after="0"/>
              <w:rPr>
                <w:sz w:val="5"/>
                <w:szCs w:val="5"/>
                <w:color w:val="auto"/>
              </w:rPr>
            </w:pPr>
          </w:p>
        </w:tc>
        <w:tc>
          <w:tcPr>
            <w:tcW w:w="280" w:type="dxa"/>
            <w:vAlign w:val="bottom"/>
            <w:tcBorders>
              <w:bottom w:val="single" w:sz="8" w:color="CCCCCC"/>
            </w:tcBorders>
            <w:shd w:val="clear" w:color="auto" w:fill="F2F2F2"/>
          </w:tcPr>
          <w:p>
            <w:pPr>
              <w:spacing w:after="0"/>
              <w:rPr>
                <w:sz w:val="5"/>
                <w:szCs w:val="5"/>
                <w:color w:val="auto"/>
              </w:rPr>
            </w:pPr>
          </w:p>
        </w:tc>
        <w:tc>
          <w:tcPr>
            <w:tcW w:w="840" w:type="dxa"/>
            <w:vAlign w:val="bottom"/>
            <w:tcBorders>
              <w:bottom w:val="single" w:sz="8" w:color="CCCCCC"/>
            </w:tcBorders>
            <w:shd w:val="clear" w:color="auto" w:fill="F2F2F2"/>
          </w:tcPr>
          <w:p>
            <w:pPr>
              <w:spacing w:after="0"/>
              <w:rPr>
                <w:sz w:val="5"/>
                <w:szCs w:val="5"/>
                <w:color w:val="auto"/>
              </w:rPr>
            </w:pPr>
          </w:p>
        </w:tc>
        <w:tc>
          <w:tcPr>
            <w:tcW w:w="220" w:type="dxa"/>
            <w:vAlign w:val="bottom"/>
            <w:tcBorders>
              <w:bottom w:val="single" w:sz="8" w:color="CCCCCC"/>
            </w:tcBorders>
            <w:shd w:val="clear" w:color="auto" w:fill="F2F2F2"/>
          </w:tcPr>
          <w:p>
            <w:pPr>
              <w:spacing w:after="0"/>
              <w:rPr>
                <w:sz w:val="5"/>
                <w:szCs w:val="5"/>
                <w:color w:val="auto"/>
              </w:rPr>
            </w:pPr>
          </w:p>
        </w:tc>
        <w:tc>
          <w:tcPr>
            <w:tcW w:w="840" w:type="dxa"/>
            <w:vAlign w:val="bottom"/>
            <w:tcBorders>
              <w:bottom w:val="single" w:sz="8" w:color="CCCCCC"/>
            </w:tcBorders>
            <w:gridSpan w:val="2"/>
            <w:shd w:val="clear" w:color="auto" w:fill="F2F2F2"/>
          </w:tcPr>
          <w:p>
            <w:pPr>
              <w:spacing w:after="0"/>
              <w:rPr>
                <w:sz w:val="5"/>
                <w:szCs w:val="5"/>
                <w:color w:val="auto"/>
              </w:rPr>
            </w:pPr>
          </w:p>
        </w:tc>
        <w:tc>
          <w:tcPr>
            <w:tcW w:w="200" w:type="dxa"/>
            <w:vAlign w:val="bottom"/>
            <w:tcBorders>
              <w:bottom w:val="single" w:sz="8" w:color="CCCCCC"/>
            </w:tcBorders>
            <w:shd w:val="clear" w:color="auto" w:fill="F2F2F2"/>
          </w:tcPr>
          <w:p>
            <w:pPr>
              <w:spacing w:after="0"/>
              <w:rPr>
                <w:sz w:val="5"/>
                <w:szCs w:val="5"/>
                <w:color w:val="auto"/>
              </w:rPr>
            </w:pPr>
          </w:p>
        </w:tc>
        <w:tc>
          <w:tcPr>
            <w:tcW w:w="720" w:type="dxa"/>
            <w:vAlign w:val="bottom"/>
            <w:tcBorders>
              <w:bottom w:val="single" w:sz="8" w:color="CCCCCC"/>
            </w:tcBorders>
            <w:gridSpan w:val="2"/>
            <w:shd w:val="clear" w:color="auto" w:fill="F2F2F2"/>
          </w:tcPr>
          <w:p>
            <w:pPr>
              <w:spacing w:after="0"/>
              <w:rPr>
                <w:sz w:val="5"/>
                <w:szCs w:val="5"/>
                <w:color w:val="auto"/>
              </w:rPr>
            </w:pPr>
          </w:p>
        </w:tc>
        <w:tc>
          <w:tcPr>
            <w:tcW w:w="280" w:type="dxa"/>
            <w:vAlign w:val="bottom"/>
            <w:tcBorders>
              <w:bottom w:val="single" w:sz="8" w:color="CCCCCC"/>
            </w:tcBorders>
            <w:shd w:val="clear" w:color="auto" w:fill="F2F2F2"/>
          </w:tcPr>
          <w:p>
            <w:pPr>
              <w:spacing w:after="0"/>
              <w:rPr>
                <w:sz w:val="5"/>
                <w:szCs w:val="5"/>
                <w:color w:val="auto"/>
              </w:rPr>
            </w:pPr>
          </w:p>
        </w:tc>
        <w:tc>
          <w:tcPr>
            <w:tcW w:w="480" w:type="dxa"/>
            <w:vAlign w:val="bottom"/>
            <w:tcBorders>
              <w:bottom w:val="single" w:sz="8" w:color="CCCCCC"/>
            </w:tcBorders>
            <w:shd w:val="clear" w:color="auto" w:fill="F2F2F2"/>
          </w:tcPr>
          <w:p>
            <w:pPr>
              <w:spacing w:after="0"/>
              <w:rPr>
                <w:sz w:val="5"/>
                <w:szCs w:val="5"/>
                <w:color w:val="auto"/>
              </w:rPr>
            </w:pPr>
          </w:p>
        </w:tc>
        <w:tc>
          <w:tcPr>
            <w:tcW w:w="460" w:type="dxa"/>
            <w:vAlign w:val="bottom"/>
            <w:tcBorders>
              <w:bottom w:val="single" w:sz="8" w:color="CCCCCC"/>
            </w:tcBorders>
            <w:shd w:val="clear" w:color="auto" w:fill="F2F2F2"/>
          </w:tcPr>
          <w:p>
            <w:pPr>
              <w:spacing w:after="0"/>
              <w:rPr>
                <w:sz w:val="5"/>
                <w:szCs w:val="5"/>
                <w:color w:val="auto"/>
              </w:rPr>
            </w:pPr>
          </w:p>
        </w:tc>
        <w:tc>
          <w:tcPr>
            <w:tcW w:w="840" w:type="dxa"/>
            <w:vAlign w:val="bottom"/>
            <w:tcBorders>
              <w:bottom w:val="single" w:sz="8" w:color="CCCCCC"/>
            </w:tcBorders>
            <w:gridSpan w:val="2"/>
            <w:shd w:val="clear" w:color="auto" w:fill="F2F2F2"/>
          </w:tcPr>
          <w:p>
            <w:pPr>
              <w:spacing w:after="0"/>
              <w:rPr>
                <w:sz w:val="5"/>
                <w:szCs w:val="5"/>
                <w:color w:val="auto"/>
              </w:rPr>
            </w:pPr>
          </w:p>
        </w:tc>
        <w:tc>
          <w:tcPr>
            <w:tcW w:w="140" w:type="dxa"/>
            <w:vAlign w:val="bottom"/>
            <w:tcBorders>
              <w:bottom w:val="single" w:sz="8" w:color="CCCCCC"/>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Harkel-Rumford</w:t>
            </w:r>
          </w:p>
        </w:tc>
        <w:tc>
          <w:tcPr>
            <w:tcW w:w="160" w:type="dxa"/>
            <w:vAlign w:val="bottom"/>
            <w:vMerge w:val="restart"/>
          </w:tcPr>
          <w:p>
            <w:pPr>
              <w:ind w:left="100"/>
              <w:spacing w:after="0"/>
              <w:rPr>
                <w:sz w:val="20"/>
                <w:szCs w:val="20"/>
                <w:color w:val="auto"/>
              </w:rPr>
            </w:pPr>
            <w:r>
              <w:rPr>
                <w:rFonts w:ascii="Arial" w:cs="Arial" w:eastAsia="Arial" w:hAnsi="Arial"/>
                <w:sz w:val="15"/>
                <w:szCs w:val="15"/>
                <w:color w:val="auto"/>
              </w:rPr>
              <w:t>​</w:t>
            </w:r>
          </w:p>
        </w:tc>
        <w:tc>
          <w:tcPr>
            <w:tcW w:w="2520" w:type="dxa"/>
            <w:vAlign w:val="bottom"/>
            <w:gridSpan w:val="3"/>
          </w:tcPr>
          <w:p>
            <w:pPr>
              <w:jc w:val="right"/>
              <w:ind w:right="307"/>
              <w:spacing w:after="0"/>
              <w:rPr>
                <w:sz w:val="20"/>
                <w:szCs w:val="20"/>
                <w:color w:val="auto"/>
              </w:rPr>
            </w:pPr>
            <w:r>
              <w:rPr>
                <w:rFonts w:ascii="Arial" w:cs="Arial" w:eastAsia="Arial" w:hAnsi="Arial"/>
                <w:sz w:val="15"/>
                <w:szCs w:val="15"/>
                <w:color w:val="auto"/>
              </w:rPr>
              <w:t>​CNP Savings Restoration Plan</w:t>
            </w:r>
          </w:p>
        </w:tc>
        <w:tc>
          <w:tcPr>
            <w:tcW w:w="280" w:type="dxa"/>
            <w:vAlign w:val="bottom"/>
          </w:tcPr>
          <w:p>
            <w:pPr>
              <w:ind w:left="140"/>
              <w:spacing w:after="0"/>
              <w:rPr>
                <w:sz w:val="20"/>
                <w:szCs w:val="20"/>
                <w:color w:val="auto"/>
              </w:rPr>
            </w:pPr>
            <w:r>
              <w:rPr>
                <w:rFonts w:ascii="Arial" w:cs="Arial" w:eastAsia="Arial" w:hAnsi="Arial"/>
                <w:sz w:val="15"/>
                <w:szCs w:val="15"/>
                <w:color w:val="auto"/>
              </w:rPr>
              <w:t>​ ​</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tcPr>
          <w:p>
            <w:pPr>
              <w:jc w:val="right"/>
              <w:ind w:right="66"/>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41,368</w:t>
            </w:r>
          </w:p>
        </w:tc>
        <w:tc>
          <w:tcPr>
            <w:tcW w:w="200" w:type="dxa"/>
            <w:vAlign w:val="bottom"/>
          </w:tcPr>
          <w:p>
            <w:pPr>
              <w:jc w:val="right"/>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48"/>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16,840</w:t>
            </w:r>
          </w:p>
        </w:tc>
        <w:tc>
          <w:tcPr>
            <w:tcW w:w="280" w:type="dxa"/>
            <w:vAlign w:val="bottom"/>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 ​​ ​</w:t>
            </w:r>
          </w:p>
        </w:tc>
        <w:tc>
          <w:tcPr>
            <w:tcW w:w="840" w:type="dxa"/>
            <w:vAlign w:val="bottom"/>
            <w:gridSpan w:val="2"/>
          </w:tcPr>
          <w:p>
            <w:pPr>
              <w:jc w:val="right"/>
              <w:ind w:right="47"/>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214,265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12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40" w:type="dxa"/>
            <w:vAlign w:val="bottom"/>
            <w:tcBorders>
              <w:bottom w:val="single" w:sz="8" w:color="CCCCCC"/>
            </w:tcBorders>
            <w:gridSpan w:val="2"/>
          </w:tcPr>
          <w:p>
            <w:pPr>
              <w:spacing w:after="0"/>
              <w:rPr>
                <w:sz w:val="5"/>
                <w:szCs w:val="5"/>
                <w:color w:val="auto"/>
              </w:rPr>
            </w:pPr>
          </w:p>
        </w:tc>
        <w:tc>
          <w:tcPr>
            <w:tcW w:w="208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480" w:type="dxa"/>
            <w:vAlign w:val="bottom"/>
            <w:tcBorders>
              <w:bottom w:val="single" w:sz="8" w:color="CCCCCC"/>
            </w:tcBorders>
          </w:tcPr>
          <w:p>
            <w:pPr>
              <w:spacing w:after="0"/>
              <w:rPr>
                <w:sz w:val="5"/>
                <w:szCs w:val="5"/>
                <w:color w:val="auto"/>
              </w:rPr>
            </w:pPr>
          </w:p>
        </w:tc>
        <w:tc>
          <w:tcPr>
            <w:tcW w:w="46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520" w:type="dxa"/>
            <w:vAlign w:val="bottom"/>
            <w:gridSpan w:val="3"/>
            <w:vMerge w:val="restart"/>
          </w:tcPr>
          <w:p>
            <w:pPr>
              <w:jc w:val="right"/>
              <w:ind w:right="287"/>
              <w:spacing w:after="0"/>
              <w:rPr>
                <w:sz w:val="20"/>
                <w:szCs w:val="20"/>
                <w:color w:val="auto"/>
              </w:rPr>
            </w:pPr>
            <w:r>
              <w:rPr>
                <w:rFonts w:ascii="Arial" w:cs="Arial" w:eastAsia="Arial" w:hAnsi="Arial"/>
                <w:sz w:val="15"/>
                <w:szCs w:val="15"/>
                <w:color w:val="auto"/>
              </w:rPr>
              <w:t>​1991 Savings Restoration Plan</w:t>
            </w:r>
          </w:p>
        </w:tc>
        <w:tc>
          <w:tcPr>
            <w:tcW w:w="280" w:type="dxa"/>
            <w:vAlign w:val="bottom"/>
            <w:vMerge w:val="restart"/>
          </w:tcPr>
          <w:p>
            <w:pPr>
              <w:ind w:left="140"/>
              <w:spacing w:after="0"/>
              <w:rPr>
                <w:sz w:val="20"/>
                <w:szCs w:val="20"/>
                <w:color w:val="auto"/>
              </w:rPr>
            </w:pPr>
            <w:r>
              <w:rPr>
                <w:rFonts w:ascii="Arial" w:cs="Arial" w:eastAsia="Arial" w:hAnsi="Arial"/>
                <w:sz w:val="15"/>
                <w:szCs w:val="15"/>
                <w:color w:val="auto"/>
              </w:rPr>
              <w:t>​ ​</w:t>
            </w:r>
          </w:p>
        </w:tc>
        <w:tc>
          <w:tcPr>
            <w:tcW w:w="8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2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5"/>
                <w:szCs w:val="15"/>
                <w:color w:val="auto"/>
              </w:rPr>
              <w:t>506</w:t>
            </w:r>
          </w:p>
        </w:tc>
        <w:tc>
          <w:tcPr>
            <w:tcW w:w="280" w:type="dxa"/>
            <w:vAlign w:val="bottom"/>
            <w:vMerge w:val="restart"/>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5"/>
                <w:szCs w:val="15"/>
                <w:color w:val="auto"/>
              </w:rPr>
              <w:t>6,434</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280" w:type="dxa"/>
            <w:vAlign w:val="bottom"/>
            <w:tcBorders>
              <w:bottom w:val="single" w:sz="8" w:color="CCCCCC"/>
            </w:tcBorders>
          </w:tcPr>
          <w:p>
            <w:pPr>
              <w:spacing w:after="0"/>
              <w:rPr>
                <w:sz w:val="5"/>
                <w:szCs w:val="5"/>
                <w:color w:val="auto"/>
              </w:rPr>
            </w:pPr>
          </w:p>
        </w:tc>
        <w:tc>
          <w:tcPr>
            <w:tcW w:w="2680" w:type="dxa"/>
            <w:vAlign w:val="bottom"/>
            <w:tcBorders>
              <w:bottom w:val="single" w:sz="8" w:color="CCCCCC"/>
            </w:tcBorders>
            <w:gridSpan w:val="4"/>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gridSpan w:val="3"/>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28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5"/>
                <w:szCs w:val="15"/>
                <w:color w:val="auto"/>
              </w:rPr>
              <w:t>​Lesar</w:t>
            </w:r>
          </w:p>
        </w:tc>
        <w:tc>
          <w:tcPr>
            <w:tcW w:w="2680" w:type="dxa"/>
            <w:vAlign w:val="bottom"/>
            <w:tcBorders>
              <w:bottom w:val="single" w:sz="8" w:color="F2F2F2"/>
            </w:tcBorders>
            <w:gridSpan w:val="4"/>
            <w:shd w:val="clear" w:color="auto" w:fill="F2F2F2"/>
          </w:tcPr>
          <w:p>
            <w:pPr>
              <w:ind w:left="100"/>
              <w:spacing w:after="0"/>
              <w:rPr>
                <w:sz w:val="20"/>
                <w:szCs w:val="20"/>
                <w:color w:val="auto"/>
              </w:rPr>
            </w:pPr>
            <w:r>
              <w:rPr>
                <w:rFonts w:ascii="Arial" w:cs="Arial" w:eastAsia="Arial" w:hAnsi="Arial"/>
                <w:sz w:val="15"/>
                <w:szCs w:val="15"/>
                <w:color w:val="auto"/>
              </w:rPr>
              <w:t>​ ​CNP Savings Restoration Plan</w:t>
            </w:r>
          </w:p>
        </w:tc>
        <w:tc>
          <w:tcPr>
            <w:tcW w:w="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F2F2F2"/>
            </w:tcBorders>
            <w:shd w:val="clear" w:color="auto" w:fill="F2F2F2"/>
          </w:tcPr>
          <w:p>
            <w:pPr>
              <w:jc w:val="right"/>
              <w:ind w:right="6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(1,338,796)​​ ​</w:t>
            </w:r>
          </w:p>
        </w:tc>
        <w:tc>
          <w:tcPr>
            <w:tcW w:w="2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F2F2F2"/>
            </w:tcBorders>
            <w:shd w:val="clear" w:color="auto" w:fill="F2F2F2"/>
          </w:tcPr>
          <w:p>
            <w:pPr>
              <w:jc w:val="right"/>
              <w:ind w:right="47"/>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1280" w:type="dxa"/>
            <w:vAlign w:val="bottom"/>
            <w:tcBorders>
              <w:top w:val="single" w:sz="8" w:color="CCCCCC"/>
            </w:tcBorders>
            <w:vMerge w:val="restart"/>
          </w:tcPr>
          <w:p>
            <w:pPr>
              <w:ind w:left="40"/>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Wilson</w:t>
            </w:r>
          </w:p>
        </w:tc>
        <w:tc>
          <w:tcPr>
            <w:tcW w:w="160" w:type="dxa"/>
            <w:vAlign w:val="bottom"/>
            <w:tcBorders>
              <w:top w:val="single" w:sz="8" w:color="CCCCCC"/>
            </w:tcBorders>
            <w:vMerge w:val="restart"/>
          </w:tcPr>
          <w:p>
            <w:pPr>
              <w:ind w:left="100"/>
              <w:spacing w:after="0"/>
              <w:rPr>
                <w:sz w:val="20"/>
                <w:szCs w:val="20"/>
                <w:color w:val="auto"/>
              </w:rPr>
            </w:pPr>
            <w:r>
              <w:rPr>
                <w:rFonts w:ascii="Arial" w:cs="Arial" w:eastAsia="Arial" w:hAnsi="Arial"/>
                <w:sz w:val="15"/>
                <w:szCs w:val="15"/>
                <w:color w:val="auto"/>
              </w:rPr>
              <w:t>​</w:t>
            </w:r>
          </w:p>
        </w:tc>
        <w:tc>
          <w:tcPr>
            <w:tcW w:w="2520" w:type="dxa"/>
            <w:vAlign w:val="bottom"/>
            <w:tcBorders>
              <w:top w:val="single" w:sz="8" w:color="CCCCCC"/>
            </w:tcBorders>
            <w:gridSpan w:val="3"/>
          </w:tcPr>
          <w:p>
            <w:pPr>
              <w:jc w:val="right"/>
              <w:ind w:right="307"/>
              <w:spacing w:after="0"/>
              <w:rPr>
                <w:sz w:val="20"/>
                <w:szCs w:val="20"/>
                <w:color w:val="auto"/>
              </w:rPr>
            </w:pPr>
            <w:r>
              <w:rPr>
                <w:rFonts w:ascii="Arial" w:cs="Arial" w:eastAsia="Arial" w:hAnsi="Arial"/>
                <w:sz w:val="15"/>
                <w:szCs w:val="15"/>
                <w:color w:val="auto"/>
              </w:rPr>
              <w:t>​CNP Savings Restoration Plan</w:t>
            </w:r>
          </w:p>
        </w:tc>
        <w:tc>
          <w:tcPr>
            <w:tcW w:w="280" w:type="dxa"/>
            <w:vAlign w:val="bottom"/>
            <w:tcBorders>
              <w:top w:val="single" w:sz="8" w:color="CCCCCC"/>
            </w:tcBorders>
          </w:tcPr>
          <w:p>
            <w:pPr>
              <w:ind w:left="140"/>
              <w:spacing w:after="0"/>
              <w:rPr>
                <w:sz w:val="20"/>
                <w:szCs w:val="20"/>
                <w:color w:val="auto"/>
              </w:rPr>
            </w:pPr>
            <w:r>
              <w:rPr>
                <w:rFonts w:ascii="Arial" w:cs="Arial" w:eastAsia="Arial" w:hAnsi="Arial"/>
                <w:sz w:val="15"/>
                <w:szCs w:val="15"/>
                <w:color w:val="auto"/>
              </w:rPr>
              <w:t>​ ​</w:t>
            </w:r>
          </w:p>
        </w:tc>
        <w:tc>
          <w:tcPr>
            <w:tcW w:w="840" w:type="dxa"/>
            <w:vAlign w:val="bottom"/>
            <w:tcBorders>
              <w:top w:val="single" w:sz="8" w:color="CCCCCC"/>
            </w:tcBorders>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280" w:type="dxa"/>
            <w:vAlign w:val="bottom"/>
            <w:tcBorders>
              <w:top w:val="single" w:sz="8" w:color="CCCCCC"/>
            </w:tcBorders>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CCCCCC"/>
            </w:tcBorders>
          </w:tcPr>
          <w:p>
            <w:pPr>
              <w:jc w:val="right"/>
              <w:ind w:right="66"/>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w:t>
            </w:r>
          </w:p>
        </w:tc>
        <w:tc>
          <w:tcPr>
            <w:tcW w:w="180" w:type="dxa"/>
            <w:vAlign w:val="bottom"/>
            <w:tcBorders>
              <w:top w:val="single" w:sz="8" w:color="CCCCCC"/>
            </w:tcBorders>
          </w:tcPr>
          <w:p>
            <w:pPr>
              <w:ind w:left="120"/>
              <w:spacing w:after="0"/>
              <w:rPr>
                <w:sz w:val="20"/>
                <w:szCs w:val="20"/>
                <w:color w:val="auto"/>
              </w:rPr>
            </w:pPr>
            <w:r>
              <w:rPr>
                <w:rFonts w:ascii="Arial" w:cs="Arial" w:eastAsia="Arial" w:hAnsi="Arial"/>
                <w:sz w:val="15"/>
                <w:szCs w:val="15"/>
                <w:b w:val="1"/>
                <w:bCs w:val="1"/>
                <w:color w:val="auto"/>
              </w:rPr>
              <w:t>​</w:t>
            </w:r>
          </w:p>
        </w:tc>
        <w:tc>
          <w:tcPr>
            <w:tcW w:w="540" w:type="dxa"/>
            <w:vAlign w:val="bottom"/>
            <w:tcBorders>
              <w:top w:val="single" w:sz="8" w:color="CCCCCC"/>
            </w:tcBorders>
          </w:tcPr>
          <w:p>
            <w:pPr>
              <w:jc w:val="right"/>
              <w:ind w:right="48"/>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Borders>
              <w:top w:val="single" w:sz="8" w:color="CCCCCC"/>
            </w:tcBorders>
          </w:tcPr>
          <w:p>
            <w:pPr>
              <w:spacing w:after="0"/>
              <w:rPr>
                <w:sz w:val="21"/>
                <w:szCs w:val="21"/>
                <w:color w:val="auto"/>
              </w:rPr>
            </w:pPr>
          </w:p>
        </w:tc>
        <w:tc>
          <w:tcPr>
            <w:tcW w:w="46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 ​​ ​</w:t>
            </w:r>
          </w:p>
        </w:tc>
        <w:tc>
          <w:tcPr>
            <w:tcW w:w="220" w:type="dxa"/>
            <w:vAlign w:val="bottom"/>
            <w:tcBorders>
              <w:top w:val="single" w:sz="8" w:color="CCCCCC"/>
            </w:tcBorders>
          </w:tcPr>
          <w:p>
            <w:pPr>
              <w:ind w:left="140"/>
              <w:spacing w:after="0"/>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CCCCCC"/>
            </w:tcBorders>
          </w:tcPr>
          <w:p>
            <w:pPr>
              <w:jc w:val="right"/>
              <w:ind w:right="47"/>
              <w:spacing w:after="0"/>
              <w:rPr>
                <w:sz w:val="20"/>
                <w:szCs w:val="20"/>
                <w:color w:val="auto"/>
              </w:rPr>
            </w:pPr>
            <w:r>
              <w:rPr>
                <w:rFonts w:ascii="Arial" w:cs="Arial" w:eastAsia="Arial" w:hAnsi="Arial"/>
                <w:sz w:val="15"/>
                <w:szCs w:val="15"/>
                <w:color w:val="auto"/>
              </w:rPr>
              <w:t>98,116</w:t>
            </w:r>
          </w:p>
        </w:tc>
        <w:tc>
          <w:tcPr>
            <w:tcW w:w="140" w:type="dxa"/>
            <w:vAlign w:val="bottom"/>
            <w:tcBorders>
              <w:top w:val="single" w:sz="8" w:color="CCCCCC"/>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1280" w:type="dxa"/>
            <w:vAlign w:val="bottom"/>
            <w:tcBorders>
              <w:bottom w:val="single" w:sz="8" w:color="CCCCCC"/>
            </w:tcBorders>
            <w:vMerge w:val="continue"/>
          </w:tcPr>
          <w:p>
            <w:pPr>
              <w:spacing w:after="0"/>
              <w:rPr>
                <w:sz w:val="5"/>
                <w:szCs w:val="5"/>
                <w:color w:val="auto"/>
              </w:rPr>
            </w:pPr>
          </w:p>
        </w:tc>
        <w:tc>
          <w:tcPr>
            <w:tcW w:w="160" w:type="dxa"/>
            <w:vAlign w:val="bottom"/>
            <w:tcBorders>
              <w:bottom w:val="single" w:sz="8" w:color="CCCCCC"/>
            </w:tcBorders>
            <w:vMerge w:val="continue"/>
          </w:tcPr>
          <w:p>
            <w:pPr>
              <w:spacing w:after="0"/>
              <w:rPr>
                <w:sz w:val="5"/>
                <w:szCs w:val="5"/>
                <w:color w:val="auto"/>
              </w:rPr>
            </w:pPr>
          </w:p>
        </w:tc>
        <w:tc>
          <w:tcPr>
            <w:tcW w:w="440" w:type="dxa"/>
            <w:vAlign w:val="bottom"/>
            <w:tcBorders>
              <w:bottom w:val="single" w:sz="8" w:color="CCCCCC"/>
            </w:tcBorders>
            <w:gridSpan w:val="2"/>
          </w:tcPr>
          <w:p>
            <w:pPr>
              <w:spacing w:after="0"/>
              <w:rPr>
                <w:sz w:val="5"/>
                <w:szCs w:val="5"/>
                <w:color w:val="auto"/>
              </w:rPr>
            </w:pPr>
          </w:p>
        </w:tc>
        <w:tc>
          <w:tcPr>
            <w:tcW w:w="208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480" w:type="dxa"/>
            <w:vAlign w:val="bottom"/>
            <w:tcBorders>
              <w:bottom w:val="single" w:sz="8" w:color="CCCCCC"/>
            </w:tcBorders>
          </w:tcPr>
          <w:p>
            <w:pPr>
              <w:spacing w:after="0"/>
              <w:rPr>
                <w:sz w:val="5"/>
                <w:szCs w:val="5"/>
                <w:color w:val="auto"/>
              </w:rPr>
            </w:pPr>
          </w:p>
        </w:tc>
        <w:tc>
          <w:tcPr>
            <w:tcW w:w="46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00" w:type="dxa"/>
            <w:vAlign w:val="bottom"/>
            <w:gridSpan w:val="4"/>
            <w:vMerge w:val="restart"/>
          </w:tcPr>
          <w:p>
            <w:pPr>
              <w:ind w:left="40"/>
              <w:spacing w:after="0"/>
              <w:rPr>
                <w:sz w:val="20"/>
                <w:szCs w:val="20"/>
                <w:color w:val="auto"/>
              </w:rPr>
            </w:pPr>
            <w:r>
              <w:rPr>
                <w:rFonts w:ascii="Arial" w:cs="Arial" w:eastAsia="Arial" w:hAnsi="Arial"/>
                <w:sz w:val="15"/>
                <w:szCs w:val="15"/>
                <w:color w:val="auto"/>
              </w:rPr>
              <w:t>​Vectren Deferred Compensation Plan ​ ​</w:t>
            </w:r>
          </w:p>
        </w:tc>
        <w:tc>
          <w:tcPr>
            <w:tcW w:w="8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2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5"/>
                <w:szCs w:val="15"/>
                <w:color w:val="auto"/>
              </w:rPr>
              <w:t>254</w:t>
            </w:r>
          </w:p>
        </w:tc>
        <w:tc>
          <w:tcPr>
            <w:tcW w:w="280" w:type="dxa"/>
            <w:vAlign w:val="bottom"/>
            <w:vMerge w:val="restart"/>
          </w:tcPr>
          <w:p>
            <w:pPr>
              <w:jc w:val="center"/>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4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 ​​ ​</w:t>
            </w:r>
          </w:p>
        </w:tc>
        <w:tc>
          <w:tcPr>
            <w:tcW w:w="2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5"/>
                <w:szCs w:val="15"/>
                <w:color w:val="auto"/>
              </w:rPr>
              <w:t>9,113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28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340" w:type="dxa"/>
            <w:vAlign w:val="bottom"/>
            <w:tcBorders>
              <w:bottom w:val="single" w:sz="8" w:color="CCCCCC"/>
            </w:tcBorders>
          </w:tcPr>
          <w:p>
            <w:pPr>
              <w:spacing w:after="0"/>
              <w:rPr>
                <w:sz w:val="5"/>
                <w:szCs w:val="5"/>
                <w:color w:val="auto"/>
              </w:rPr>
            </w:pPr>
          </w:p>
        </w:tc>
        <w:tc>
          <w:tcPr>
            <w:tcW w:w="208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84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540" w:type="dxa"/>
            <w:vAlign w:val="bottom"/>
            <w:tcBorders>
              <w:bottom w:val="single" w:sz="8" w:color="CCCCCC"/>
            </w:tcBorders>
          </w:tcPr>
          <w:p>
            <w:pPr>
              <w:spacing w:after="0"/>
              <w:rPr>
                <w:sz w:val="5"/>
                <w:szCs w:val="5"/>
                <w:color w:val="auto"/>
              </w:rPr>
            </w:pPr>
          </w:p>
        </w:tc>
        <w:tc>
          <w:tcPr>
            <w:tcW w:w="280" w:type="dxa"/>
            <w:vAlign w:val="bottom"/>
            <w:tcBorders>
              <w:bottom w:val="single" w:sz="8" w:color="CCCCCC"/>
            </w:tcBorders>
          </w:tcPr>
          <w:p>
            <w:pPr>
              <w:spacing w:after="0"/>
              <w:rPr>
                <w:sz w:val="5"/>
                <w:szCs w:val="5"/>
                <w:color w:val="auto"/>
              </w:rPr>
            </w:pPr>
          </w:p>
        </w:tc>
        <w:tc>
          <w:tcPr>
            <w:tcW w:w="480" w:type="dxa"/>
            <w:vAlign w:val="bottom"/>
            <w:tcBorders>
              <w:bottom w:val="single" w:sz="8" w:color="CCCCCC"/>
            </w:tcBorders>
          </w:tcPr>
          <w:p>
            <w:pPr>
              <w:spacing w:after="0"/>
              <w:rPr>
                <w:sz w:val="5"/>
                <w:szCs w:val="5"/>
                <w:color w:val="auto"/>
              </w:rPr>
            </w:pPr>
          </w:p>
        </w:tc>
        <w:tc>
          <w:tcPr>
            <w:tcW w:w="460" w:type="dxa"/>
            <w:vAlign w:val="bottom"/>
            <w:tcBorders>
              <w:bottom w:val="single" w:sz="8" w:color="CCCCCC"/>
            </w:tcBorders>
          </w:tcPr>
          <w:p>
            <w:pPr>
              <w:spacing w:after="0"/>
              <w:rPr>
                <w:sz w:val="5"/>
                <w:szCs w:val="5"/>
                <w:color w:val="auto"/>
              </w:rPr>
            </w:pPr>
          </w:p>
        </w:tc>
        <w:tc>
          <w:tcPr>
            <w:tcW w:w="22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0" w:type="dxa"/>
            <w:vAlign w:val="bottom"/>
            <w:tcBorders>
              <w:bottom w:val="single" w:sz="8" w:color="CCCCC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20" w:right="160" w:hanging="189"/>
        <w:spacing w:after="0" w:line="216" w:lineRule="auto"/>
        <w:tabs>
          <w:tab w:leader="none" w:pos="920" w:val="left"/>
        </w:tabs>
        <w:numPr>
          <w:ilvl w:val="0"/>
          <w:numId w:val="125"/>
        </w:numPr>
        <w:rPr>
          <w:rFonts w:ascii="Arial" w:cs="Arial" w:eastAsia="Arial" w:hAnsi="Arial"/>
          <w:sz w:val="20"/>
          <w:szCs w:val="20"/>
          <w:color w:val="auto"/>
          <w:vertAlign w:val="superscript"/>
        </w:rPr>
      </w:pPr>
      <w:r>
        <w:rPr>
          <w:rFonts w:ascii="Arial" w:cs="Arial" w:eastAsia="Arial" w:hAnsi="Arial"/>
          <w:sz w:val="13"/>
          <w:szCs w:val="13"/>
          <w:color w:val="auto"/>
        </w:rPr>
        <w:t>The Registrant Contributions in 2024 column for the savings restoration plan include employer contributions that could not be made to the tax-qualified savings plan due to limitations under the Internal Revenue Code. Our contributions to the savings plan and savings restoration plan for the named executive officers are also included in the footnote to the All Other Compensation column of the Summary Compensation Table.</w:t>
      </w:r>
    </w:p>
    <w:p>
      <w:pPr>
        <w:spacing w:after="0" w:line="50" w:lineRule="exact"/>
        <w:rPr>
          <w:rFonts w:ascii="Arial" w:cs="Arial" w:eastAsia="Arial" w:hAnsi="Arial"/>
          <w:sz w:val="20"/>
          <w:szCs w:val="20"/>
          <w:color w:val="auto"/>
          <w:vertAlign w:val="superscript"/>
        </w:rPr>
      </w:pPr>
    </w:p>
    <w:p>
      <w:pPr>
        <w:ind w:left="920" w:right="280" w:hanging="189"/>
        <w:spacing w:after="0" w:line="221" w:lineRule="auto"/>
        <w:tabs>
          <w:tab w:leader="none" w:pos="920" w:val="left"/>
        </w:tabs>
        <w:numPr>
          <w:ilvl w:val="0"/>
          <w:numId w:val="125"/>
        </w:numPr>
        <w:rPr>
          <w:rFonts w:ascii="Arial" w:cs="Arial" w:eastAsia="Arial" w:hAnsi="Arial"/>
          <w:sz w:val="20"/>
          <w:szCs w:val="20"/>
          <w:color w:val="auto"/>
          <w:vertAlign w:val="superscript"/>
        </w:rPr>
      </w:pPr>
      <w:r>
        <w:rPr>
          <w:rFonts w:ascii="Arial" w:cs="Arial" w:eastAsia="Arial" w:hAnsi="Arial"/>
          <w:sz w:val="13"/>
          <w:szCs w:val="13"/>
          <w:color w:val="auto"/>
        </w:rPr>
        <w:t>For the deferred compensation plans, Aggregate Earnings in 2024 consist of earnings on prior plan deferrals. For Mr. Ryan, the 2024 interest rate for the CNP Deferred Compensation Plan was 7.44% with interest compounded annually. For Ms. Wilson, 2024 earnings for the Vectren Deferred Compensation Plan include gains and losses calculated using the annualized rate of return for her account based on the investment funds she selected for the deemed investment of her account.</w:t>
      </w:r>
    </w:p>
    <w:p>
      <w:pPr>
        <w:spacing w:after="0" w:line="36" w:lineRule="exact"/>
        <w:rPr>
          <w:rFonts w:ascii="Arial" w:cs="Arial" w:eastAsia="Arial" w:hAnsi="Arial"/>
          <w:sz w:val="20"/>
          <w:szCs w:val="20"/>
          <w:color w:val="auto"/>
          <w:vertAlign w:val="superscript"/>
        </w:rPr>
      </w:pPr>
    </w:p>
    <w:p>
      <w:pPr>
        <w:ind w:left="920" w:right="200"/>
        <w:spacing w:after="0" w:line="262" w:lineRule="auto"/>
        <w:rPr>
          <w:rFonts w:ascii="Arial" w:cs="Arial" w:eastAsia="Arial" w:hAnsi="Arial"/>
          <w:sz w:val="20"/>
          <w:szCs w:val="20"/>
          <w:color w:val="auto"/>
          <w:vertAlign w:val="superscript"/>
        </w:rPr>
      </w:pPr>
      <w:r>
        <w:rPr>
          <w:rFonts w:ascii="Arial" w:cs="Arial" w:eastAsia="Arial" w:hAnsi="Arial"/>
          <w:sz w:val="13"/>
          <w:szCs w:val="13"/>
          <w:color w:val="auto"/>
        </w:rPr>
        <w:t>For the savings restoration plans, Aggregate Earnings in 2024 include gains and losses determined based on the participant’s balances as of January 1, 2024 plus any employer contributions credited for that year. The gains and losses are calculated using the annualized rate of return for the participant’s account in the plans based on the investment funds selected by the participant.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Potential Payments upon Change in Control or Termination</w:t>
      </w:r>
    </w:p>
    <w:p>
      <w:pPr>
        <w:spacing w:after="0" w:line="112" w:lineRule="exact"/>
        <w:rPr>
          <w:sz w:val="20"/>
          <w:szCs w:val="20"/>
          <w:color w:val="auto"/>
        </w:rPr>
      </w:pPr>
    </w:p>
    <w:p>
      <w:pPr>
        <w:ind w:left="740" w:right="420"/>
        <w:spacing w:after="0" w:line="266" w:lineRule="auto"/>
        <w:rPr>
          <w:sz w:val="20"/>
          <w:szCs w:val="20"/>
          <w:color w:val="auto"/>
        </w:rPr>
      </w:pPr>
      <w:r>
        <w:rPr>
          <w:rFonts w:ascii="Arial" w:cs="Arial" w:eastAsia="Arial" w:hAnsi="Arial"/>
          <w:sz w:val="16"/>
          <w:szCs w:val="16"/>
          <w:color w:val="auto"/>
        </w:rPr>
        <w:t>Our Board adopted a change in control plan to ensure consistency of officer benefits and to simplify administration, which was effective January 1, 2015, and was subsequently amended and restated, effective May 1, 2017 (the plan). All of our named executive officers are participants in the plan.</w:t>
      </w:r>
    </w:p>
    <w:p>
      <w:pPr>
        <w:spacing w:after="0" w:line="104" w:lineRule="exact"/>
        <w:rPr>
          <w:sz w:val="20"/>
          <w:szCs w:val="20"/>
          <w:color w:val="auto"/>
        </w:rPr>
      </w:pPr>
    </w:p>
    <w:p>
      <w:pPr>
        <w:ind w:left="740" w:right="60"/>
        <w:spacing w:after="0" w:line="259" w:lineRule="auto"/>
        <w:rPr>
          <w:sz w:val="20"/>
          <w:szCs w:val="20"/>
          <w:color w:val="auto"/>
        </w:rPr>
      </w:pPr>
      <w:r>
        <w:rPr>
          <w:rFonts w:ascii="Arial" w:cs="Arial" w:eastAsia="Arial" w:hAnsi="Arial"/>
          <w:sz w:val="16"/>
          <w:szCs w:val="16"/>
          <w:color w:val="auto"/>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p>
    <w:p>
      <w:pPr>
        <w:spacing w:after="0" w:line="70" w:lineRule="exact"/>
        <w:rPr>
          <w:sz w:val="20"/>
          <w:szCs w:val="20"/>
          <w:color w:val="auto"/>
        </w:rPr>
      </w:pPr>
    </w:p>
    <w:p>
      <w:pPr>
        <w:jc w:val="both"/>
        <w:ind w:left="920" w:right="140" w:hanging="189"/>
        <w:spacing w:after="0" w:line="275"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p>
    <w:p>
      <w:pPr>
        <w:spacing w:after="0" w:line="56" w:lineRule="exact"/>
        <w:rPr>
          <w:rFonts w:ascii="Arial" w:cs="Arial" w:eastAsia="Arial" w:hAnsi="Arial"/>
          <w:sz w:val="16"/>
          <w:szCs w:val="16"/>
          <w:color w:val="auto"/>
        </w:rPr>
      </w:pPr>
    </w:p>
    <w:p>
      <w:pPr>
        <w:ind w:left="920" w:right="160" w:hanging="189"/>
        <w:spacing w:after="0" w:line="304"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members of our Board on the effective date of the plan, and successors designated as provided in the agreement, cease to constitute a majority of the Board;</w:t>
      </w:r>
    </w:p>
    <w:p>
      <w:pPr>
        <w:spacing w:after="0" w:line="33" w:lineRule="exact"/>
        <w:rPr>
          <w:rFonts w:ascii="Arial" w:cs="Arial" w:eastAsia="Arial" w:hAnsi="Arial"/>
          <w:sz w:val="16"/>
          <w:szCs w:val="16"/>
          <w:color w:val="auto"/>
        </w:rPr>
      </w:pPr>
    </w:p>
    <w:p>
      <w:pPr>
        <w:ind w:left="920" w:right="360" w:hanging="189"/>
        <w:spacing w:after="0" w:line="304"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approval by the shareholders of (or if there is no such approval, consummation of) a merger or consolidation of, or involving, CenterPoint Energy unless:</w:t>
      </w:r>
    </w:p>
    <w:p>
      <w:pPr>
        <w:spacing w:after="0" w:line="33" w:lineRule="exact"/>
        <w:rPr>
          <w:rFonts w:ascii="Arial" w:cs="Arial" w:eastAsia="Arial" w:hAnsi="Arial"/>
          <w:sz w:val="16"/>
          <w:szCs w:val="16"/>
          <w:color w:val="auto"/>
        </w:rPr>
      </w:pPr>
    </w:p>
    <w:p>
      <w:pPr>
        <w:ind w:left="1280" w:right="880" w:hanging="190"/>
        <w:spacing w:after="0" w:line="304"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more than 70% of the surviving corporation’s outstanding voting securities are owned by former shareholders of CenterPoint Energy,</w:t>
      </w:r>
    </w:p>
    <w:p>
      <w:pPr>
        <w:spacing w:after="0" w:line="33" w:lineRule="exact"/>
        <w:rPr>
          <w:rFonts w:ascii="Arial" w:cs="Arial" w:eastAsia="Arial" w:hAnsi="Arial"/>
          <w:sz w:val="16"/>
          <w:szCs w:val="16"/>
          <w:color w:val="auto"/>
        </w:rPr>
      </w:pPr>
    </w:p>
    <w:p>
      <w:pPr>
        <w:ind w:left="1280" w:right="120" w:hanging="190"/>
        <w:spacing w:after="0" w:line="284"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p>
    <w:p>
      <w:pPr>
        <w:spacing w:after="0" w:line="48" w:lineRule="exact"/>
        <w:rPr>
          <w:rFonts w:ascii="Arial" w:cs="Arial" w:eastAsia="Arial" w:hAnsi="Arial"/>
          <w:sz w:val="16"/>
          <w:szCs w:val="16"/>
          <w:color w:val="auto"/>
        </w:rPr>
      </w:pPr>
    </w:p>
    <w:p>
      <w:pPr>
        <w:ind w:left="1280" w:right="400" w:hanging="190"/>
        <w:spacing w:after="0" w:line="304"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no person is the direct or indirect beneficial owner of 30% or more of the then outstanding shares of voting stock of the parent corporation resulting from the transaction, and</w:t>
      </w:r>
    </w:p>
    <w:p>
      <w:pPr>
        <w:spacing w:after="0" w:line="33" w:lineRule="exact"/>
        <w:rPr>
          <w:rFonts w:ascii="Arial" w:cs="Arial" w:eastAsia="Arial" w:hAnsi="Arial"/>
          <w:sz w:val="16"/>
          <w:szCs w:val="16"/>
          <w:color w:val="auto"/>
        </w:rPr>
      </w:pPr>
    </w:p>
    <w:p>
      <w:pPr>
        <w:ind w:left="1280" w:right="20" w:hanging="190"/>
        <w:spacing w:after="0" w:line="304"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majority of the members of the board of directors of the parent corporation resulting from the transaction were members of our Board immediately prior to consummation of the transaction; or</w:t>
      </w:r>
    </w:p>
    <w:p>
      <w:pPr>
        <w:spacing w:after="0" w:line="33" w:lineRule="exact"/>
        <w:rPr>
          <w:rFonts w:ascii="Arial" w:cs="Arial" w:eastAsia="Arial" w:hAnsi="Arial"/>
          <w:sz w:val="16"/>
          <w:szCs w:val="16"/>
          <w:color w:val="auto"/>
        </w:rPr>
      </w:pPr>
    </w:p>
    <w:p>
      <w:pPr>
        <w:ind w:left="920" w:right="560" w:hanging="189"/>
        <w:spacing w:after="0" w:line="304"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approval by the shareholders of (or if there is no such approval, consummation of) a sale or disposition of 70% or more of CenterPoint Energy’s assets unless:</w:t>
      </w:r>
    </w:p>
    <w:p>
      <w:pPr>
        <w:spacing w:after="0" w:line="33" w:lineRule="exact"/>
        <w:rPr>
          <w:rFonts w:ascii="Arial" w:cs="Arial" w:eastAsia="Arial" w:hAnsi="Arial"/>
          <w:sz w:val="16"/>
          <w:szCs w:val="16"/>
          <w:color w:val="auto"/>
        </w:rPr>
      </w:pPr>
    </w:p>
    <w:p>
      <w:pPr>
        <w:ind w:left="1280" w:right="80" w:hanging="190"/>
        <w:spacing w:after="0" w:line="271"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p>
    <w:p>
      <w:pPr>
        <w:spacing w:after="0" w:line="59" w:lineRule="exact"/>
        <w:rPr>
          <w:rFonts w:ascii="Arial" w:cs="Arial" w:eastAsia="Arial" w:hAnsi="Arial"/>
          <w:sz w:val="16"/>
          <w:szCs w:val="16"/>
          <w:color w:val="auto"/>
        </w:rPr>
      </w:pPr>
    </w:p>
    <w:p>
      <w:pPr>
        <w:ind w:left="1280" w:hanging="190"/>
        <w:spacing w:after="0" w:line="284" w:lineRule="auto"/>
        <w:tabs>
          <w:tab w:leader="none" w:pos="12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p>
    <w:p>
      <w:pPr>
        <w:spacing w:after="0" w:line="89" w:lineRule="exact"/>
        <w:rPr>
          <w:sz w:val="20"/>
          <w:szCs w:val="20"/>
          <w:color w:val="auto"/>
        </w:rPr>
      </w:pPr>
    </w:p>
    <w:p>
      <w:pPr>
        <w:ind w:left="740" w:right="400"/>
        <w:spacing w:after="0" w:line="256" w:lineRule="auto"/>
        <w:rPr>
          <w:sz w:val="20"/>
          <w:szCs w:val="20"/>
          <w:color w:val="auto"/>
        </w:rPr>
      </w:pPr>
      <w:r>
        <w:rPr>
          <w:rFonts w:ascii="Arial" w:cs="Arial" w:eastAsia="Arial" w:hAnsi="Arial"/>
          <w:sz w:val="16"/>
          <w:szCs w:val="16"/>
          <w:color w:val="auto"/>
        </w:rPr>
        <w:t>Under the plan, a covered termination occurs if the officer’s employment is terminated within three months prior to a change in control (provided that a binding agreement to effect a change in control has been executed as of the termination) or within</w:t>
      </w:r>
    </w:p>
    <w:p>
      <w:pPr>
        <w:spacing w:after="0" w:line="1" w:lineRule="exact"/>
        <w:rPr>
          <w:sz w:val="20"/>
          <w:szCs w:val="20"/>
          <w:color w:val="auto"/>
        </w:rPr>
      </w:pPr>
    </w:p>
    <w:p>
      <w:pPr>
        <w:ind w:left="740" w:right="40"/>
        <w:spacing w:after="0" w:line="248" w:lineRule="auto"/>
        <w:rPr>
          <w:sz w:val="20"/>
          <w:szCs w:val="20"/>
          <w:color w:val="auto"/>
        </w:rPr>
      </w:pPr>
      <w:r>
        <w:rPr>
          <w:rFonts w:ascii="Arial" w:cs="Arial" w:eastAsia="Arial" w:hAnsi="Arial"/>
          <w:sz w:val="16"/>
          <w:szCs w:val="16"/>
          <w:color w:val="auto"/>
        </w:rPr>
        <w:t>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p>
    <w:p>
      <w:pPr>
        <w:spacing w:after="0" w:line="122" w:lineRule="exact"/>
        <w:rPr>
          <w:sz w:val="20"/>
          <w:szCs w:val="20"/>
          <w:color w:val="auto"/>
        </w:rPr>
      </w:pPr>
    </w:p>
    <w:p>
      <w:pPr>
        <w:ind w:left="740" w:right="80"/>
        <w:spacing w:after="0" w:line="259" w:lineRule="auto"/>
        <w:rPr>
          <w:sz w:val="20"/>
          <w:szCs w:val="20"/>
          <w:color w:val="auto"/>
        </w:rPr>
      </w:pPr>
      <w:r>
        <w:rPr>
          <w:rFonts w:ascii="Arial" w:cs="Arial" w:eastAsia="Arial" w:hAnsi="Arial"/>
          <w:sz w:val="16"/>
          <w:szCs w:val="16"/>
          <w:color w:val="auto"/>
        </w:rPr>
        <w:t>The plan provides for payment to our named executive officers experiencing a covered termination of employment a lump sum amount equal to (i) three times, in the case of Messrs. Wells and Lesar (or two times for Mr. Wells prior to his appointment as Chief Executive Officer), and (ii) two times, in the case of Messrs. Foster and Ryan and Mses. Karuturi, Harkel-Rumford, and Wilson, the sum of the officer’s base salary plus short-term incentive award at target, if applicable.</w:t>
      </w:r>
    </w:p>
    <w:p>
      <w:pPr>
        <w:spacing w:after="0" w:line="97" w:lineRule="exact"/>
        <w:rPr>
          <w:sz w:val="20"/>
          <w:szCs w:val="20"/>
          <w:color w:val="auto"/>
        </w:rPr>
      </w:pPr>
    </w:p>
    <w:p>
      <w:pPr>
        <w:ind w:left="740" w:right="180"/>
        <w:spacing w:after="0" w:line="253" w:lineRule="auto"/>
        <w:rPr>
          <w:sz w:val="20"/>
          <w:szCs w:val="20"/>
          <w:color w:val="auto"/>
        </w:rPr>
      </w:pPr>
      <w:r>
        <w:rPr>
          <w:rFonts w:ascii="Arial" w:cs="Arial" w:eastAsia="Arial" w:hAnsi="Arial"/>
          <w:sz w:val="16"/>
          <w:szCs w:val="16"/>
          <w:color w:val="auto"/>
        </w:rPr>
        <w:t>For officers who are not age 55 or older with five years of service (which includes all our named executive officers except Ms. Harkel-Rumford), the plan also provides for a prorated short-term incentive lump sum payment based on the officer’s annualized base pay as of the date of termination multiplied by his or her short-term incentive target and is prorated based on the number of days he or she was employed during the performance year. In addition, Mr. Ryan and Mses. Karuturi and Harkel-Rumford will be entitled to a benefit equal to two additional years of pay credits under the cash balance formula under the retirement plan, and such additional benefit will be paid in the same time and manner that the officer’s benefit under the benefit restoration plan is paid.</w:t>
      </w:r>
    </w:p>
    <w:p>
      <w:pPr>
        <w:sectPr>
          <w:pgSz w:w="11900" w:h="16838" w:orient="portrait"/>
          <w:cols w:equalWidth="0" w:num="1">
            <w:col w:w="10000"/>
          </w:cols>
          <w:pgMar w:left="580" w:top="97" w:right="1319" w:bottom="1440" w:gutter="0" w:footer="0" w:header="0"/>
        </w:sectPr>
      </w:pPr>
    </w:p>
    <w:p>
      <w:pPr>
        <w:spacing w:after="0" w:line="231" w:lineRule="exact"/>
        <w:rPr>
          <w:sz w:val="20"/>
          <w:szCs w:val="20"/>
          <w:color w:val="auto"/>
        </w:rPr>
      </w:pPr>
    </w:p>
    <w:p>
      <w:pPr>
        <w:ind w:left="740"/>
        <w:spacing w:after="0"/>
        <w:tabs>
          <w:tab w:leader="none" w:pos="1140" w:val="left"/>
        </w:tabs>
        <w:rPr>
          <w:sz w:val="20"/>
          <w:szCs w:val="20"/>
          <w:color w:val="auto"/>
        </w:rPr>
      </w:pPr>
      <w:r>
        <w:rPr>
          <w:rFonts w:ascii="Arial" w:cs="Arial" w:eastAsia="Arial" w:hAnsi="Arial"/>
          <w:sz w:val="12"/>
          <w:szCs w:val="12"/>
          <w:b w:val="1"/>
          <w:bCs w:val="1"/>
          <w:color w:val="auto"/>
        </w:rPr>
        <w:t>68</w:t>
      </w:r>
      <w:r>
        <w:rPr>
          <w:sz w:val="20"/>
          <w:szCs w:val="20"/>
          <w:color w:val="auto"/>
        </w:rPr>
        <w:tab/>
      </w:r>
      <w:r>
        <w:rPr>
          <w:rFonts w:ascii="Arial" w:cs="Arial" w:eastAsia="Arial" w:hAnsi="Arial"/>
          <w:sz w:val="12"/>
          <w:szCs w:val="12"/>
          <w:b w:val="1"/>
          <w:bCs w:val="1"/>
          <w:color w:val="6EC4E8"/>
        </w:rPr>
        <w:t xml:space="preserve">CenterPoint Energy, Inc.  </w:t>
      </w:r>
      <w:r>
        <w:rPr>
          <w:rFonts w:ascii="Arial" w:cs="Arial" w:eastAsia="Arial" w:hAnsi="Arial"/>
          <w:sz w:val="12"/>
          <w:szCs w:val="12"/>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80"/>
        <w:spacing w:after="0" w:line="274" w:lineRule="auto"/>
        <w:rPr>
          <w:sz w:val="20"/>
          <w:szCs w:val="20"/>
          <w:color w:val="auto"/>
        </w:rPr>
      </w:pPr>
      <w:r>
        <w:rPr>
          <w:rFonts w:ascii="Arial" w:cs="Arial" w:eastAsia="Arial" w:hAnsi="Arial"/>
          <w:sz w:val="16"/>
          <w:szCs w:val="16"/>
          <w:color w:val="auto"/>
        </w:rPr>
        <w:t>The plan provides a similar benefit for officers who are not eligible to participate in the retirement plan. Messrs. Wells and Lesar will be entitled to a benefit equal to three additional years (or two additional years for Mr. Wells prior to his appointment as Chief Executive Officer), and Mr. Foster and Ms. Wilson will be entitled to a benefit equal to two additional years, of employer nonelective contributions under the savings plan, and such additional benefit will be paid in the same time and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p>
    <w:p>
      <w:pPr>
        <w:spacing w:after="0" w:line="115" w:lineRule="exact"/>
        <w:rPr>
          <w:sz w:val="20"/>
          <w:szCs w:val="20"/>
          <w:color w:val="auto"/>
        </w:rPr>
      </w:pPr>
    </w:p>
    <w:p>
      <w:pPr>
        <w:ind w:left="740" w:right="300"/>
        <w:spacing w:after="0" w:line="304" w:lineRule="auto"/>
        <w:rPr>
          <w:sz w:val="20"/>
          <w:szCs w:val="20"/>
          <w:color w:val="auto"/>
        </w:rPr>
      </w:pPr>
      <w:r>
        <w:rPr>
          <w:rFonts w:ascii="Arial" w:cs="Arial" w:eastAsia="Arial" w:hAnsi="Arial"/>
          <w:sz w:val="16"/>
          <w:szCs w:val="16"/>
          <w:color w:val="auto"/>
        </w:rPr>
        <w:t>Due to Mr. Lesar and Mses. Harkel-Rumford’s and Wilson’s departures from the Company, they are no longer eligible to receive any payments upon a change in control under the plan.</w:t>
      </w:r>
    </w:p>
    <w:p>
      <w:pPr>
        <w:spacing w:after="0" w:line="87" w:lineRule="exact"/>
        <w:rPr>
          <w:sz w:val="20"/>
          <w:szCs w:val="20"/>
          <w:color w:val="auto"/>
        </w:rPr>
      </w:pPr>
    </w:p>
    <w:p>
      <w:pPr>
        <w:jc w:val="both"/>
        <w:ind w:left="740" w:right="340"/>
        <w:spacing w:after="0" w:line="283" w:lineRule="auto"/>
        <w:rPr>
          <w:sz w:val="20"/>
          <w:szCs w:val="20"/>
          <w:color w:val="auto"/>
        </w:rPr>
      </w:pPr>
      <w:r>
        <w:rPr>
          <w:rFonts w:ascii="Arial" w:cs="Arial" w:eastAsia="Arial" w:hAnsi="Arial"/>
          <w:sz w:val="16"/>
          <w:szCs w:val="16"/>
          <w:color w:val="auto"/>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 of the Internal Revenue Code.</w:t>
      </w:r>
    </w:p>
    <w:p>
      <w:pPr>
        <w:spacing w:after="0" w:line="104" w:lineRule="exact"/>
        <w:rPr>
          <w:sz w:val="20"/>
          <w:szCs w:val="20"/>
          <w:color w:val="auto"/>
        </w:rPr>
      </w:pPr>
    </w:p>
    <w:p>
      <w:pPr>
        <w:ind w:left="740" w:right="60"/>
        <w:spacing w:after="0" w:line="274" w:lineRule="auto"/>
        <w:rPr>
          <w:sz w:val="20"/>
          <w:szCs w:val="20"/>
          <w:color w:val="auto"/>
        </w:rPr>
      </w:pPr>
      <w:r>
        <w:rPr>
          <w:rFonts w:ascii="Arial" w:cs="Arial" w:eastAsia="Arial" w:hAnsi="Arial"/>
          <w:sz w:val="16"/>
          <w:szCs w:val="16"/>
          <w:color w:val="auto"/>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p>
    <w:p>
      <w:pPr>
        <w:spacing w:after="0" w:line="115" w:lineRule="exact"/>
        <w:rPr>
          <w:sz w:val="20"/>
          <w:szCs w:val="20"/>
          <w:color w:val="auto"/>
        </w:rPr>
      </w:pPr>
    </w:p>
    <w:p>
      <w:pPr>
        <w:ind w:left="740" w:right="140"/>
        <w:spacing w:after="0" w:line="292" w:lineRule="auto"/>
        <w:rPr>
          <w:sz w:val="20"/>
          <w:szCs w:val="20"/>
          <w:color w:val="auto"/>
        </w:rPr>
      </w:pPr>
      <w:r>
        <w:rPr>
          <w:rFonts w:ascii="Arial" w:cs="Arial" w:eastAsia="Arial" w:hAnsi="Arial"/>
          <w:sz w:val="16"/>
          <w:szCs w:val="16"/>
          <w:i w:val="1"/>
          <w:iCs w:val="1"/>
          <w:color w:val="auto"/>
        </w:rPr>
        <w:t xml:space="preserve">Change in control provisions in awards under our current long-term incentive plan. </w:t>
      </w:r>
      <w:r>
        <w:rPr>
          <w:rFonts w:ascii="Arial" w:cs="Arial" w:eastAsia="Arial" w:hAnsi="Arial"/>
          <w:sz w:val="16"/>
          <w:szCs w:val="16"/>
          <w:color w:val="auto"/>
        </w:rPr>
        <w:t>Awards granted under the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are not subject to the plan and are governed by the long-term incentive plan and the applicable award agreements. The different outstanding award types under the long-term incentive plan are treated as follows:</w:t>
      </w:r>
    </w:p>
    <w:p>
      <w:pPr>
        <w:spacing w:after="0" w:line="98" w:lineRule="exact"/>
        <w:rPr>
          <w:sz w:val="20"/>
          <w:szCs w:val="20"/>
          <w:color w:val="auto"/>
        </w:rPr>
      </w:pPr>
    </w:p>
    <w:p>
      <w:pPr>
        <w:ind w:left="740" w:right="160"/>
        <w:spacing w:after="0" w:line="274" w:lineRule="auto"/>
        <w:rPr>
          <w:sz w:val="20"/>
          <w:szCs w:val="20"/>
          <w:color w:val="auto"/>
        </w:rPr>
      </w:pPr>
      <w:r>
        <w:rPr>
          <w:rFonts w:ascii="Arial" w:cs="Arial" w:eastAsia="Arial" w:hAnsi="Arial"/>
          <w:sz w:val="16"/>
          <w:szCs w:val="16"/>
          <w:u w:val="single" w:color="auto"/>
          <w:color w:val="auto"/>
        </w:rPr>
        <w:t>Stock Awards</w:t>
      </w:r>
      <w:r>
        <w:rPr>
          <w:rFonts w:ascii="Arial" w:cs="Arial" w:eastAsia="Arial" w:hAnsi="Arial"/>
          <w:sz w:val="16"/>
          <w:szCs w:val="16"/>
          <w:color w:val="auto"/>
        </w:rPr>
        <w:t>. For all outstanding stock awards (other than the buy-out award granted to Mr. Foster),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 The buy-out award granted to Mr. Foster does not provide for accelerated vesting upon a change in control but provides for accelerated vesting upon death, disability, or termination of employment without cause (as defined in the award agreement).</w:t>
      </w:r>
    </w:p>
    <w:p>
      <w:pPr>
        <w:spacing w:after="0" w:line="113" w:lineRule="exact"/>
        <w:rPr>
          <w:sz w:val="20"/>
          <w:szCs w:val="20"/>
          <w:color w:val="auto"/>
        </w:rPr>
      </w:pPr>
    </w:p>
    <w:p>
      <w:pPr>
        <w:ind w:left="740" w:right="140"/>
        <w:spacing w:after="0" w:line="292" w:lineRule="auto"/>
        <w:rPr>
          <w:sz w:val="20"/>
          <w:szCs w:val="20"/>
          <w:color w:val="auto"/>
        </w:rPr>
      </w:pPr>
      <w:r>
        <w:rPr>
          <w:rFonts w:ascii="Arial" w:cs="Arial" w:eastAsia="Arial" w:hAnsi="Arial"/>
          <w:sz w:val="16"/>
          <w:szCs w:val="16"/>
          <w:u w:val="single" w:color="auto"/>
          <w:color w:val="auto"/>
        </w:rPr>
        <w:t>Performance Share Units</w:t>
      </w:r>
      <w:r>
        <w:rPr>
          <w:rFonts w:ascii="Arial" w:cs="Arial" w:eastAsia="Arial" w:hAnsi="Arial"/>
          <w:sz w:val="16"/>
          <w:szCs w:val="16"/>
          <w:color w:val="auto"/>
        </w:rPr>
        <w:t>. For all outstanding performance share units, “double trigger” vesting applies, and vesting is accelerated upon a change in control only if the award is not continued, assumed, or substituted or if a covered termination of employment occurs (as described above for stock awards).</w:t>
      </w:r>
    </w:p>
    <w:p>
      <w:pPr>
        <w:spacing w:after="0" w:line="98" w:lineRule="exact"/>
        <w:rPr>
          <w:sz w:val="20"/>
          <w:szCs w:val="20"/>
          <w:color w:val="auto"/>
        </w:rPr>
      </w:pPr>
    </w:p>
    <w:p>
      <w:pPr>
        <w:ind w:left="740" w:right="80"/>
        <w:spacing w:after="0" w:line="292" w:lineRule="auto"/>
        <w:rPr>
          <w:sz w:val="20"/>
          <w:szCs w:val="20"/>
          <w:color w:val="auto"/>
        </w:rPr>
      </w:pPr>
      <w:r>
        <w:rPr>
          <w:rFonts w:ascii="Arial" w:cs="Arial" w:eastAsia="Arial" w:hAnsi="Arial"/>
          <w:sz w:val="15"/>
          <w:szCs w:val="15"/>
          <w:i w:val="1"/>
          <w:iCs w:val="1"/>
          <w:color w:val="auto"/>
        </w:rPr>
        <w:t>Executive Severance Guidelines</w:t>
      </w:r>
      <w:r>
        <w:rPr>
          <w:rFonts w:ascii="Arial" w:cs="Arial" w:eastAsia="Arial" w:hAnsi="Arial"/>
          <w:sz w:val="15"/>
          <w:szCs w:val="15"/>
          <w:color w:val="auto"/>
        </w:rPr>
        <w:t>. We do not maintain individual employee agreements or a separate non-change-in-control</w:t>
      </w:r>
      <w:r>
        <w:rPr>
          <w:rFonts w:ascii="Arial" w:cs="Arial" w:eastAsia="Arial" w:hAnsi="Arial"/>
          <w:sz w:val="15"/>
          <w:szCs w:val="15"/>
          <w:i w:val="1"/>
          <w:iCs w:val="1"/>
          <w:color w:val="auto"/>
        </w:rPr>
        <w:t xml:space="preserve"> </w:t>
      </w:r>
      <w:r>
        <w:rPr>
          <w:rFonts w:ascii="Arial" w:cs="Arial" w:eastAsia="Arial" w:hAnsi="Arial"/>
          <w:sz w:val="15"/>
          <w:szCs w:val="15"/>
          <w:color w:val="auto"/>
        </w:rPr>
        <w:t>severance plan for executives. However, in response to shareholder feedback, the Human Capital and Compensation Committee has adopted executive severance guidelines to set forth appropriate limits on any severance payments made to our named executive officers. The guidelines do not entitle any executive to severance benefits upon termination. The Human Capital and Compensation Committee continues to have discretion to determine the eligibility of a named executive officer for severance benefits and the amounts of any benefits. Under the guidelines, severance payments are to be made only upon a named executive officer’s involuntary termination without cause, and if a cash severance payment is determined to be appropriate, such payment may not exceed, absent compelling reasons, the sum of (i) one and one-half (1.5) times (or in the case of the Chief Executive Officer, two (2) times) annual base salary, with the actual multiplier determined based on relevant factors such as years of service, and (ii) the executive’s target short-term incentive award. An additional amount may also be paid to compensate for any short-term incentive award forfeited due to the executive’s termination. Additional amounts or benefits may also be provided as deemed appropriate to reasonably compensate the executive for the loss of active employee welfare benefits, financial services, or other benefits or for relocation expenses, and reasonable outplacement services may be provided. The guidelines do not apply</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60"/>
        <w:spacing w:after="0" w:line="266" w:lineRule="auto"/>
        <w:rPr>
          <w:sz w:val="20"/>
          <w:szCs w:val="20"/>
          <w:color w:val="auto"/>
        </w:rPr>
      </w:pPr>
      <w:r>
        <w:rPr>
          <w:rFonts w:ascii="Arial" w:cs="Arial" w:eastAsia="Arial" w:hAnsi="Arial"/>
          <w:sz w:val="16"/>
          <w:szCs w:val="16"/>
          <w:color w:val="auto"/>
        </w:rPr>
        <w:t>to payments or benefits payable under any separate benefit plan or agreement, such as awards under our long-term incentive plan. Further, in the event of a covered termination under the change in control plan, the guidelines will not apply, and the change in control plan will govern.</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20" w:type="dxa"/>
            <w:vAlign w:val="bottom"/>
            <w:shd w:val="clear" w:color="auto" w:fill="003763"/>
          </w:tcPr>
          <w:p>
            <w:pPr>
              <w:spacing w:after="0"/>
              <w:rPr>
                <w:sz w:val="14"/>
                <w:szCs w:val="14"/>
                <w:color w:val="auto"/>
              </w:rPr>
            </w:pPr>
          </w:p>
        </w:tc>
        <w:tc>
          <w:tcPr>
            <w:tcW w:w="660" w:type="dxa"/>
            <w:vAlign w:val="bottom"/>
            <w:shd w:val="clear" w:color="auto" w:fill="003763"/>
          </w:tcPr>
          <w:p>
            <w:pPr>
              <w:spacing w:after="0"/>
              <w:rPr>
                <w:sz w:val="14"/>
                <w:szCs w:val="14"/>
                <w:color w:val="auto"/>
              </w:rPr>
            </w:pPr>
          </w:p>
        </w:tc>
        <w:tc>
          <w:tcPr>
            <w:tcW w:w="700" w:type="dxa"/>
            <w:vAlign w:val="bottom"/>
            <w:shd w:val="clear" w:color="auto" w:fill="003763"/>
          </w:tcPr>
          <w:p>
            <w:pPr>
              <w:spacing w:after="0"/>
              <w:rPr>
                <w:sz w:val="14"/>
                <w:szCs w:val="14"/>
                <w:color w:val="auto"/>
              </w:rPr>
            </w:pPr>
          </w:p>
        </w:tc>
        <w:tc>
          <w:tcPr>
            <w:tcW w:w="420" w:type="dxa"/>
            <w:vAlign w:val="bottom"/>
            <w:shd w:val="clear" w:color="auto" w:fill="003763"/>
          </w:tcPr>
          <w:p>
            <w:pPr>
              <w:spacing w:after="0"/>
              <w:rPr>
                <w:sz w:val="14"/>
                <w:szCs w:val="14"/>
                <w:color w:val="auto"/>
              </w:rPr>
            </w:pPr>
          </w:p>
        </w:tc>
        <w:tc>
          <w:tcPr>
            <w:tcW w:w="3060" w:type="dxa"/>
            <w:vAlign w:val="bottom"/>
            <w:shd w:val="clear" w:color="auto" w:fill="003763"/>
          </w:tcPr>
          <w:p>
            <w:pPr>
              <w:jc w:val="center"/>
              <w:ind w:right="153"/>
              <w:spacing w:after="0"/>
              <w:rPr>
                <w:sz w:val="20"/>
                <w:szCs w:val="20"/>
                <w:color w:val="auto"/>
              </w:rPr>
            </w:pPr>
            <w:r>
              <w:rPr>
                <w:rFonts w:ascii="Arial" w:cs="Arial" w:eastAsia="Arial" w:hAnsi="Arial"/>
                <w:sz w:val="13"/>
                <w:szCs w:val="13"/>
                <w:b w:val="1"/>
                <w:bCs w:val="1"/>
                <w:color w:val="FFFFFF"/>
                <w:w w:val="93"/>
              </w:rPr>
              <w:t>MAXIMUM CASH SEVERANCE PAYMENT</w:t>
            </w:r>
          </w:p>
        </w:tc>
        <w:tc>
          <w:tcPr>
            <w:tcW w:w="60" w:type="dxa"/>
            <w:vAlign w:val="bottom"/>
            <w:shd w:val="clear" w:color="auto" w:fill="003763"/>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920" w:type="dxa"/>
            <w:vAlign w:val="bottom"/>
            <w:shd w:val="clear" w:color="auto" w:fill="003763"/>
          </w:tcPr>
          <w:p>
            <w:pPr>
              <w:spacing w:after="0"/>
              <w:rPr>
                <w:sz w:val="12"/>
                <w:szCs w:val="12"/>
                <w:color w:val="auto"/>
              </w:rPr>
            </w:pPr>
          </w:p>
        </w:tc>
        <w:tc>
          <w:tcPr>
            <w:tcW w:w="660" w:type="dxa"/>
            <w:vAlign w:val="bottom"/>
            <w:shd w:val="clear" w:color="auto" w:fill="003763"/>
          </w:tcPr>
          <w:p>
            <w:pPr>
              <w:spacing w:after="0"/>
              <w:rPr>
                <w:sz w:val="12"/>
                <w:szCs w:val="12"/>
                <w:color w:val="auto"/>
              </w:rPr>
            </w:pPr>
          </w:p>
        </w:tc>
        <w:tc>
          <w:tcPr>
            <w:tcW w:w="7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w w:val="96"/>
              </w:rPr>
              <w:t>BASE PAY</w:t>
            </w:r>
          </w:p>
        </w:tc>
        <w:tc>
          <w:tcPr>
            <w:tcW w:w="420" w:type="dxa"/>
            <w:vAlign w:val="bottom"/>
            <w:shd w:val="clear" w:color="auto" w:fill="003763"/>
          </w:tcPr>
          <w:p>
            <w:pPr>
              <w:spacing w:after="0"/>
              <w:rPr>
                <w:sz w:val="12"/>
                <w:szCs w:val="12"/>
                <w:color w:val="auto"/>
              </w:rPr>
            </w:pPr>
          </w:p>
        </w:tc>
        <w:tc>
          <w:tcPr>
            <w:tcW w:w="3060" w:type="dxa"/>
            <w:vAlign w:val="bottom"/>
            <w:shd w:val="clear" w:color="auto" w:fill="003763"/>
          </w:tcPr>
          <w:p>
            <w:pPr>
              <w:jc w:val="center"/>
              <w:ind w:right="153"/>
              <w:spacing w:after="0"/>
              <w:rPr>
                <w:sz w:val="20"/>
                <w:szCs w:val="20"/>
                <w:color w:val="auto"/>
              </w:rPr>
            </w:pPr>
            <w:r>
              <w:rPr>
                <w:rFonts w:ascii="Arial" w:cs="Arial" w:eastAsia="Arial" w:hAnsi="Arial"/>
                <w:sz w:val="13"/>
                <w:szCs w:val="13"/>
                <w:b w:val="1"/>
                <w:bCs w:val="1"/>
                <w:color w:val="FFFFFF"/>
                <w:w w:val="95"/>
              </w:rPr>
              <w:t>UNDER</w:t>
            </w:r>
          </w:p>
        </w:tc>
        <w:tc>
          <w:tcPr>
            <w:tcW w:w="60" w:type="dxa"/>
            <w:vAlign w:val="bottom"/>
            <w:shd w:val="clear" w:color="auto" w:fill="003763"/>
          </w:tcPr>
          <w:p>
            <w:pPr>
              <w:spacing w:after="0"/>
              <w:rPr>
                <w:sz w:val="12"/>
                <w:szCs w:val="12"/>
                <w:color w:val="auto"/>
              </w:rPr>
            </w:pPr>
          </w:p>
        </w:tc>
        <w:tc>
          <w:tcPr>
            <w:tcW w:w="20" w:type="dxa"/>
            <w:vAlign w:val="bottom"/>
          </w:tcPr>
          <w:p>
            <w:pPr>
              <w:spacing w:after="0"/>
              <w:rPr>
                <w:sz w:val="12"/>
                <w:szCs w:val="12"/>
                <w:color w:val="auto"/>
              </w:rPr>
            </w:pPr>
          </w:p>
        </w:tc>
      </w:tr>
      <w:tr>
        <w:trPr>
          <w:trHeight w:val="234"/>
        </w:trPr>
        <w:tc>
          <w:tcPr>
            <w:tcW w:w="2920" w:type="dxa"/>
            <w:vAlign w:val="bottom"/>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EXECUTIVE</w:t>
            </w:r>
          </w:p>
        </w:tc>
        <w:tc>
          <w:tcPr>
            <w:tcW w:w="1780" w:type="dxa"/>
            <w:vAlign w:val="bottom"/>
            <w:gridSpan w:val="3"/>
            <w:shd w:val="clear" w:color="auto" w:fill="003763"/>
          </w:tcPr>
          <w:p>
            <w:pPr>
              <w:ind w:left="480"/>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MULTIPLIER </w:t>
            </w:r>
            <w:r>
              <w:rPr>
                <w:rFonts w:ascii="Arial" w:cs="Arial" w:eastAsia="Arial" w:hAnsi="Arial"/>
                <w:sz w:val="25"/>
                <w:szCs w:val="25"/>
                <w:b w:val="1"/>
                <w:bCs w:val="1"/>
                <w:color w:val="FFFFFF"/>
                <w:vertAlign w:val="subscript"/>
              </w:rPr>
              <w:t>​ ​</w:t>
            </w:r>
          </w:p>
        </w:tc>
        <w:tc>
          <w:tcPr>
            <w:tcW w:w="3060" w:type="dxa"/>
            <w:vAlign w:val="bottom"/>
            <w:shd w:val="clear" w:color="auto" w:fill="003763"/>
          </w:tcPr>
          <w:p>
            <w:pPr>
              <w:jc w:val="center"/>
              <w:ind w:right="113"/>
              <w:spacing w:after="0"/>
              <w:rPr>
                <w:sz w:val="20"/>
                <w:szCs w:val="20"/>
                <w:color w:val="auto"/>
              </w:rPr>
            </w:pPr>
            <w:r>
              <w:rPr>
                <w:rFonts w:ascii="Arial" w:cs="Arial" w:eastAsia="Arial" w:hAnsi="Arial"/>
                <w:sz w:val="13"/>
                <w:szCs w:val="13"/>
                <w:b w:val="1"/>
                <w:bCs w:val="1"/>
                <w:color w:val="FFFFFF"/>
                <w:w w:val="94"/>
              </w:rPr>
              <w:t>EXECUTIVE SEVERANCE GUIDELINES</w:t>
            </w:r>
            <w:r>
              <w:rPr>
                <w:rFonts w:ascii="Arial" w:cs="Arial" w:eastAsia="Arial" w:hAnsi="Arial"/>
                <w:sz w:val="16"/>
                <w:szCs w:val="16"/>
                <w:b w:val="1"/>
                <w:bCs w:val="1"/>
                <w:color w:val="FFFFFF"/>
                <w:w w:val="94"/>
                <w:vertAlign w:val="superscript"/>
              </w:rPr>
              <w:t>(1)</w:t>
            </w:r>
          </w:p>
        </w:tc>
        <w:tc>
          <w:tcPr>
            <w:tcW w:w="60" w:type="dxa"/>
            <w:vAlign w:val="bottom"/>
            <w:shd w:val="clear" w:color="auto" w:fill="003763"/>
          </w:tcPr>
          <w:p>
            <w:pPr>
              <w:ind w:left="4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20"/>
                <w:szCs w:val="20"/>
                <w:color w:val="auto"/>
              </w:rPr>
            </w:pPr>
          </w:p>
        </w:tc>
      </w:tr>
      <w:tr>
        <w:trPr>
          <w:trHeight w:val="283"/>
        </w:trPr>
        <w:tc>
          <w:tcPr>
            <w:tcW w:w="292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Chief Executive Officer</w:t>
            </w:r>
          </w:p>
        </w:tc>
        <w:tc>
          <w:tcPr>
            <w:tcW w:w="660" w:type="dxa"/>
            <w:vAlign w:val="bottom"/>
          </w:tcPr>
          <w:p>
            <w:pPr>
              <w:ind w:left="480"/>
              <w:spacing w:after="0"/>
              <w:rPr>
                <w:sz w:val="20"/>
                <w:szCs w:val="20"/>
                <w:color w:val="auto"/>
              </w:rPr>
            </w:pPr>
            <w:r>
              <w:rPr>
                <w:rFonts w:ascii="Arial" w:cs="Arial" w:eastAsia="Arial" w:hAnsi="Arial"/>
                <w:sz w:val="14"/>
                <w:szCs w:val="14"/>
                <w:color w:val="auto"/>
              </w:rPr>
              <w:t>​ ​</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2x</w:t>
            </w:r>
          </w:p>
        </w:tc>
        <w:tc>
          <w:tcPr>
            <w:tcW w:w="3480" w:type="dxa"/>
            <w:vAlign w:val="bottom"/>
            <w:gridSpan w:val="2"/>
          </w:tcPr>
          <w:p>
            <w:pPr>
              <w:ind w:left="80"/>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Two (2) times annual base salary plus target short-</w:t>
            </w:r>
          </w:p>
        </w:tc>
        <w:tc>
          <w:tcPr>
            <w:tcW w:w="80" w:type="dxa"/>
            <w:vAlign w:val="bottom"/>
            <w:gridSpan w:val="2"/>
          </w:tcPr>
          <w:p>
            <w:pPr>
              <w:ind w:left="40"/>
              <w:spacing w:after="0"/>
              <w:rPr>
                <w:sz w:val="20"/>
                <w:szCs w:val="20"/>
                <w:color w:val="auto"/>
              </w:rPr>
            </w:pPr>
            <w:r>
              <w:rPr>
                <w:rFonts w:ascii="Arial" w:cs="Arial" w:eastAsia="Arial" w:hAnsi="Arial"/>
                <w:sz w:val="14"/>
                <w:szCs w:val="14"/>
                <w:color w:val="auto"/>
              </w:rPr>
              <w:t>​</w:t>
            </w:r>
          </w:p>
        </w:tc>
      </w:tr>
      <w:tr>
        <w:trPr>
          <w:trHeight w:val="176"/>
        </w:trPr>
        <w:tc>
          <w:tcPr>
            <w:tcW w:w="2920" w:type="dxa"/>
            <w:vAlign w:val="bottom"/>
            <w:tcBorders>
              <w:bottom w:val="single" w:sz="8" w:color="CCCCCC"/>
            </w:tcBorders>
          </w:tcPr>
          <w:p>
            <w:pPr>
              <w:spacing w:after="0"/>
              <w:rPr>
                <w:sz w:val="15"/>
                <w:szCs w:val="15"/>
                <w:color w:val="auto"/>
              </w:rPr>
            </w:pPr>
          </w:p>
        </w:tc>
        <w:tc>
          <w:tcPr>
            <w:tcW w:w="660" w:type="dxa"/>
            <w:vAlign w:val="bottom"/>
            <w:tcBorders>
              <w:bottom w:val="single" w:sz="8" w:color="CCCCCC"/>
            </w:tcBorders>
          </w:tcPr>
          <w:p>
            <w:pPr>
              <w:spacing w:after="0"/>
              <w:rPr>
                <w:sz w:val="15"/>
                <w:szCs w:val="15"/>
                <w:color w:val="auto"/>
              </w:rPr>
            </w:pPr>
          </w:p>
        </w:tc>
        <w:tc>
          <w:tcPr>
            <w:tcW w:w="700" w:type="dxa"/>
            <w:vAlign w:val="bottom"/>
            <w:tcBorders>
              <w:bottom w:val="single" w:sz="8" w:color="CCCCCC"/>
            </w:tcBorders>
          </w:tcPr>
          <w:p>
            <w:pPr>
              <w:spacing w:after="0"/>
              <w:rPr>
                <w:sz w:val="15"/>
                <w:szCs w:val="15"/>
                <w:color w:val="auto"/>
              </w:rPr>
            </w:pPr>
          </w:p>
        </w:tc>
        <w:tc>
          <w:tcPr>
            <w:tcW w:w="420" w:type="dxa"/>
            <w:vAlign w:val="bottom"/>
            <w:tcBorders>
              <w:bottom w:val="single" w:sz="8" w:color="CCCCCC"/>
            </w:tcBorders>
          </w:tcPr>
          <w:p>
            <w:pPr>
              <w:spacing w:after="0"/>
              <w:rPr>
                <w:sz w:val="15"/>
                <w:szCs w:val="15"/>
                <w:color w:val="auto"/>
              </w:rPr>
            </w:pPr>
          </w:p>
        </w:tc>
        <w:tc>
          <w:tcPr>
            <w:tcW w:w="3060" w:type="dxa"/>
            <w:vAlign w:val="bottom"/>
            <w:tcBorders>
              <w:bottom w:val="single" w:sz="8" w:color="CCCCCC"/>
            </w:tcBorders>
          </w:tcPr>
          <w:p>
            <w:pPr>
              <w:ind w:left="860"/>
              <w:spacing w:after="0"/>
              <w:rPr>
                <w:sz w:val="20"/>
                <w:szCs w:val="20"/>
                <w:color w:val="auto"/>
              </w:rPr>
            </w:pPr>
            <w:r>
              <w:rPr>
                <w:rFonts w:ascii="Arial" w:cs="Arial" w:eastAsia="Arial" w:hAnsi="Arial"/>
                <w:sz w:val="14"/>
                <w:szCs w:val="14"/>
                <w:color w:val="auto"/>
              </w:rPr>
              <w:t>term incentive award</w:t>
            </w:r>
          </w:p>
        </w:tc>
        <w:tc>
          <w:tcPr>
            <w:tcW w:w="60" w:type="dxa"/>
            <w:vAlign w:val="bottom"/>
            <w:tcBorders>
              <w:bottom w:val="single" w:sz="8" w:color="CCCCCC"/>
            </w:tcBorders>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29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Non-CEO Named Executive Officer</w:t>
            </w:r>
          </w:p>
        </w:tc>
        <w:tc>
          <w:tcPr>
            <w:tcW w:w="660" w:type="dxa"/>
            <w:vAlign w:val="bottom"/>
            <w:shd w:val="clear" w:color="auto" w:fill="F2F2F2"/>
          </w:tcPr>
          <w:p>
            <w:pPr>
              <w:ind w:left="48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1.5x</w:t>
            </w:r>
          </w:p>
        </w:tc>
        <w:tc>
          <w:tcPr>
            <w:tcW w:w="3480" w:type="dxa"/>
            <w:vAlign w:val="bottom"/>
            <w:gridSpan w:val="2"/>
            <w:shd w:val="clear" w:color="auto" w:fill="F2F2F2"/>
          </w:tcPr>
          <w:p>
            <w:pPr>
              <w:ind w:left="80"/>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One and a half (1.5) times annual base salary plus</w:t>
            </w:r>
          </w:p>
        </w:tc>
        <w:tc>
          <w:tcPr>
            <w:tcW w:w="60" w:type="dxa"/>
            <w:vAlign w:val="bottom"/>
            <w:shd w:val="clear" w:color="auto" w:fill="F2F2F2"/>
          </w:tcPr>
          <w:p>
            <w:pPr>
              <w:ind w:left="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24"/>
                <w:szCs w:val="24"/>
                <w:color w:val="auto"/>
              </w:rPr>
            </w:pPr>
          </w:p>
        </w:tc>
      </w:tr>
      <w:tr>
        <w:trPr>
          <w:trHeight w:val="196"/>
        </w:trPr>
        <w:tc>
          <w:tcPr>
            <w:tcW w:w="2920" w:type="dxa"/>
            <w:vAlign w:val="bottom"/>
            <w:tcBorders>
              <w:bottom w:val="single" w:sz="8" w:color="F2F2F2"/>
            </w:tcBorders>
            <w:shd w:val="clear" w:color="auto" w:fill="F2F2F2"/>
          </w:tcPr>
          <w:p>
            <w:pPr>
              <w:spacing w:after="0"/>
              <w:rPr>
                <w:sz w:val="17"/>
                <w:szCs w:val="17"/>
                <w:color w:val="auto"/>
              </w:rPr>
            </w:pPr>
          </w:p>
        </w:tc>
        <w:tc>
          <w:tcPr>
            <w:tcW w:w="660" w:type="dxa"/>
            <w:vAlign w:val="bottom"/>
            <w:tcBorders>
              <w:bottom w:val="single" w:sz="8" w:color="F2F2F2"/>
            </w:tcBorders>
            <w:shd w:val="clear" w:color="auto" w:fill="F2F2F2"/>
          </w:tcPr>
          <w:p>
            <w:pPr>
              <w:spacing w:after="0"/>
              <w:rPr>
                <w:sz w:val="17"/>
                <w:szCs w:val="17"/>
                <w:color w:val="auto"/>
              </w:rPr>
            </w:pPr>
          </w:p>
        </w:tc>
        <w:tc>
          <w:tcPr>
            <w:tcW w:w="700" w:type="dxa"/>
            <w:vAlign w:val="bottom"/>
            <w:tcBorders>
              <w:bottom w:val="single" w:sz="8" w:color="F2F2F2"/>
            </w:tcBorders>
            <w:shd w:val="clear" w:color="auto" w:fill="F2F2F2"/>
          </w:tcPr>
          <w:p>
            <w:pPr>
              <w:spacing w:after="0"/>
              <w:rPr>
                <w:sz w:val="17"/>
                <w:szCs w:val="17"/>
                <w:color w:val="auto"/>
              </w:rPr>
            </w:pPr>
          </w:p>
        </w:tc>
        <w:tc>
          <w:tcPr>
            <w:tcW w:w="420" w:type="dxa"/>
            <w:vAlign w:val="bottom"/>
            <w:tcBorders>
              <w:bottom w:val="single" w:sz="8" w:color="F2F2F2"/>
            </w:tcBorders>
            <w:shd w:val="clear" w:color="auto" w:fill="F2F2F2"/>
          </w:tcPr>
          <w:p>
            <w:pPr>
              <w:spacing w:after="0"/>
              <w:rPr>
                <w:sz w:val="17"/>
                <w:szCs w:val="17"/>
                <w:color w:val="auto"/>
              </w:rPr>
            </w:pPr>
          </w:p>
        </w:tc>
        <w:tc>
          <w:tcPr>
            <w:tcW w:w="3060" w:type="dxa"/>
            <w:vAlign w:val="bottom"/>
            <w:tcBorders>
              <w:bottom w:val="single" w:sz="8" w:color="F2F2F2"/>
            </w:tcBorders>
            <w:shd w:val="clear" w:color="auto" w:fill="F2F2F2"/>
          </w:tcPr>
          <w:p>
            <w:pPr>
              <w:jc w:val="center"/>
              <w:ind w:right="113"/>
              <w:spacing w:after="0"/>
              <w:rPr>
                <w:sz w:val="20"/>
                <w:szCs w:val="20"/>
                <w:color w:val="auto"/>
              </w:rPr>
            </w:pPr>
            <w:r>
              <w:rPr>
                <w:rFonts w:ascii="Arial" w:cs="Arial" w:eastAsia="Arial" w:hAnsi="Arial"/>
                <w:sz w:val="14"/>
                <w:szCs w:val="14"/>
                <w:color w:val="auto"/>
              </w:rPr>
              <w:t>target short-term incentive award</w:t>
            </w:r>
          </w:p>
        </w:tc>
        <w:tc>
          <w:tcPr>
            <w:tcW w:w="60" w:type="dxa"/>
            <w:vAlign w:val="bottom"/>
            <w:tcBorders>
              <w:bottom w:val="single" w:sz="8" w:color="F2F2F2"/>
            </w:tcBorders>
            <w:shd w:val="clear" w:color="auto" w:fill="F2F2F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920" w:type="dxa"/>
            <w:vAlign w:val="bottom"/>
            <w:shd w:val="clear" w:color="auto" w:fill="CCCCCC"/>
          </w:tcPr>
          <w:p>
            <w:pPr>
              <w:spacing w:after="0" w:line="20" w:lineRule="exact"/>
              <w:rPr>
                <w:sz w:val="1"/>
                <w:szCs w:val="1"/>
                <w:color w:val="auto"/>
              </w:rPr>
            </w:pPr>
          </w:p>
        </w:tc>
        <w:tc>
          <w:tcPr>
            <w:tcW w:w="660" w:type="dxa"/>
            <w:vAlign w:val="bottom"/>
            <w:shd w:val="clear" w:color="auto" w:fill="CCCCCC"/>
          </w:tcPr>
          <w:p>
            <w:pPr>
              <w:spacing w:after="0" w:line="20" w:lineRule="exact"/>
              <w:rPr>
                <w:sz w:val="1"/>
                <w:szCs w:val="1"/>
                <w:color w:val="auto"/>
              </w:rPr>
            </w:pPr>
          </w:p>
        </w:tc>
        <w:tc>
          <w:tcPr>
            <w:tcW w:w="700" w:type="dxa"/>
            <w:vAlign w:val="bottom"/>
            <w:shd w:val="clear" w:color="auto" w:fill="CCCCCC"/>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3060" w:type="dxa"/>
            <w:vAlign w:val="bottom"/>
            <w:shd w:val="clear" w:color="auto" w:fill="CCCCCC"/>
          </w:tcPr>
          <w:p>
            <w:pPr>
              <w:spacing w:after="0" w:line="20" w:lineRule="exact"/>
              <w:rPr>
                <w:sz w:val="1"/>
                <w:szCs w:val="1"/>
                <w:color w:val="auto"/>
              </w:rPr>
            </w:pPr>
          </w:p>
        </w:tc>
        <w:tc>
          <w:tcPr>
            <w:tcW w:w="60" w:type="dxa"/>
            <w:vAlign w:val="bottom"/>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5" w:lineRule="exact"/>
        <w:rPr>
          <w:sz w:val="20"/>
          <w:szCs w:val="20"/>
          <w:color w:val="auto"/>
        </w:rPr>
      </w:pPr>
    </w:p>
    <w:p>
      <w:pPr>
        <w:ind w:left="920" w:right="120" w:hanging="189"/>
        <w:spacing w:after="0" w:line="207" w:lineRule="auto"/>
        <w:tabs>
          <w:tab w:leader="none" w:pos="920" w:val="left"/>
        </w:tabs>
        <w:numPr>
          <w:ilvl w:val="0"/>
          <w:numId w:val="127"/>
        </w:numPr>
        <w:rPr>
          <w:rFonts w:ascii="Arial" w:cs="Arial" w:eastAsia="Arial" w:hAnsi="Arial"/>
          <w:sz w:val="20"/>
          <w:szCs w:val="20"/>
          <w:color w:val="auto"/>
          <w:vertAlign w:val="superscript"/>
        </w:rPr>
      </w:pPr>
      <w:r>
        <w:rPr>
          <w:rFonts w:ascii="Arial" w:cs="Arial" w:eastAsia="Arial" w:hAnsi="Arial"/>
          <w:sz w:val="13"/>
          <w:szCs w:val="13"/>
          <w:color w:val="auto"/>
        </w:rPr>
        <w:t>The executive severance guidelines also permit the payment of certain other compensation and benefits, as appropriate, in addition to the cash severance payment, as described above.</w:t>
      </w:r>
    </w:p>
    <w:p>
      <w:pPr>
        <w:spacing w:after="0" w:line="122" w:lineRule="exact"/>
        <w:rPr>
          <w:sz w:val="20"/>
          <w:szCs w:val="20"/>
          <w:color w:val="auto"/>
        </w:rPr>
      </w:pPr>
    </w:p>
    <w:p>
      <w:pPr>
        <w:ind w:left="740" w:right="80"/>
        <w:spacing w:after="0" w:line="253" w:lineRule="auto"/>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Under the terms of our long-term incentive award agreements, our executive officers are eligible for pro-rata or full</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such awards, subject to achievement of any applicable performance goals, in connection with their retirements, if certain conditions are met, as discussed above in “Additional Information Regarding Our Equity Incentive Plan Awards” above. Further, under the terms of our short-term incentive plan, if an executive officer satisfies the retirement provisions under the plan and terminates employment during the plan year, he or she is eligible for a pro-rata payment at target level of achievement. None of our named executive officers who are currently employed by the Company have satisfied the applicable retirement eligibility requirements at this time.</w:t>
      </w:r>
    </w:p>
    <w:p>
      <w:pPr>
        <w:spacing w:after="0" w:line="114" w:lineRule="exact"/>
        <w:rPr>
          <w:sz w:val="20"/>
          <w:szCs w:val="20"/>
          <w:color w:val="auto"/>
        </w:rPr>
      </w:pPr>
    </w:p>
    <w:p>
      <w:pPr>
        <w:jc w:val="both"/>
        <w:ind w:left="740" w:right="40"/>
        <w:spacing w:after="0" w:line="266" w:lineRule="auto"/>
        <w:rPr>
          <w:sz w:val="20"/>
          <w:szCs w:val="20"/>
          <w:color w:val="auto"/>
        </w:rPr>
      </w:pPr>
      <w:r>
        <w:rPr>
          <w:rFonts w:ascii="Arial" w:cs="Arial" w:eastAsia="Arial" w:hAnsi="Arial"/>
          <w:sz w:val="16"/>
          <w:szCs w:val="16"/>
          <w:i w:val="1"/>
          <w:iCs w:val="1"/>
          <w:color w:val="auto"/>
        </w:rPr>
        <w:t>Payments in the event of change in control</w:t>
      </w:r>
      <w:r>
        <w:rPr>
          <w:rFonts w:ascii="Arial" w:cs="Arial" w:eastAsia="Arial" w:hAnsi="Arial"/>
          <w:sz w:val="16"/>
          <w:szCs w:val="16"/>
          <w:color w:val="auto"/>
        </w:rPr>
        <w:t>. The table below presents amounts that would have been payable and the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provided under the change in control plan assuming a covered termination of employment occurred on December 31, 2024 following a change of control. The numbers in the table have been rounded to the nearest one thousand dollars.</w:t>
      </w:r>
    </w:p>
    <w:p>
      <w:pPr>
        <w:spacing w:after="0" w:line="100"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3940" w:type="dxa"/>
            <w:vAlign w:val="bottom"/>
            <w:gridSpan w:val="2"/>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Type of Payment</w:t>
            </w:r>
            <w:r>
              <w:rPr>
                <w:rFonts w:ascii="Arial" w:cs="Arial" w:eastAsia="Arial" w:hAnsi="Arial"/>
                <w:sz w:val="16"/>
                <w:szCs w:val="16"/>
                <w:b w:val="1"/>
                <w:bCs w:val="1"/>
                <w:color w:val="FFFFFF"/>
                <w:vertAlign w:val="superscript"/>
              </w:rPr>
              <w:t>(1)</w:t>
            </w:r>
          </w:p>
        </w:tc>
        <w:tc>
          <w:tcPr>
            <w:tcW w:w="1640" w:type="dxa"/>
            <w:vAlign w:val="bottom"/>
            <w:shd w:val="clear" w:color="auto" w:fill="003763"/>
          </w:tcPr>
          <w:p>
            <w:pPr>
              <w:ind w:left="1380"/>
              <w:spacing w:after="0"/>
              <w:rPr>
                <w:sz w:val="20"/>
                <w:szCs w:val="20"/>
                <w:color w:val="auto"/>
              </w:rPr>
            </w:pPr>
            <w:r>
              <w:rPr>
                <w:rFonts w:ascii="Arial" w:cs="Arial" w:eastAsia="Arial" w:hAnsi="Arial"/>
                <w:sz w:val="13"/>
                <w:szCs w:val="13"/>
                <w:b w:val="1"/>
                <w:bCs w:val="1"/>
                <w:color w:val="FFFFFF"/>
              </w:rPr>
              <w:t>​ ​</w:t>
            </w:r>
          </w:p>
        </w:tc>
        <w:tc>
          <w:tcPr>
            <w:tcW w:w="60" w:type="dxa"/>
            <w:vAlign w:val="bottom"/>
            <w:shd w:val="clear" w:color="auto" w:fill="003763"/>
          </w:tcPr>
          <w:p>
            <w:pPr>
              <w:spacing w:after="0"/>
              <w:rPr>
                <w:sz w:val="24"/>
                <w:szCs w:val="24"/>
                <w:color w:val="auto"/>
              </w:rPr>
            </w:pPr>
          </w:p>
        </w:tc>
        <w:tc>
          <w:tcPr>
            <w:tcW w:w="48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Wells</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4"/>
                <w:szCs w:val="24"/>
                <w:color w:val="auto"/>
              </w:rPr>
            </w:pPr>
          </w:p>
        </w:tc>
        <w:tc>
          <w:tcPr>
            <w:tcW w:w="4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5"/>
              </w:rPr>
              <w:t>Foster</w:t>
            </w:r>
          </w:p>
        </w:tc>
        <w:tc>
          <w:tcPr>
            <w:tcW w:w="3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gridSpan w:val="3"/>
            <w:shd w:val="clear" w:color="auto" w:fill="003763"/>
          </w:tcPr>
          <w:p>
            <w:pPr>
              <w:jc w:val="right"/>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   </w:t>
            </w:r>
            <w:r>
              <w:rPr>
                <w:rFonts w:ascii="Arial" w:cs="Arial" w:eastAsia="Arial" w:hAnsi="Arial"/>
                <w:sz w:val="25"/>
                <w:szCs w:val="25"/>
                <w:b w:val="1"/>
                <w:bCs w:val="1"/>
                <w:color w:val="FFFFFF"/>
                <w:vertAlign w:val="subscript"/>
              </w:rPr>
              <w:t>​</w:t>
            </w:r>
          </w:p>
        </w:tc>
        <w:tc>
          <w:tcPr>
            <w:tcW w:w="16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4"/>
                <w:szCs w:val="24"/>
                <w:color w:val="auto"/>
              </w:rPr>
            </w:pPr>
          </w:p>
        </w:tc>
        <w:tc>
          <w:tcPr>
            <w:tcW w:w="3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Ryan</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4"/>
        </w:trPr>
        <w:tc>
          <w:tcPr>
            <w:tcW w:w="3940" w:type="dxa"/>
            <w:vAlign w:val="bottom"/>
            <w:tcBorders>
              <w:bottom w:val="single" w:sz="8" w:color="CCCCCC"/>
            </w:tcBorders>
            <w:gridSpan w:val="2"/>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Severance amount</w:t>
            </w:r>
          </w:p>
        </w:tc>
        <w:tc>
          <w:tcPr>
            <w:tcW w:w="1640" w:type="dxa"/>
            <w:vAlign w:val="bottom"/>
            <w:tcBorders>
              <w:bottom w:val="single" w:sz="8" w:color="CCCCCC"/>
            </w:tcBorders>
          </w:tcPr>
          <w:p>
            <w:pPr>
              <w:ind w:left="1380"/>
              <w:spacing w:after="0" w:line="284"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14"/>
                <w:szCs w:val="14"/>
                <w:color w:val="auto"/>
              </w:rPr>
              <w:t>7,763,000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$2,610,000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$2,610,000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$1,785,000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Short-term Incentive Plan</w:t>
            </w:r>
          </w:p>
        </w:tc>
        <w:tc>
          <w:tcPr>
            <w:tcW w:w="1640" w:type="dxa"/>
            <w:vAlign w:val="bottom"/>
            <w:tcBorders>
              <w:bottom w:val="single" w:sz="8" w:color="CCCCCC"/>
            </w:tcBorders>
            <w:shd w:val="clear" w:color="auto" w:fill="F2F2F2"/>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2"/>
                <w:szCs w:val="22"/>
                <w:color w:val="auto"/>
              </w:rPr>
            </w:pPr>
          </w:p>
        </w:tc>
        <w:tc>
          <w:tcPr>
            <w:tcW w:w="8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1,438,000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18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shd w:val="clear" w:color="auto" w:fill="F2F2F2"/>
          </w:tcPr>
          <w:p>
            <w:pPr>
              <w:spacing w:after="0"/>
              <w:rPr>
                <w:sz w:val="22"/>
                <w:szCs w:val="22"/>
                <w:color w:val="auto"/>
              </w:rPr>
            </w:pPr>
          </w:p>
        </w:tc>
        <w:tc>
          <w:tcPr>
            <w:tcW w:w="7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368,000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60" w:type="dxa"/>
            <w:vAlign w:val="bottom"/>
          </w:tcPr>
          <w:p>
            <w:pPr>
              <w:spacing w:after="0" w:line="183" w:lineRule="exact"/>
              <w:rPr>
                <w:sz w:val="20"/>
                <w:szCs w:val="20"/>
                <w:color w:val="auto"/>
              </w:rPr>
            </w:pPr>
            <w:r>
              <w:rPr>
                <w:rFonts w:ascii="Arial" w:cs="Arial" w:eastAsia="Arial" w:hAnsi="Arial"/>
                <w:sz w:val="14"/>
                <w:szCs w:val="14"/>
                <w:color w:val="auto"/>
              </w:rPr>
              <w:t>Long-term Incentive Plan:</w:t>
            </w:r>
            <w:r>
              <w:rPr>
                <w:rFonts w:ascii="Arial" w:cs="Arial" w:eastAsia="Arial" w:hAnsi="Arial"/>
                <w:sz w:val="17"/>
                <w:szCs w:val="17"/>
                <w:color w:val="auto"/>
                <w:vertAlign w:val="superscript"/>
              </w:rPr>
              <w:t>(2)</w:t>
            </w:r>
          </w:p>
        </w:tc>
        <w:tc>
          <w:tcPr>
            <w:tcW w:w="1640" w:type="dxa"/>
            <w:vAlign w:val="bottom"/>
            <w:vMerge w:val="restart"/>
          </w:tcPr>
          <w:p>
            <w:pPr>
              <w:ind w:left="1380"/>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3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tcPr>
          <w:p>
            <w:pPr>
              <w:spacing w:after="0"/>
              <w:rPr>
                <w:sz w:val="9"/>
                <w:szCs w:val="9"/>
                <w:color w:val="auto"/>
              </w:rPr>
            </w:pPr>
          </w:p>
        </w:tc>
        <w:tc>
          <w:tcPr>
            <w:tcW w:w="3860" w:type="dxa"/>
            <w:vAlign w:val="bottom"/>
            <w:tcBorders>
              <w:bottom w:val="single" w:sz="8" w:color="CCCCCC"/>
            </w:tcBorders>
          </w:tcPr>
          <w:p>
            <w:pPr>
              <w:spacing w:after="0"/>
              <w:rPr>
                <w:sz w:val="9"/>
                <w:szCs w:val="9"/>
                <w:color w:val="auto"/>
              </w:rPr>
            </w:pPr>
          </w:p>
        </w:tc>
        <w:tc>
          <w:tcPr>
            <w:tcW w:w="1640" w:type="dxa"/>
            <w:vAlign w:val="bottom"/>
            <w:tcBorders>
              <w:bottom w:val="single" w:sz="8" w:color="CCCCCC"/>
            </w:tcBorders>
            <w:vMerge w:val="continue"/>
          </w:tcPr>
          <w:p>
            <w:pPr>
              <w:spacing w:after="0"/>
              <w:rPr>
                <w:sz w:val="9"/>
                <w:szCs w:val="9"/>
                <w:color w:val="auto"/>
              </w:rPr>
            </w:pPr>
          </w:p>
        </w:tc>
        <w:tc>
          <w:tcPr>
            <w:tcW w:w="60" w:type="dxa"/>
            <w:vAlign w:val="bottom"/>
            <w:tcBorders>
              <w:bottom w:val="single" w:sz="8" w:color="CCCCCC"/>
            </w:tcBorders>
          </w:tcPr>
          <w:p>
            <w:pPr>
              <w:spacing w:after="0"/>
              <w:rPr>
                <w:sz w:val="9"/>
                <w:szCs w:val="9"/>
                <w:color w:val="auto"/>
              </w:rPr>
            </w:pPr>
          </w:p>
        </w:tc>
        <w:tc>
          <w:tcPr>
            <w:tcW w:w="480" w:type="dxa"/>
            <w:vAlign w:val="bottom"/>
            <w:tcBorders>
              <w:bottom w:val="single" w:sz="8" w:color="CCCCCC"/>
            </w:tcBorders>
          </w:tcPr>
          <w:p>
            <w:pPr>
              <w:spacing w:after="0"/>
              <w:rPr>
                <w:sz w:val="9"/>
                <w:szCs w:val="9"/>
                <w:color w:val="auto"/>
              </w:rPr>
            </w:pPr>
          </w:p>
        </w:tc>
        <w:tc>
          <w:tcPr>
            <w:tcW w:w="32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tcPr>
          <w:p>
            <w:pPr>
              <w:spacing w:after="0"/>
              <w:rPr>
                <w:sz w:val="9"/>
                <w:szCs w:val="9"/>
                <w:color w:val="auto"/>
              </w:rPr>
            </w:pPr>
          </w:p>
        </w:tc>
        <w:tc>
          <w:tcPr>
            <w:tcW w:w="80" w:type="dxa"/>
            <w:vAlign w:val="bottom"/>
            <w:tcBorders>
              <w:bottom w:val="single" w:sz="8" w:color="CCCCCC"/>
            </w:tcBorders>
          </w:tcPr>
          <w:p>
            <w:pPr>
              <w:spacing w:after="0"/>
              <w:rPr>
                <w:sz w:val="9"/>
                <w:szCs w:val="9"/>
                <w:color w:val="auto"/>
              </w:rPr>
            </w:pPr>
          </w:p>
        </w:tc>
        <w:tc>
          <w:tcPr>
            <w:tcW w:w="420" w:type="dxa"/>
            <w:vAlign w:val="bottom"/>
            <w:tcBorders>
              <w:bottom w:val="single" w:sz="8" w:color="CCCCCC"/>
            </w:tcBorders>
          </w:tcPr>
          <w:p>
            <w:pPr>
              <w:spacing w:after="0"/>
              <w:rPr>
                <w:sz w:val="9"/>
                <w:szCs w:val="9"/>
                <w:color w:val="auto"/>
              </w:rPr>
            </w:pPr>
          </w:p>
        </w:tc>
        <w:tc>
          <w:tcPr>
            <w:tcW w:w="30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CCCCCC"/>
            </w:tcBorders>
            <w:vMerge w:val="continue"/>
          </w:tcPr>
          <w:p>
            <w:pPr>
              <w:spacing w:after="0"/>
              <w:rPr>
                <w:sz w:val="9"/>
                <w:szCs w:val="9"/>
                <w:color w:val="auto"/>
              </w:rPr>
            </w:pPr>
          </w:p>
        </w:tc>
        <w:tc>
          <w:tcPr>
            <w:tcW w:w="80" w:type="dxa"/>
            <w:vAlign w:val="bottom"/>
            <w:tcBorders>
              <w:bottom w:val="single" w:sz="8" w:color="CCCCCC"/>
            </w:tcBorders>
          </w:tcPr>
          <w:p>
            <w:pPr>
              <w:spacing w:after="0"/>
              <w:rPr>
                <w:sz w:val="9"/>
                <w:szCs w:val="9"/>
                <w:color w:val="auto"/>
              </w:rPr>
            </w:pPr>
          </w:p>
        </w:tc>
        <w:tc>
          <w:tcPr>
            <w:tcW w:w="70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tcPr>
          <w:p>
            <w:pPr>
              <w:spacing w:after="0"/>
              <w:rPr>
                <w:sz w:val="9"/>
                <w:szCs w:val="9"/>
                <w:color w:val="auto"/>
              </w:rPr>
            </w:pPr>
          </w:p>
        </w:tc>
        <w:tc>
          <w:tcPr>
            <w:tcW w:w="100" w:type="dxa"/>
            <w:vAlign w:val="bottom"/>
            <w:tcBorders>
              <w:bottom w:val="single" w:sz="8" w:color="CCCCCC"/>
            </w:tcBorders>
          </w:tcPr>
          <w:p>
            <w:pPr>
              <w:spacing w:after="0"/>
              <w:rPr>
                <w:sz w:val="9"/>
                <w:szCs w:val="9"/>
                <w:color w:val="auto"/>
              </w:rPr>
            </w:pPr>
          </w:p>
        </w:tc>
        <w:tc>
          <w:tcPr>
            <w:tcW w:w="380" w:type="dxa"/>
            <w:vAlign w:val="bottom"/>
            <w:tcBorders>
              <w:bottom w:val="single" w:sz="8" w:color="CCCCCC"/>
            </w:tcBorders>
          </w:tcPr>
          <w:p>
            <w:pPr>
              <w:spacing w:after="0"/>
              <w:rPr>
                <w:sz w:val="9"/>
                <w:szCs w:val="9"/>
                <w:color w:val="auto"/>
              </w:rPr>
            </w:pPr>
          </w:p>
        </w:tc>
        <w:tc>
          <w:tcPr>
            <w:tcW w:w="260" w:type="dxa"/>
            <w:vAlign w:val="bottom"/>
            <w:tcBorders>
              <w:bottom w:val="single" w:sz="8" w:color="CCCCCC"/>
            </w:tcBorders>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Performance Share Units (Unvested)</w:t>
            </w:r>
          </w:p>
        </w:tc>
        <w:tc>
          <w:tcPr>
            <w:tcW w:w="1640" w:type="dxa"/>
            <w:vAlign w:val="bottom"/>
            <w:tcBorders>
              <w:bottom w:val="single" w:sz="8" w:color="CCCCCC"/>
            </w:tcBorders>
            <w:shd w:val="clear" w:color="auto" w:fill="F2F2F2"/>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2"/>
                <w:szCs w:val="22"/>
                <w:color w:val="auto"/>
              </w:rPr>
            </w:pPr>
          </w:p>
        </w:tc>
        <w:tc>
          <w:tcPr>
            <w:tcW w:w="8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8,397,000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$3,140,000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$ 3,211,000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$2,261,000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0"/>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Performance Share Units (Vested)</w:t>
            </w:r>
            <w:r>
              <w:rPr>
                <w:rFonts w:ascii="Arial" w:cs="Arial" w:eastAsia="Arial" w:hAnsi="Arial"/>
                <w:sz w:val="17"/>
                <w:szCs w:val="17"/>
                <w:color w:val="auto"/>
                <w:vertAlign w:val="superscript"/>
              </w:rPr>
              <w:t>(3)</w:t>
            </w:r>
          </w:p>
        </w:tc>
        <w:tc>
          <w:tcPr>
            <w:tcW w:w="1640" w:type="dxa"/>
            <w:vAlign w:val="bottom"/>
            <w:tcBorders>
              <w:bottom w:val="single" w:sz="8" w:color="CCCCCC"/>
            </w:tcBorders>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1,648,000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tcPr>
          <w:p>
            <w:pPr>
              <w:spacing w:after="0"/>
              <w:rPr>
                <w:sz w:val="24"/>
                <w:szCs w:val="24"/>
                <w:color w:val="auto"/>
              </w:rPr>
            </w:pPr>
          </w:p>
        </w:tc>
        <w:tc>
          <w:tcPr>
            <w:tcW w:w="30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60" w:type="dxa"/>
            <w:vAlign w:val="bottom"/>
            <w:tcBorders>
              <w:bottom w:val="single" w:sz="8" w:color="CCCCCC"/>
            </w:tcBorders>
            <w:gridSpan w:val="3"/>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$1,045,000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798,000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Stock awards (Unvested)</w:t>
            </w:r>
          </w:p>
        </w:tc>
        <w:tc>
          <w:tcPr>
            <w:tcW w:w="1640" w:type="dxa"/>
            <w:vAlign w:val="bottom"/>
            <w:tcBorders>
              <w:bottom w:val="single" w:sz="8" w:color="CCCCCC"/>
            </w:tcBorders>
            <w:shd w:val="clear" w:color="auto" w:fill="F2F2F2"/>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2"/>
                <w:szCs w:val="22"/>
                <w:color w:val="auto"/>
              </w:rPr>
            </w:pPr>
          </w:p>
        </w:tc>
        <w:tc>
          <w:tcPr>
            <w:tcW w:w="8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3,348,000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$3,160,000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$1,419,000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$1,018,000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4"/>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Stock awards (Vested)</w:t>
            </w:r>
          </w:p>
        </w:tc>
        <w:tc>
          <w:tcPr>
            <w:tcW w:w="1700" w:type="dxa"/>
            <w:vAlign w:val="bottom"/>
            <w:tcBorders>
              <w:bottom w:val="single" w:sz="8" w:color="CCCCCC"/>
            </w:tcBorders>
            <w:gridSpan w:val="2"/>
          </w:tcPr>
          <w:p>
            <w:pPr>
              <w:ind w:left="138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480" w:type="dxa"/>
            <w:vAlign w:val="bottom"/>
            <w:tcBorders>
              <w:bottom w:val="single" w:sz="8" w:color="CCCCCC"/>
            </w:tcBorders>
          </w:tcPr>
          <w:p>
            <w:pPr>
              <w:spacing w:after="0"/>
              <w:rPr>
                <w:sz w:val="22"/>
                <w:szCs w:val="22"/>
                <w:color w:val="auto"/>
              </w:rPr>
            </w:pPr>
          </w:p>
        </w:tc>
        <w:tc>
          <w:tcPr>
            <w:tcW w:w="3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tcPr>
          <w:p>
            <w:pPr>
              <w:spacing w:after="0"/>
              <w:rPr>
                <w:sz w:val="22"/>
                <w:szCs w:val="22"/>
                <w:color w:val="auto"/>
              </w:rPr>
            </w:pPr>
          </w:p>
        </w:tc>
        <w:tc>
          <w:tcPr>
            <w:tcW w:w="3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spacing w:after="0"/>
              <w:rPr>
                <w:sz w:val="22"/>
                <w:szCs w:val="22"/>
                <w:color w:val="auto"/>
              </w:rPr>
            </w:pPr>
          </w:p>
        </w:tc>
        <w:tc>
          <w:tcPr>
            <w:tcW w:w="26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39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Benefit restoration plan</w:t>
            </w:r>
            <w:r>
              <w:rPr>
                <w:rFonts w:ascii="Arial" w:cs="Arial" w:eastAsia="Arial" w:hAnsi="Arial"/>
                <w:sz w:val="17"/>
                <w:szCs w:val="17"/>
                <w:color w:val="auto"/>
                <w:vertAlign w:val="superscript"/>
              </w:rPr>
              <w:t>(4)</w:t>
            </w:r>
          </w:p>
        </w:tc>
        <w:tc>
          <w:tcPr>
            <w:tcW w:w="1700" w:type="dxa"/>
            <w:vAlign w:val="bottom"/>
            <w:tcBorders>
              <w:bottom w:val="single" w:sz="8" w:color="CCCCCC"/>
            </w:tcBorders>
            <w:gridSpan w:val="2"/>
            <w:shd w:val="clear" w:color="auto" w:fill="F2F2F2"/>
          </w:tcPr>
          <w:p>
            <w:pPr>
              <w:ind w:left="1380"/>
              <w:spacing w:after="0" w:line="29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480" w:type="dxa"/>
            <w:vAlign w:val="bottom"/>
            <w:tcBorders>
              <w:bottom w:val="single" w:sz="8" w:color="CCCCCC"/>
            </w:tcBorders>
            <w:shd w:val="clear" w:color="auto" w:fill="F2F2F2"/>
          </w:tcPr>
          <w:p>
            <w:pPr>
              <w:spacing w:after="0"/>
              <w:rPr>
                <w:sz w:val="24"/>
                <w:szCs w:val="24"/>
                <w:color w:val="auto"/>
              </w:rPr>
            </w:pPr>
          </w:p>
        </w:tc>
        <w:tc>
          <w:tcPr>
            <w:tcW w:w="32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shd w:val="clear" w:color="auto" w:fill="F2F2F2"/>
          </w:tcPr>
          <w:p>
            <w:pPr>
              <w:spacing w:after="0"/>
              <w:rPr>
                <w:sz w:val="24"/>
                <w:szCs w:val="24"/>
                <w:color w:val="auto"/>
              </w:rPr>
            </w:pPr>
          </w:p>
        </w:tc>
        <w:tc>
          <w:tcPr>
            <w:tcW w:w="3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80" w:type="dxa"/>
            <w:vAlign w:val="bottom"/>
            <w:tcBorders>
              <w:bottom w:val="single" w:sz="8" w:color="CCCCCC"/>
            </w:tcBorders>
            <w:shd w:val="clear" w:color="auto" w:fill="F2F2F2"/>
          </w:tcPr>
          <w:p>
            <w:pPr>
              <w:ind w:left="20"/>
              <w:spacing w:after="0" w:line="290"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shd w:val="clear" w:color="auto" w:fill="F2F2F2"/>
          </w:tcPr>
          <w:p>
            <w:pPr>
              <w:spacing w:after="0"/>
              <w:rPr>
                <w:sz w:val="24"/>
                <w:szCs w:val="24"/>
                <w:color w:val="auto"/>
              </w:rPr>
            </w:pPr>
          </w:p>
        </w:tc>
        <w:tc>
          <w:tcPr>
            <w:tcW w:w="7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14"/>
                <w:szCs w:val="14"/>
                <w:color w:val="auto"/>
              </w:rPr>
              <w:t>409,000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326,000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0"/>
        </w:trPr>
        <w:tc>
          <w:tcPr>
            <w:tcW w:w="394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Savings restoration plan</w:t>
            </w:r>
            <w:r>
              <w:rPr>
                <w:rFonts w:ascii="Arial" w:cs="Arial" w:eastAsia="Arial" w:hAnsi="Arial"/>
                <w:sz w:val="17"/>
                <w:szCs w:val="17"/>
                <w:color w:val="auto"/>
                <w:vertAlign w:val="superscript"/>
              </w:rPr>
              <w:t>(5)</w:t>
            </w:r>
          </w:p>
        </w:tc>
        <w:tc>
          <w:tcPr>
            <w:tcW w:w="1640" w:type="dxa"/>
            <w:vAlign w:val="bottom"/>
            <w:tcBorders>
              <w:bottom w:val="single" w:sz="8" w:color="CCCCCC"/>
            </w:tcBorders>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280,000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109,000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spacing w:after="0"/>
              <w:rPr>
                <w:sz w:val="24"/>
                <w:szCs w:val="24"/>
                <w:color w:val="auto"/>
              </w:rPr>
            </w:pPr>
          </w:p>
        </w:tc>
        <w:tc>
          <w:tcPr>
            <w:tcW w:w="26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Health and welfare benefits</w:t>
            </w:r>
          </w:p>
        </w:tc>
        <w:tc>
          <w:tcPr>
            <w:tcW w:w="1640" w:type="dxa"/>
            <w:vAlign w:val="bottom"/>
            <w:tcBorders>
              <w:bottom w:val="single" w:sz="8" w:color="CCCCCC"/>
            </w:tcBorders>
            <w:shd w:val="clear" w:color="auto" w:fill="F2F2F2"/>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2"/>
                <w:szCs w:val="22"/>
                <w:color w:val="auto"/>
              </w:rPr>
            </w:pPr>
          </w:p>
        </w:tc>
        <w:tc>
          <w:tcPr>
            <w:tcW w:w="8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30,000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46,000</w:t>
            </w:r>
            <w:r>
              <w:rPr>
                <w:rFonts w:ascii="Arial" w:cs="Arial" w:eastAsia="Arial" w:hAnsi="Arial"/>
                <w:sz w:val="28"/>
                <w:szCs w:val="28"/>
                <w:color w:val="auto"/>
                <w:vertAlign w:val="subscript"/>
              </w:rPr>
              <w:t>​​</w:t>
            </w:r>
          </w:p>
        </w:tc>
        <w:tc>
          <w:tcPr>
            <w:tcW w:w="18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shd w:val="clear" w:color="auto" w:fill="F2F2F2"/>
          </w:tcPr>
          <w:p>
            <w:pPr>
              <w:spacing w:after="0"/>
              <w:rPr>
                <w:sz w:val="22"/>
                <w:szCs w:val="22"/>
                <w:color w:val="auto"/>
              </w:rPr>
            </w:pPr>
          </w:p>
        </w:tc>
        <w:tc>
          <w:tcPr>
            <w:tcW w:w="7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14"/>
                <w:szCs w:val="14"/>
                <w:color w:val="auto"/>
              </w:rPr>
              <w:t>46,000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24,000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Outplacement</w:t>
            </w:r>
          </w:p>
        </w:tc>
        <w:tc>
          <w:tcPr>
            <w:tcW w:w="1640" w:type="dxa"/>
            <w:vAlign w:val="bottom"/>
            <w:tcBorders>
              <w:bottom w:val="single" w:sz="8" w:color="CCCCCC"/>
            </w:tcBorders>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2"/>
                <w:szCs w:val="22"/>
                <w:color w:val="auto"/>
              </w:rPr>
            </w:pPr>
          </w:p>
        </w:tc>
        <w:tc>
          <w:tcPr>
            <w:tcW w:w="8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8,000</w:t>
            </w:r>
            <w:r>
              <w:rPr>
                <w:rFonts w:ascii="Arial" w:cs="Arial" w:eastAsia="Arial" w:hAnsi="Arial"/>
                <w:sz w:val="28"/>
                <w:szCs w:val="28"/>
                <w:color w:val="auto"/>
                <w:vertAlign w:val="subscript"/>
              </w:rPr>
              <w:t>​​</w:t>
            </w:r>
          </w:p>
        </w:tc>
        <w:tc>
          <w:tcPr>
            <w:tcW w:w="18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tcPr>
          <w:p>
            <w:pPr>
              <w:spacing w:after="0"/>
              <w:rPr>
                <w:sz w:val="22"/>
                <w:szCs w:val="22"/>
                <w:color w:val="auto"/>
              </w:rPr>
            </w:pPr>
          </w:p>
        </w:tc>
        <w:tc>
          <w:tcPr>
            <w:tcW w:w="7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14"/>
                <w:szCs w:val="14"/>
                <w:color w:val="auto"/>
              </w:rPr>
              <w:t>8,000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 benefit and payment</w:t>
            </w:r>
          </w:p>
        </w:tc>
        <w:tc>
          <w:tcPr>
            <w:tcW w:w="25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$22,912,000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$9,653,000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$9,328,000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$6,588,000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920" w:right="660" w:hanging="189"/>
        <w:spacing w:after="0" w:line="216" w:lineRule="auto"/>
        <w:tabs>
          <w:tab w:leader="none" w:pos="920" w:val="left"/>
        </w:tabs>
        <w:numPr>
          <w:ilvl w:val="0"/>
          <w:numId w:val="128"/>
        </w:numPr>
        <w:rPr>
          <w:rFonts w:ascii="Arial" w:cs="Arial" w:eastAsia="Arial" w:hAnsi="Arial"/>
          <w:sz w:val="20"/>
          <w:szCs w:val="20"/>
          <w:color w:val="auto"/>
          <w:vertAlign w:val="superscript"/>
        </w:rPr>
      </w:pPr>
      <w:r>
        <w:rPr>
          <w:rFonts w:ascii="Arial" w:cs="Arial" w:eastAsia="Arial" w:hAnsi="Arial"/>
          <w:sz w:val="13"/>
          <w:szCs w:val="13"/>
          <w:color w:val="auto"/>
        </w:rPr>
        <w:t>Mr. Lesar and Mses. Wilson and Harkel-Rumford have been omitted from this table as they departed the Company on January 5, 2024, July 26, 2024, and February 3, 2025, respectively. For information regarding payments to Mr. Lesar and Mses. Wilson and Harkel-Rumford in connection with their respective departures, see “— Retirements and Severance Arrangements” below.</w:t>
      </w:r>
    </w:p>
    <w:p>
      <w:pPr>
        <w:spacing w:after="0" w:line="50" w:lineRule="exact"/>
        <w:rPr>
          <w:rFonts w:ascii="Arial" w:cs="Arial" w:eastAsia="Arial" w:hAnsi="Arial"/>
          <w:sz w:val="20"/>
          <w:szCs w:val="20"/>
          <w:color w:val="auto"/>
          <w:vertAlign w:val="superscript"/>
        </w:rPr>
      </w:pPr>
    </w:p>
    <w:p>
      <w:pPr>
        <w:ind w:left="920" w:right="160" w:hanging="189"/>
        <w:spacing w:after="0" w:line="221" w:lineRule="auto"/>
        <w:tabs>
          <w:tab w:leader="none" w:pos="920" w:val="left"/>
        </w:tabs>
        <w:numPr>
          <w:ilvl w:val="0"/>
          <w:numId w:val="128"/>
        </w:numPr>
        <w:rPr>
          <w:rFonts w:ascii="Arial" w:cs="Arial" w:eastAsia="Arial" w:hAnsi="Arial"/>
          <w:sz w:val="20"/>
          <w:szCs w:val="20"/>
          <w:color w:val="auto"/>
          <w:vertAlign w:val="superscript"/>
        </w:rPr>
      </w:pPr>
      <w:r>
        <w:rPr>
          <w:rFonts w:ascii="Arial" w:cs="Arial" w:eastAsia="Arial" w:hAnsi="Arial"/>
          <w:sz w:val="13"/>
          <w:szCs w:val="13"/>
          <w:color w:val="auto"/>
        </w:rPr>
        <w:t>For purposes of the calculations, amounts that would be payable in shares have been converted to dollars using the NYSE closing price for CenterPoint Energy common stock on December 31, 2024, which was $31.73. The payments are determined as described under “— Change in control provisions in awards under our current long-term incentive plan.” Amounts shown are calculated based on the target level of achievement of any applicable performance goals. Amounts shown for the long-term incentive plan in this table include amounts in the “Payments upon termination of employment” table below.</w:t>
      </w:r>
    </w:p>
    <w:p>
      <w:pPr>
        <w:spacing w:after="0" w:line="63" w:lineRule="exact"/>
        <w:rPr>
          <w:rFonts w:ascii="Arial" w:cs="Arial" w:eastAsia="Arial" w:hAnsi="Arial"/>
          <w:sz w:val="20"/>
          <w:szCs w:val="20"/>
          <w:color w:val="auto"/>
          <w:vertAlign w:val="superscript"/>
        </w:rPr>
      </w:pPr>
    </w:p>
    <w:p>
      <w:pPr>
        <w:ind w:left="920" w:right="300" w:hanging="189"/>
        <w:spacing w:after="0" w:line="198" w:lineRule="auto"/>
        <w:tabs>
          <w:tab w:leader="none" w:pos="920" w:val="left"/>
        </w:tabs>
        <w:numPr>
          <w:ilvl w:val="0"/>
          <w:numId w:val="128"/>
        </w:numPr>
        <w:rPr>
          <w:rFonts w:ascii="Arial" w:cs="Arial" w:eastAsia="Arial" w:hAnsi="Arial"/>
          <w:sz w:val="20"/>
          <w:szCs w:val="20"/>
          <w:color w:val="auto"/>
          <w:vertAlign w:val="superscript"/>
        </w:rPr>
      </w:pPr>
      <w:r>
        <w:rPr>
          <w:rFonts w:ascii="Arial" w:cs="Arial" w:eastAsia="Arial" w:hAnsi="Arial"/>
          <w:sz w:val="13"/>
          <w:szCs w:val="13"/>
          <w:color w:val="auto"/>
        </w:rPr>
        <w:t>Amounts shown include PSUs granted in 2022 that vested on December 31, 2024, and were payable regardless of whether the officer terminated employment or whether a change in control occurred, as set forth in the award agreements.</w:t>
      </w:r>
    </w:p>
    <w:p>
      <w:pPr>
        <w:spacing w:after="0" w:line="51" w:lineRule="exact"/>
        <w:rPr>
          <w:rFonts w:ascii="Arial" w:cs="Arial" w:eastAsia="Arial" w:hAnsi="Arial"/>
          <w:sz w:val="20"/>
          <w:szCs w:val="20"/>
          <w:color w:val="auto"/>
          <w:vertAlign w:val="superscript"/>
        </w:rPr>
      </w:pPr>
    </w:p>
    <w:p>
      <w:pPr>
        <w:ind w:left="920" w:right="420" w:hanging="189"/>
        <w:spacing w:after="0" w:line="207" w:lineRule="auto"/>
        <w:tabs>
          <w:tab w:leader="none" w:pos="920" w:val="left"/>
        </w:tabs>
        <w:numPr>
          <w:ilvl w:val="0"/>
          <w:numId w:val="128"/>
        </w:numPr>
        <w:rPr>
          <w:rFonts w:ascii="Arial" w:cs="Arial" w:eastAsia="Arial" w:hAnsi="Arial"/>
          <w:sz w:val="20"/>
          <w:szCs w:val="20"/>
          <w:color w:val="auto"/>
          <w:vertAlign w:val="superscript"/>
        </w:rPr>
      </w:pPr>
      <w:r>
        <w:rPr>
          <w:rFonts w:ascii="Arial" w:cs="Arial" w:eastAsia="Arial" w:hAnsi="Arial"/>
          <w:sz w:val="13"/>
          <w:szCs w:val="13"/>
          <w:color w:val="auto"/>
        </w:rPr>
        <w:t>Amounts shown consist of the increase in cash balance accounts that would result from crediting an additional two years of pay credits under the cash balance formula for Mr. Ryan and Ms. Karuturi.</w:t>
      </w:r>
    </w:p>
    <w:p>
      <w:pPr>
        <w:spacing w:after="0" w:line="50" w:lineRule="exact"/>
        <w:rPr>
          <w:rFonts w:ascii="Arial" w:cs="Arial" w:eastAsia="Arial" w:hAnsi="Arial"/>
          <w:sz w:val="20"/>
          <w:szCs w:val="20"/>
          <w:color w:val="auto"/>
          <w:vertAlign w:val="superscript"/>
        </w:rPr>
      </w:pPr>
    </w:p>
    <w:p>
      <w:pPr>
        <w:ind w:left="920" w:right="240" w:hanging="189"/>
        <w:spacing w:after="0" w:line="198" w:lineRule="auto"/>
        <w:tabs>
          <w:tab w:leader="none" w:pos="920" w:val="left"/>
        </w:tabs>
        <w:numPr>
          <w:ilvl w:val="0"/>
          <w:numId w:val="128"/>
        </w:numPr>
        <w:rPr>
          <w:rFonts w:ascii="Arial" w:cs="Arial" w:eastAsia="Arial" w:hAnsi="Arial"/>
          <w:sz w:val="20"/>
          <w:szCs w:val="20"/>
          <w:color w:val="auto"/>
          <w:vertAlign w:val="superscript"/>
        </w:rPr>
      </w:pPr>
      <w:r>
        <w:rPr>
          <w:rFonts w:ascii="Arial" w:cs="Arial" w:eastAsia="Arial" w:hAnsi="Arial"/>
          <w:sz w:val="13"/>
          <w:szCs w:val="13"/>
          <w:color w:val="auto"/>
        </w:rPr>
        <w:t>Amounts shown consist of a benefit equal to an additional three years of employer nonelective contributions under the savings plan for Mr. Wells and two years for Mr. Foster.</w:t>
      </w:r>
    </w:p>
    <w:p>
      <w:pPr>
        <w:spacing w:after="0" w:line="136" w:lineRule="exact"/>
        <w:rPr>
          <w:sz w:val="20"/>
          <w:szCs w:val="20"/>
          <w:color w:val="auto"/>
        </w:rPr>
      </w:pPr>
    </w:p>
    <w:p>
      <w:pPr>
        <w:ind w:left="740" w:right="80"/>
        <w:spacing w:after="0" w:line="256" w:lineRule="auto"/>
        <w:rPr>
          <w:sz w:val="20"/>
          <w:szCs w:val="20"/>
          <w:color w:val="auto"/>
        </w:rPr>
      </w:pPr>
      <w:r>
        <w:rPr>
          <w:rFonts w:ascii="Arial" w:cs="Arial" w:eastAsia="Arial" w:hAnsi="Arial"/>
          <w:sz w:val="16"/>
          <w:szCs w:val="16"/>
          <w:color w:val="auto"/>
        </w:rPr>
        <w:t>Upon a change in control, each named executive officer would also be entitled to receive payment for any fully vested benefits to which he or she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p>
    <w:p>
      <w:pPr>
        <w:sectPr>
          <w:pgSz w:w="11900" w:h="16838" w:orient="portrait"/>
          <w:cols w:equalWidth="0" w:num="1">
            <w:col w:w="10020"/>
          </w:cols>
          <w:pgMar w:left="580" w:top="97" w:right="1299" w:bottom="1440" w:gutter="0" w:footer="0" w:header="0"/>
        </w:sectPr>
      </w:pPr>
    </w:p>
    <w:p>
      <w:pPr>
        <w:spacing w:after="0" w:line="23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20"/>
        <w:spacing w:after="0" w:line="265" w:lineRule="auto"/>
        <w:rPr>
          <w:sz w:val="20"/>
          <w:szCs w:val="20"/>
          <w:color w:val="auto"/>
        </w:rPr>
      </w:pPr>
      <w:r>
        <w:rPr>
          <w:rFonts w:ascii="Arial" w:cs="Arial" w:eastAsia="Arial" w:hAnsi="Arial"/>
          <w:sz w:val="16"/>
          <w:szCs w:val="16"/>
          <w:i w:val="1"/>
          <w:iCs w:val="1"/>
          <w:color w:val="auto"/>
        </w:rPr>
        <w:t>Payments upon termination of employment</w:t>
      </w:r>
      <w:r>
        <w:rPr>
          <w:rFonts w:ascii="Arial" w:cs="Arial" w:eastAsia="Arial" w:hAnsi="Arial"/>
          <w:sz w:val="16"/>
          <w:szCs w:val="16"/>
          <w:color w:val="auto"/>
        </w:rPr>
        <w:t>. Certain benefits are payable to a named executive officer upon his or her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2024. The numbers in the table have been rounded to the nearest one thousand dollars.</w:t>
      </w:r>
    </w:p>
    <w:p>
      <w:pPr>
        <w:spacing w:after="0" w:line="115"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4040" w:type="dxa"/>
            <w:vAlign w:val="bottom"/>
            <w:gridSpan w:val="2"/>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Type of Payment</w:t>
            </w:r>
            <w:r>
              <w:rPr>
                <w:rFonts w:ascii="Arial" w:cs="Arial" w:eastAsia="Arial" w:hAnsi="Arial"/>
                <w:sz w:val="16"/>
                <w:szCs w:val="16"/>
                <w:b w:val="1"/>
                <w:bCs w:val="1"/>
                <w:color w:val="FFFFFF"/>
                <w:vertAlign w:val="superscript"/>
              </w:rPr>
              <w:t>(1)</w:t>
            </w:r>
          </w:p>
        </w:tc>
        <w:tc>
          <w:tcPr>
            <w:tcW w:w="1580" w:type="dxa"/>
            <w:vAlign w:val="bottom"/>
            <w:shd w:val="clear" w:color="auto" w:fill="003763"/>
          </w:tcPr>
          <w:p>
            <w:pPr>
              <w:ind w:left="1500"/>
              <w:spacing w:after="0"/>
              <w:rPr>
                <w:sz w:val="20"/>
                <w:szCs w:val="20"/>
                <w:color w:val="auto"/>
              </w:rPr>
            </w:pPr>
            <w:r>
              <w:rPr>
                <w:rFonts w:ascii="Arial" w:cs="Arial" w:eastAsia="Arial" w:hAnsi="Arial"/>
                <w:sz w:val="13"/>
                <w:szCs w:val="13"/>
                <w:b w:val="1"/>
                <w:bCs w:val="1"/>
                <w:color w:val="FFFFFF"/>
              </w:rPr>
              <w:t>​</w:t>
            </w:r>
          </w:p>
        </w:tc>
        <w:tc>
          <w:tcPr>
            <w:tcW w:w="640" w:type="dxa"/>
            <w:vAlign w:val="bottom"/>
            <w:gridSpan w:val="2"/>
            <w:shd w:val="clear" w:color="auto" w:fill="003763"/>
          </w:tcPr>
          <w:p>
            <w:pPr>
              <w:jc w:val="right"/>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Wells</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60" w:type="dxa"/>
            <w:vAlign w:val="bottom"/>
            <w:gridSpan w:val="2"/>
            <w:shd w:val="clear" w:color="auto" w:fill="003763"/>
          </w:tcPr>
          <w:p>
            <w:pPr>
              <w:ind w:left="2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Foster</w:t>
            </w:r>
          </w:p>
        </w:tc>
        <w:tc>
          <w:tcPr>
            <w:tcW w:w="2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gridSpan w:val="3"/>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   </w:t>
            </w:r>
            <w:r>
              <w:rPr>
                <w:rFonts w:ascii="Arial" w:cs="Arial" w:eastAsia="Arial" w:hAnsi="Arial"/>
                <w:sz w:val="25"/>
                <w:szCs w:val="25"/>
                <w:b w:val="1"/>
                <w:bCs w:val="1"/>
                <w:color w:val="FFFFFF"/>
                <w:vertAlign w:val="subscript"/>
              </w:rPr>
              <w:t>​</w:t>
            </w:r>
          </w:p>
        </w:tc>
        <w:tc>
          <w:tcPr>
            <w:tcW w:w="560" w:type="dxa"/>
            <w:vAlign w:val="bottom"/>
            <w:gridSpan w:val="2"/>
            <w:shd w:val="clear" w:color="auto" w:fill="003763"/>
          </w:tcPr>
          <w:p>
            <w:pPr>
              <w:ind w:left="2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Ryan</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3"/>
        </w:trPr>
        <w:tc>
          <w:tcPr>
            <w:tcW w:w="4040" w:type="dxa"/>
            <w:vAlign w:val="bottom"/>
            <w:tcBorders>
              <w:bottom w:val="single" w:sz="8" w:color="CCCCCC"/>
            </w:tcBorders>
            <w:gridSpan w:val="2"/>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Short-term Incentive Plan</w:t>
            </w:r>
          </w:p>
        </w:tc>
        <w:tc>
          <w:tcPr>
            <w:tcW w:w="1580" w:type="dxa"/>
            <w:vAlign w:val="bottom"/>
            <w:tcBorders>
              <w:bottom w:val="single" w:sz="8" w:color="CCCCCC"/>
            </w:tcBorders>
          </w:tcPr>
          <w:p>
            <w:pPr>
              <w:ind w:left="15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gridSpan w:val="2"/>
          </w:tcPr>
          <w:p>
            <w:pPr>
              <w:jc w:val="right"/>
              <w:ind w:right="348"/>
              <w:spacing w:after="0" w:line="284"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20" w:type="dxa"/>
            <w:vAlign w:val="bottom"/>
            <w:tcBorders>
              <w:bottom w:val="single" w:sz="8" w:color="CCCCCC"/>
            </w:tcBorders>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60" w:type="dxa"/>
            <w:vAlign w:val="bottom"/>
            <w:tcBorders>
              <w:bottom w:val="single" w:sz="8" w:color="CCCCCC"/>
            </w:tcBorders>
            <w:gridSpan w:val="2"/>
          </w:tcPr>
          <w:p>
            <w:pPr>
              <w:jc w:val="right"/>
              <w:ind w:right="368"/>
              <w:spacing w:after="0" w:line="284"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Borders>
              <w:bottom w:val="single" w:sz="8" w:color="CCCCCC"/>
            </w:tcBorders>
            <w:gridSpan w:val="2"/>
          </w:tcPr>
          <w:p>
            <w:pPr>
              <w:jc w:val="right"/>
              <w:ind w:right="168"/>
              <w:spacing w:after="0" w:line="284"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tcBorders>
              <w:bottom w:val="single" w:sz="8" w:color="CCCCCC"/>
            </w:tcBorders>
            <w:gridSpan w:val="2"/>
          </w:tcPr>
          <w:p>
            <w:pPr>
              <w:jc w:val="right"/>
              <w:ind w:right="268"/>
              <w:spacing w:after="0" w:line="284"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960" w:type="dxa"/>
            <w:vAlign w:val="bottom"/>
            <w:shd w:val="clear" w:color="auto" w:fill="F2F2F2"/>
          </w:tcPr>
          <w:p>
            <w:pPr>
              <w:spacing w:after="0" w:line="183" w:lineRule="exact"/>
              <w:rPr>
                <w:sz w:val="20"/>
                <w:szCs w:val="20"/>
                <w:color w:val="auto"/>
              </w:rPr>
            </w:pPr>
            <w:r>
              <w:rPr>
                <w:rFonts w:ascii="Arial" w:cs="Arial" w:eastAsia="Arial" w:hAnsi="Arial"/>
                <w:sz w:val="14"/>
                <w:szCs w:val="14"/>
                <w:color w:val="auto"/>
              </w:rPr>
              <w:t>Long-term Incentive Plan:</w:t>
            </w:r>
            <w:r>
              <w:rPr>
                <w:rFonts w:ascii="Arial" w:cs="Arial" w:eastAsia="Arial" w:hAnsi="Arial"/>
                <w:sz w:val="17"/>
                <w:szCs w:val="17"/>
                <w:color w:val="auto"/>
                <w:vertAlign w:val="superscript"/>
              </w:rPr>
              <w:t>(2)</w:t>
            </w:r>
          </w:p>
        </w:tc>
        <w:tc>
          <w:tcPr>
            <w:tcW w:w="1740" w:type="dxa"/>
            <w:vAlign w:val="bottom"/>
            <w:gridSpan w:val="2"/>
            <w:vMerge w:val="restart"/>
            <w:shd w:val="clear" w:color="auto" w:fill="F2F2F2"/>
          </w:tcPr>
          <w:p>
            <w:pPr>
              <w:ind w:left="1500"/>
              <w:spacing w:after="0"/>
              <w:rPr>
                <w:sz w:val="20"/>
                <w:szCs w:val="20"/>
                <w:color w:val="auto"/>
              </w:rPr>
            </w:pPr>
            <w:r>
              <w:rPr>
                <w:rFonts w:ascii="Arial" w:cs="Arial" w:eastAsia="Arial" w:hAnsi="Arial"/>
                <w:sz w:val="14"/>
                <w:szCs w:val="14"/>
                <w:color w:val="auto"/>
              </w:rPr>
              <w:t>​ ​ ​</w:t>
            </w:r>
          </w:p>
        </w:tc>
        <w:tc>
          <w:tcPr>
            <w:tcW w:w="48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shd w:val="clear" w:color="auto" w:fill="F2F2F2"/>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50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3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w:t>
            </w:r>
          </w:p>
        </w:tc>
        <w:tc>
          <w:tcPr>
            <w:tcW w:w="500" w:type="dxa"/>
            <w:vAlign w:val="bottom"/>
            <w:shd w:val="clear" w:color="auto" w:fill="F2F2F2"/>
          </w:tcPr>
          <w:p>
            <w:pPr>
              <w:jc w:val="right"/>
              <w:ind w:right="3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40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shd w:val="clear" w:color="auto" w:fill="F2F2F2"/>
          </w:tcPr>
          <w:p>
            <w:pPr>
              <w:spacing w:after="0"/>
              <w:rPr>
                <w:sz w:val="9"/>
                <w:szCs w:val="9"/>
                <w:color w:val="auto"/>
              </w:rPr>
            </w:pPr>
          </w:p>
        </w:tc>
        <w:tc>
          <w:tcPr>
            <w:tcW w:w="3960" w:type="dxa"/>
            <w:vAlign w:val="bottom"/>
            <w:tcBorders>
              <w:bottom w:val="single" w:sz="8" w:color="CCCCCC"/>
            </w:tcBorders>
            <w:shd w:val="clear" w:color="auto" w:fill="F2F2F2"/>
          </w:tcPr>
          <w:p>
            <w:pPr>
              <w:spacing w:after="0"/>
              <w:rPr>
                <w:sz w:val="9"/>
                <w:szCs w:val="9"/>
                <w:color w:val="auto"/>
              </w:rPr>
            </w:pPr>
          </w:p>
        </w:tc>
        <w:tc>
          <w:tcPr>
            <w:tcW w:w="1740" w:type="dxa"/>
            <w:vAlign w:val="bottom"/>
            <w:tcBorders>
              <w:bottom w:val="single" w:sz="8" w:color="CCCCCC"/>
            </w:tcBorders>
            <w:gridSpan w:val="2"/>
            <w:vMerge w:val="continue"/>
            <w:shd w:val="clear" w:color="auto" w:fill="F2F2F2"/>
          </w:tcPr>
          <w:p>
            <w:pPr>
              <w:spacing w:after="0"/>
              <w:rPr>
                <w:sz w:val="9"/>
                <w:szCs w:val="9"/>
                <w:color w:val="auto"/>
              </w:rPr>
            </w:pPr>
          </w:p>
        </w:tc>
        <w:tc>
          <w:tcPr>
            <w:tcW w:w="480" w:type="dxa"/>
            <w:vAlign w:val="bottom"/>
            <w:tcBorders>
              <w:bottom w:val="single" w:sz="8" w:color="CCCCCC"/>
            </w:tcBorders>
            <w:shd w:val="clear" w:color="auto" w:fill="F2F2F2"/>
          </w:tcPr>
          <w:p>
            <w:pPr>
              <w:spacing w:after="0"/>
              <w:rPr>
                <w:sz w:val="9"/>
                <w:szCs w:val="9"/>
                <w:color w:val="auto"/>
              </w:rPr>
            </w:pPr>
          </w:p>
        </w:tc>
        <w:tc>
          <w:tcPr>
            <w:tcW w:w="32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500" w:type="dxa"/>
            <w:vAlign w:val="bottom"/>
            <w:tcBorders>
              <w:bottom w:val="single" w:sz="8" w:color="CCCCCC"/>
            </w:tcBorders>
            <w:shd w:val="clear" w:color="auto" w:fill="F2F2F2"/>
          </w:tcPr>
          <w:p>
            <w:pPr>
              <w:spacing w:after="0"/>
              <w:rPr>
                <w:sz w:val="9"/>
                <w:szCs w:val="9"/>
                <w:color w:val="auto"/>
              </w:rPr>
            </w:pPr>
          </w:p>
        </w:tc>
        <w:tc>
          <w:tcPr>
            <w:tcW w:w="28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300" w:type="dxa"/>
            <w:vAlign w:val="bottom"/>
            <w:tcBorders>
              <w:bottom w:val="single" w:sz="8" w:color="CCCCCC"/>
            </w:tcBorders>
            <w:shd w:val="clear" w:color="auto" w:fill="F2F2F2"/>
          </w:tcPr>
          <w:p>
            <w:pPr>
              <w:spacing w:after="0"/>
              <w:rPr>
                <w:sz w:val="9"/>
                <w:szCs w:val="9"/>
                <w:color w:val="auto"/>
              </w:rPr>
            </w:pPr>
          </w:p>
        </w:tc>
        <w:tc>
          <w:tcPr>
            <w:tcW w:w="50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400" w:type="dxa"/>
            <w:vAlign w:val="bottom"/>
            <w:tcBorders>
              <w:bottom w:val="single" w:sz="8" w:color="CCCCCC"/>
            </w:tcBorders>
            <w:shd w:val="clear" w:color="auto" w:fill="F2F2F2"/>
          </w:tcPr>
          <w:p>
            <w:pPr>
              <w:spacing w:after="0"/>
              <w:rPr>
                <w:sz w:val="9"/>
                <w:szCs w:val="9"/>
                <w:color w:val="auto"/>
              </w:rPr>
            </w:pPr>
          </w:p>
        </w:tc>
        <w:tc>
          <w:tcPr>
            <w:tcW w:w="22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4"/>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9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Performance Share Units (Unvested)</w:t>
            </w:r>
          </w:p>
        </w:tc>
        <w:tc>
          <w:tcPr>
            <w:tcW w:w="2220" w:type="dxa"/>
            <w:vAlign w:val="bottom"/>
            <w:tcBorders>
              <w:bottom w:val="single" w:sz="8" w:color="CCCCCC"/>
            </w:tcBorders>
            <w:gridSpan w:val="3"/>
          </w:tcPr>
          <w:p>
            <w:pPr>
              <w:ind w:left="150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60" w:type="dxa"/>
            <w:vAlign w:val="bottom"/>
            <w:tcBorders>
              <w:bottom w:val="single" w:sz="8" w:color="CCCCCC"/>
            </w:tcBorders>
            <w:gridSpan w:val="2"/>
          </w:tcPr>
          <w:p>
            <w:pPr>
              <w:jc w:val="right"/>
              <w:ind w:right="3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Borders>
              <w:bottom w:val="single" w:sz="8" w:color="CCCCCC"/>
            </w:tcBorders>
            <w:gridSpan w:val="2"/>
          </w:tcPr>
          <w:p>
            <w:pPr>
              <w:jc w:val="right"/>
              <w:ind w:right="1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tcBorders>
              <w:bottom w:val="single" w:sz="8" w:color="CCCCCC"/>
            </w:tcBorders>
            <w:gridSpan w:val="2"/>
          </w:tcPr>
          <w:p>
            <w:pPr>
              <w:jc w:val="right"/>
              <w:ind w:right="2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9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Performance Share Units (Vested)</w:t>
            </w:r>
            <w:r>
              <w:rPr>
                <w:rFonts w:ascii="Arial" w:cs="Arial" w:eastAsia="Arial" w:hAnsi="Arial"/>
                <w:sz w:val="17"/>
                <w:szCs w:val="17"/>
                <w:color w:val="auto"/>
                <w:vertAlign w:val="superscript"/>
              </w:rPr>
              <w:t>(3)</w:t>
            </w:r>
            <w:r>
              <w:rPr>
                <w:rFonts w:ascii="Arial" w:cs="Arial" w:eastAsia="Arial" w:hAnsi="Arial"/>
                <w:sz w:val="14"/>
                <w:szCs w:val="14"/>
                <w:color w:val="auto"/>
              </w:rPr>
              <w:t>​</w:t>
            </w:r>
          </w:p>
        </w:tc>
        <w:tc>
          <w:tcPr>
            <w:tcW w:w="2540" w:type="dxa"/>
            <w:vAlign w:val="bottom"/>
            <w:tcBorders>
              <w:bottom w:val="single" w:sz="8" w:color="CCCCCC"/>
            </w:tcBorders>
            <w:gridSpan w:val="4"/>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$1,648,000</w:t>
            </w:r>
            <w:r>
              <w:rPr>
                <w:rFonts w:ascii="Arial" w:cs="Arial" w:eastAsia="Arial" w:hAnsi="Arial"/>
                <w:sz w:val="28"/>
                <w:szCs w:val="28"/>
                <w:color w:val="auto"/>
                <w:vertAlign w:val="subscript"/>
              </w:rPr>
              <w:t>​​</w:t>
            </w:r>
          </w:p>
        </w:tc>
        <w:tc>
          <w:tcPr>
            <w:tcW w:w="660" w:type="dxa"/>
            <w:vAlign w:val="bottom"/>
            <w:tcBorders>
              <w:bottom w:val="single" w:sz="8" w:color="CCCCCC"/>
            </w:tcBorders>
            <w:gridSpan w:val="2"/>
            <w:shd w:val="clear" w:color="auto" w:fill="F2F2F2"/>
          </w:tcPr>
          <w:p>
            <w:pPr>
              <w:jc w:val="right"/>
              <w:ind w:right="368"/>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6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$1,045,000</w:t>
            </w:r>
            <w:r>
              <w:rPr>
                <w:rFonts w:ascii="Arial" w:cs="Arial" w:eastAsia="Arial" w:hAnsi="Arial"/>
                <w:sz w:val="28"/>
                <w:szCs w:val="28"/>
                <w:color w:val="auto"/>
                <w:vertAlign w:val="subscript"/>
              </w:rPr>
              <w:t>​​</w:t>
            </w:r>
          </w:p>
        </w:tc>
        <w:tc>
          <w:tcPr>
            <w:tcW w:w="78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$798,000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9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Stock Awards (Unvested)</w:t>
            </w:r>
          </w:p>
        </w:tc>
        <w:tc>
          <w:tcPr>
            <w:tcW w:w="2220" w:type="dxa"/>
            <w:vAlign w:val="bottom"/>
            <w:tcBorders>
              <w:bottom w:val="single" w:sz="8" w:color="CCCCCC"/>
            </w:tcBorders>
            <w:gridSpan w:val="3"/>
          </w:tcPr>
          <w:p>
            <w:pPr>
              <w:ind w:left="150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4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$2,116,000</w:t>
            </w:r>
            <w:r>
              <w:rPr>
                <w:rFonts w:ascii="Arial" w:cs="Arial" w:eastAsia="Arial" w:hAnsi="Arial"/>
                <w:sz w:val="28"/>
                <w:szCs w:val="28"/>
                <w:color w:val="auto"/>
                <w:vertAlign w:val="subscript"/>
              </w:rPr>
              <w:t>​​</w:t>
            </w:r>
          </w:p>
        </w:tc>
        <w:tc>
          <w:tcPr>
            <w:tcW w:w="460" w:type="dxa"/>
            <w:vAlign w:val="bottom"/>
            <w:tcBorders>
              <w:bottom w:val="single" w:sz="8" w:color="CCCCCC"/>
            </w:tcBorders>
            <w:gridSpan w:val="2"/>
          </w:tcPr>
          <w:p>
            <w:pPr>
              <w:jc w:val="right"/>
              <w:ind w:right="1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tcBorders>
              <w:bottom w:val="single" w:sz="8" w:color="CCCCCC"/>
            </w:tcBorders>
            <w:gridSpan w:val="2"/>
          </w:tcPr>
          <w:p>
            <w:pPr>
              <w:jc w:val="right"/>
              <w:ind w:right="2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9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Stock Awards (Vested)</w:t>
            </w:r>
          </w:p>
        </w:tc>
        <w:tc>
          <w:tcPr>
            <w:tcW w:w="2220" w:type="dxa"/>
            <w:vAlign w:val="bottom"/>
            <w:tcBorders>
              <w:bottom w:val="single" w:sz="8" w:color="CCCCCC"/>
            </w:tcBorders>
            <w:gridSpan w:val="3"/>
            <w:shd w:val="clear" w:color="auto" w:fill="F2F2F2"/>
          </w:tcPr>
          <w:p>
            <w:pPr>
              <w:ind w:left="150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60" w:type="dxa"/>
            <w:vAlign w:val="bottom"/>
            <w:tcBorders>
              <w:bottom w:val="single" w:sz="8" w:color="CCCCCC"/>
            </w:tcBorders>
            <w:gridSpan w:val="2"/>
            <w:shd w:val="clear" w:color="auto" w:fill="F2F2F2"/>
          </w:tcPr>
          <w:p>
            <w:pPr>
              <w:jc w:val="right"/>
              <w:ind w:right="3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Borders>
              <w:bottom w:val="single" w:sz="8" w:color="CCCCCC"/>
            </w:tcBorders>
            <w:gridSpan w:val="2"/>
            <w:shd w:val="clear" w:color="auto" w:fill="F2F2F2"/>
          </w:tcPr>
          <w:p>
            <w:pPr>
              <w:jc w:val="right"/>
              <w:ind w:right="1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tcBorders>
              <w:bottom w:val="single" w:sz="8" w:color="CCCCCC"/>
            </w:tcBorders>
            <w:gridSpan w:val="2"/>
            <w:shd w:val="clear" w:color="auto" w:fill="F2F2F2"/>
          </w:tcPr>
          <w:p>
            <w:pPr>
              <w:jc w:val="right"/>
              <w:ind w:right="268"/>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w:t>
            </w:r>
          </w:p>
        </w:tc>
        <w:tc>
          <w:tcPr>
            <w:tcW w:w="254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$1,648,000</w:t>
            </w:r>
            <w:r>
              <w:rPr>
                <w:rFonts w:ascii="Arial" w:cs="Arial" w:eastAsia="Arial" w:hAnsi="Arial"/>
                <w:sz w:val="28"/>
                <w:szCs w:val="28"/>
                <w:color w:val="auto"/>
                <w:vertAlign w:val="subscript"/>
              </w:rPr>
              <w:t>​​</w:t>
            </w:r>
          </w:p>
        </w:tc>
        <w:tc>
          <w:tcPr>
            <w:tcW w:w="94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$2,116,000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$1,045,000</w:t>
            </w:r>
            <w:r>
              <w:rPr>
                <w:rFonts w:ascii="Arial" w:cs="Arial" w:eastAsia="Arial" w:hAnsi="Arial"/>
                <w:sz w:val="28"/>
                <w:szCs w:val="28"/>
                <w:color w:val="auto"/>
                <w:vertAlign w:val="subscript"/>
              </w:rPr>
              <w:t>​​</w:t>
            </w:r>
          </w:p>
        </w:tc>
        <w:tc>
          <w:tcPr>
            <w:tcW w:w="78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$798,000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920" w:right="660" w:hanging="189"/>
        <w:spacing w:after="0" w:line="210" w:lineRule="auto"/>
        <w:tabs>
          <w:tab w:leader="none" w:pos="920" w:val="left"/>
        </w:tabs>
        <w:numPr>
          <w:ilvl w:val="0"/>
          <w:numId w:val="129"/>
        </w:numPr>
        <w:rPr>
          <w:rFonts w:ascii="Arial" w:cs="Arial" w:eastAsia="Arial" w:hAnsi="Arial"/>
          <w:sz w:val="20"/>
          <w:szCs w:val="20"/>
          <w:color w:val="auto"/>
          <w:vertAlign w:val="superscript"/>
        </w:rPr>
      </w:pPr>
      <w:r>
        <w:rPr>
          <w:rFonts w:ascii="Arial" w:cs="Arial" w:eastAsia="Arial" w:hAnsi="Arial"/>
          <w:sz w:val="13"/>
          <w:szCs w:val="13"/>
          <w:color w:val="auto"/>
        </w:rPr>
        <w:t>Mr. Lesar and Mses. Wilson and Harkel-Rumford have been omitted from this table as they departed the Company on January 5, 2024, July 26, 2024, and February 3, 2025, respectively. For information regarding payments to Mr. Lesar and Mses. Wilson and Harkel-Rumford in connection with their respective departures, see “— Retirements and Severance Arrangements” below.</w:t>
      </w:r>
    </w:p>
    <w:p>
      <w:pPr>
        <w:spacing w:after="0" w:line="63" w:lineRule="exact"/>
        <w:rPr>
          <w:rFonts w:ascii="Arial" w:cs="Arial" w:eastAsia="Arial" w:hAnsi="Arial"/>
          <w:sz w:val="20"/>
          <w:szCs w:val="20"/>
          <w:color w:val="auto"/>
          <w:vertAlign w:val="superscript"/>
        </w:rPr>
      </w:pPr>
    </w:p>
    <w:p>
      <w:pPr>
        <w:ind w:left="920" w:right="380" w:hanging="189"/>
        <w:spacing w:after="0" w:line="207" w:lineRule="auto"/>
        <w:tabs>
          <w:tab w:leader="none" w:pos="920" w:val="left"/>
        </w:tabs>
        <w:numPr>
          <w:ilvl w:val="0"/>
          <w:numId w:val="129"/>
        </w:numPr>
        <w:rPr>
          <w:rFonts w:ascii="Arial" w:cs="Arial" w:eastAsia="Arial" w:hAnsi="Arial"/>
          <w:sz w:val="20"/>
          <w:szCs w:val="20"/>
          <w:color w:val="auto"/>
          <w:vertAlign w:val="superscript"/>
        </w:rPr>
      </w:pPr>
      <w:r>
        <w:rPr>
          <w:rFonts w:ascii="Arial" w:cs="Arial" w:eastAsia="Arial" w:hAnsi="Arial"/>
          <w:sz w:val="13"/>
          <w:szCs w:val="13"/>
          <w:color w:val="auto"/>
        </w:rPr>
        <w:t>For purposes of the calculations, amounts that would be payable in shares have been converted to dollars using the NYSE closing price for CenterPoint Energy common stock on December 31, 2024, which was $31.73. All amounts shown have been calculated assuming the target level of achievement.</w:t>
      </w:r>
    </w:p>
    <w:p>
      <w:pPr>
        <w:spacing w:after="0" w:line="50" w:lineRule="exact"/>
        <w:rPr>
          <w:rFonts w:ascii="Arial" w:cs="Arial" w:eastAsia="Arial" w:hAnsi="Arial"/>
          <w:sz w:val="20"/>
          <w:szCs w:val="20"/>
          <w:color w:val="auto"/>
          <w:vertAlign w:val="superscript"/>
        </w:rPr>
      </w:pPr>
    </w:p>
    <w:p>
      <w:pPr>
        <w:ind w:left="920" w:right="40" w:hanging="189"/>
        <w:spacing w:after="0" w:line="207" w:lineRule="auto"/>
        <w:tabs>
          <w:tab w:leader="none" w:pos="920" w:val="left"/>
        </w:tabs>
        <w:numPr>
          <w:ilvl w:val="0"/>
          <w:numId w:val="129"/>
        </w:numPr>
        <w:rPr>
          <w:rFonts w:ascii="Arial" w:cs="Arial" w:eastAsia="Arial" w:hAnsi="Arial"/>
          <w:sz w:val="20"/>
          <w:szCs w:val="20"/>
          <w:color w:val="auto"/>
          <w:vertAlign w:val="superscript"/>
        </w:rPr>
      </w:pPr>
      <w:r>
        <w:rPr>
          <w:rFonts w:ascii="Arial" w:cs="Arial" w:eastAsia="Arial" w:hAnsi="Arial"/>
          <w:sz w:val="13"/>
          <w:szCs w:val="13"/>
          <w:color w:val="auto"/>
        </w:rPr>
        <w:t>Amounts shown include PSUs granted in 2022 that vested on December 31, 2024, and were payable regardless of whether the officer terminated employment, as set forth in the award agreements.</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740" w:right="180"/>
        <w:spacing w:after="0" w:line="295" w:lineRule="auto"/>
        <w:rPr>
          <w:sz w:val="20"/>
          <w:szCs w:val="20"/>
          <w:color w:val="auto"/>
        </w:rPr>
      </w:pPr>
      <w:r>
        <w:rPr>
          <w:rFonts w:ascii="Arial" w:cs="Arial" w:eastAsia="Arial" w:hAnsi="Arial"/>
          <w:sz w:val="15"/>
          <w:szCs w:val="15"/>
          <w:color w:val="auto"/>
        </w:rPr>
        <w:t>Upon termination of employment, each named executive officer would also be entitled to receive payment for any fully vested benefits to which he or she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83" w:lineRule="exact"/>
        <w:rPr>
          <w:sz w:val="20"/>
          <w:szCs w:val="20"/>
          <w:color w:val="auto"/>
        </w:rPr>
      </w:pPr>
    </w:p>
    <w:p>
      <w:pPr>
        <w:ind w:left="740" w:right="320"/>
        <w:spacing w:after="0" w:line="275" w:lineRule="auto"/>
        <w:rPr>
          <w:sz w:val="20"/>
          <w:szCs w:val="20"/>
          <w:color w:val="auto"/>
        </w:rPr>
      </w:pPr>
      <w:r>
        <w:rPr>
          <w:rFonts w:ascii="Arial" w:cs="Arial" w:eastAsia="Arial" w:hAnsi="Arial"/>
          <w:sz w:val="16"/>
          <w:szCs w:val="16"/>
          <w:i w:val="1"/>
          <w:iCs w:val="1"/>
          <w:color w:val="auto"/>
        </w:rPr>
        <w:t xml:space="preserve">Payments upon termination due to death. </w:t>
      </w:r>
      <w:r>
        <w:rPr>
          <w:rFonts w:ascii="Arial" w:cs="Arial" w:eastAsia="Arial" w:hAnsi="Arial"/>
          <w:sz w:val="16"/>
          <w:szCs w:val="16"/>
          <w:color w:val="auto"/>
        </w:rPr>
        <w:t>The table below presents information on the value of the benefits payable if a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had died on December 31, 2024. The numbers in the table have been rounded to the nearest one thousand dollars. The beneficiaries would have been entitled to the following amounts:</w:t>
      </w:r>
    </w:p>
    <w:p>
      <w:pPr>
        <w:spacing w:after="0" w:line="107"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3940" w:type="dxa"/>
            <w:vAlign w:val="bottom"/>
            <w:gridSpan w:val="2"/>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Type of Payment</w:t>
            </w:r>
            <w:r>
              <w:rPr>
                <w:rFonts w:ascii="Arial" w:cs="Arial" w:eastAsia="Arial" w:hAnsi="Arial"/>
                <w:sz w:val="16"/>
                <w:szCs w:val="16"/>
                <w:b w:val="1"/>
                <w:bCs w:val="1"/>
                <w:color w:val="FFFFFF"/>
                <w:vertAlign w:val="superscript"/>
              </w:rPr>
              <w:t>(1)</w:t>
            </w:r>
          </w:p>
        </w:tc>
        <w:tc>
          <w:tcPr>
            <w:tcW w:w="1640" w:type="dxa"/>
            <w:vAlign w:val="bottom"/>
            <w:shd w:val="clear" w:color="auto" w:fill="003763"/>
          </w:tcPr>
          <w:p>
            <w:pPr>
              <w:ind w:left="1380"/>
              <w:spacing w:after="0"/>
              <w:rPr>
                <w:sz w:val="20"/>
                <w:szCs w:val="20"/>
                <w:color w:val="auto"/>
              </w:rPr>
            </w:pPr>
            <w:r>
              <w:rPr>
                <w:rFonts w:ascii="Arial" w:cs="Arial" w:eastAsia="Arial" w:hAnsi="Arial"/>
                <w:sz w:val="13"/>
                <w:szCs w:val="13"/>
                <w:b w:val="1"/>
                <w:bCs w:val="1"/>
                <w:color w:val="FFFFFF"/>
              </w:rPr>
              <w:t>​ ​</w:t>
            </w:r>
          </w:p>
        </w:tc>
        <w:tc>
          <w:tcPr>
            <w:tcW w:w="60" w:type="dxa"/>
            <w:vAlign w:val="bottom"/>
            <w:shd w:val="clear" w:color="auto" w:fill="003763"/>
          </w:tcPr>
          <w:p>
            <w:pPr>
              <w:spacing w:after="0"/>
              <w:rPr>
                <w:sz w:val="24"/>
                <w:szCs w:val="24"/>
                <w:color w:val="auto"/>
              </w:rPr>
            </w:pPr>
          </w:p>
        </w:tc>
        <w:tc>
          <w:tcPr>
            <w:tcW w:w="48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Wells</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4"/>
                <w:szCs w:val="24"/>
                <w:color w:val="auto"/>
              </w:rPr>
            </w:pPr>
          </w:p>
        </w:tc>
        <w:tc>
          <w:tcPr>
            <w:tcW w:w="4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5"/>
              </w:rPr>
              <w:t>Foster</w:t>
            </w:r>
          </w:p>
        </w:tc>
        <w:tc>
          <w:tcPr>
            <w:tcW w:w="3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gridSpan w:val="3"/>
            <w:shd w:val="clear" w:color="auto" w:fill="003763"/>
          </w:tcPr>
          <w:p>
            <w:pPr>
              <w:jc w:val="right"/>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   </w:t>
            </w:r>
            <w:r>
              <w:rPr>
                <w:rFonts w:ascii="Arial" w:cs="Arial" w:eastAsia="Arial" w:hAnsi="Arial"/>
                <w:sz w:val="25"/>
                <w:szCs w:val="25"/>
                <w:b w:val="1"/>
                <w:bCs w:val="1"/>
                <w:color w:val="FFFFFF"/>
                <w:vertAlign w:val="subscript"/>
              </w:rPr>
              <w:t>​</w:t>
            </w:r>
          </w:p>
        </w:tc>
        <w:tc>
          <w:tcPr>
            <w:tcW w:w="16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4"/>
                <w:szCs w:val="24"/>
                <w:color w:val="auto"/>
              </w:rPr>
            </w:pPr>
          </w:p>
        </w:tc>
        <w:tc>
          <w:tcPr>
            <w:tcW w:w="3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Ryan</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10"/>
        </w:trPr>
        <w:tc>
          <w:tcPr>
            <w:tcW w:w="3940" w:type="dxa"/>
            <w:vAlign w:val="bottom"/>
            <w:tcBorders>
              <w:bottom w:val="single" w:sz="8" w:color="CCCCCC"/>
            </w:tcBorders>
            <w:gridSpan w:val="2"/>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Short-term Incentive Plan</w:t>
            </w:r>
            <w:r>
              <w:rPr>
                <w:rFonts w:ascii="Arial" w:cs="Arial" w:eastAsia="Arial" w:hAnsi="Arial"/>
                <w:sz w:val="17"/>
                <w:szCs w:val="17"/>
                <w:color w:val="auto"/>
                <w:vertAlign w:val="superscript"/>
              </w:rPr>
              <w:t>(2)</w:t>
            </w:r>
          </w:p>
        </w:tc>
        <w:tc>
          <w:tcPr>
            <w:tcW w:w="1640" w:type="dxa"/>
            <w:vAlign w:val="bottom"/>
            <w:tcBorders>
              <w:bottom w:val="single" w:sz="8" w:color="CCCCCC"/>
            </w:tcBorders>
          </w:tcPr>
          <w:p>
            <w:pPr>
              <w:ind w:left="1380"/>
              <w:spacing w:after="0" w:line="31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1,438,000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31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180" w:type="dxa"/>
            <w:vAlign w:val="bottom"/>
            <w:tcBorders>
              <w:bottom w:val="single" w:sz="8" w:color="CCCCCC"/>
            </w:tcBorders>
          </w:tcPr>
          <w:p>
            <w:pPr>
              <w:ind w:left="20"/>
              <w:spacing w:after="0" w:line="310"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jc w:val="right"/>
              <w:spacing w:after="0" w:line="310"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31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368,000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8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shd w:val="clear" w:color="auto" w:fill="F2F2F2"/>
          </w:tcPr>
          <w:p>
            <w:pPr>
              <w:spacing w:after="0" w:line="183" w:lineRule="exact"/>
              <w:rPr>
                <w:sz w:val="20"/>
                <w:szCs w:val="20"/>
                <w:color w:val="auto"/>
              </w:rPr>
            </w:pPr>
            <w:r>
              <w:rPr>
                <w:rFonts w:ascii="Arial" w:cs="Arial" w:eastAsia="Arial" w:hAnsi="Arial"/>
                <w:sz w:val="14"/>
                <w:szCs w:val="14"/>
                <w:color w:val="auto"/>
              </w:rPr>
              <w:t>Long-term Incentive Plan</w:t>
            </w:r>
            <w:r>
              <w:rPr>
                <w:rFonts w:ascii="Arial" w:cs="Arial" w:eastAsia="Arial" w:hAnsi="Arial"/>
                <w:sz w:val="17"/>
                <w:szCs w:val="17"/>
                <w:color w:val="auto"/>
                <w:vertAlign w:val="superscript"/>
              </w:rPr>
              <w:t>(3)</w:t>
            </w:r>
          </w:p>
        </w:tc>
        <w:tc>
          <w:tcPr>
            <w:tcW w:w="1640" w:type="dxa"/>
            <w:vAlign w:val="bottom"/>
            <w:vMerge w:val="restart"/>
            <w:shd w:val="clear" w:color="auto" w:fill="F2F2F2"/>
          </w:tcPr>
          <w:p>
            <w:pPr>
              <w:ind w:left="1380"/>
              <w:spacing w:after="0"/>
              <w:rPr>
                <w:sz w:val="20"/>
                <w:szCs w:val="20"/>
                <w:color w:val="auto"/>
              </w:rPr>
            </w:pPr>
            <w:r>
              <w:rPr>
                <w:rFonts w:ascii="Arial" w:cs="Arial" w:eastAsia="Arial" w:hAnsi="Arial"/>
                <w:sz w:val="14"/>
                <w:szCs w:val="14"/>
                <w:color w:val="auto"/>
              </w:rPr>
              <w:t>​ ​ ​</w:t>
            </w:r>
          </w:p>
        </w:tc>
        <w:tc>
          <w:tcPr>
            <w:tcW w:w="6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F2F2F2"/>
          </w:tcPr>
          <w:p>
            <w:pPr>
              <w:spacing w:after="0"/>
              <w:rPr>
                <w:sz w:val="15"/>
                <w:szCs w:val="15"/>
                <w:color w:val="auto"/>
              </w:rPr>
            </w:pPr>
          </w:p>
        </w:tc>
        <w:tc>
          <w:tcPr>
            <w:tcW w:w="320" w:type="dxa"/>
            <w:vAlign w:val="bottom"/>
            <w:shd w:val="clear" w:color="auto" w:fill="F2F2F2"/>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8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spacing w:after="0"/>
              <w:rPr>
                <w:sz w:val="15"/>
                <w:szCs w:val="15"/>
                <w:color w:val="auto"/>
              </w:rPr>
            </w:pPr>
          </w:p>
        </w:tc>
        <w:tc>
          <w:tcPr>
            <w:tcW w:w="300" w:type="dxa"/>
            <w:vAlign w:val="bottom"/>
            <w:shd w:val="clear" w:color="auto" w:fill="F2F2F2"/>
          </w:tcPr>
          <w:p>
            <w:pPr>
              <w:jc w:val="right"/>
              <w:ind w:right="31"/>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8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3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2F2F2"/>
          </w:tcPr>
          <w:p>
            <w:pPr>
              <w:spacing w:after="0"/>
              <w:rPr>
                <w:sz w:val="15"/>
                <w:szCs w:val="15"/>
                <w:color w:val="auto"/>
              </w:rPr>
            </w:pPr>
          </w:p>
        </w:tc>
        <w:tc>
          <w:tcPr>
            <w:tcW w:w="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shd w:val="clear" w:color="auto" w:fill="F2F2F2"/>
          </w:tcPr>
          <w:p>
            <w:pPr>
              <w:spacing w:after="0"/>
              <w:rPr>
                <w:sz w:val="9"/>
                <w:szCs w:val="9"/>
                <w:color w:val="auto"/>
              </w:rPr>
            </w:pPr>
          </w:p>
        </w:tc>
        <w:tc>
          <w:tcPr>
            <w:tcW w:w="3860" w:type="dxa"/>
            <w:vAlign w:val="bottom"/>
            <w:tcBorders>
              <w:bottom w:val="single" w:sz="8" w:color="CCCCCC"/>
            </w:tcBorders>
            <w:shd w:val="clear" w:color="auto" w:fill="F2F2F2"/>
          </w:tcPr>
          <w:p>
            <w:pPr>
              <w:spacing w:after="0"/>
              <w:rPr>
                <w:sz w:val="9"/>
                <w:szCs w:val="9"/>
                <w:color w:val="auto"/>
              </w:rPr>
            </w:pPr>
          </w:p>
        </w:tc>
        <w:tc>
          <w:tcPr>
            <w:tcW w:w="1640" w:type="dxa"/>
            <w:vAlign w:val="bottom"/>
            <w:tcBorders>
              <w:bottom w:val="single" w:sz="8" w:color="CCCCCC"/>
            </w:tcBorders>
            <w:vMerge w:val="continue"/>
            <w:shd w:val="clear" w:color="auto" w:fill="F2F2F2"/>
          </w:tcPr>
          <w:p>
            <w:pPr>
              <w:spacing w:after="0"/>
              <w:rPr>
                <w:sz w:val="9"/>
                <w:szCs w:val="9"/>
                <w:color w:val="auto"/>
              </w:rPr>
            </w:pPr>
          </w:p>
        </w:tc>
        <w:tc>
          <w:tcPr>
            <w:tcW w:w="60" w:type="dxa"/>
            <w:vAlign w:val="bottom"/>
            <w:tcBorders>
              <w:bottom w:val="single" w:sz="8" w:color="CCCCCC"/>
            </w:tcBorders>
            <w:shd w:val="clear" w:color="auto" w:fill="F2F2F2"/>
          </w:tcPr>
          <w:p>
            <w:pPr>
              <w:spacing w:after="0"/>
              <w:rPr>
                <w:sz w:val="9"/>
                <w:szCs w:val="9"/>
                <w:color w:val="auto"/>
              </w:rPr>
            </w:pPr>
          </w:p>
        </w:tc>
        <w:tc>
          <w:tcPr>
            <w:tcW w:w="480" w:type="dxa"/>
            <w:vAlign w:val="bottom"/>
            <w:tcBorders>
              <w:bottom w:val="single" w:sz="8" w:color="CCCCCC"/>
            </w:tcBorders>
            <w:shd w:val="clear" w:color="auto" w:fill="F2F2F2"/>
          </w:tcPr>
          <w:p>
            <w:pPr>
              <w:spacing w:after="0"/>
              <w:rPr>
                <w:sz w:val="9"/>
                <w:szCs w:val="9"/>
                <w:color w:val="auto"/>
              </w:rPr>
            </w:pPr>
          </w:p>
        </w:tc>
        <w:tc>
          <w:tcPr>
            <w:tcW w:w="32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80" w:type="dxa"/>
            <w:vAlign w:val="bottom"/>
            <w:tcBorders>
              <w:bottom w:val="single" w:sz="8" w:color="CCCCCC"/>
            </w:tcBorders>
            <w:shd w:val="clear" w:color="auto" w:fill="F2F2F2"/>
          </w:tcPr>
          <w:p>
            <w:pPr>
              <w:spacing w:after="0"/>
              <w:rPr>
                <w:sz w:val="9"/>
                <w:szCs w:val="9"/>
                <w:color w:val="auto"/>
              </w:rPr>
            </w:pPr>
          </w:p>
        </w:tc>
        <w:tc>
          <w:tcPr>
            <w:tcW w:w="420" w:type="dxa"/>
            <w:vAlign w:val="bottom"/>
            <w:tcBorders>
              <w:bottom w:val="single" w:sz="8" w:color="CCCCCC"/>
            </w:tcBorders>
            <w:shd w:val="clear" w:color="auto" w:fill="F2F2F2"/>
          </w:tcPr>
          <w:p>
            <w:pPr>
              <w:spacing w:after="0"/>
              <w:rPr>
                <w:sz w:val="9"/>
                <w:szCs w:val="9"/>
                <w:color w:val="auto"/>
              </w:rPr>
            </w:pPr>
          </w:p>
        </w:tc>
        <w:tc>
          <w:tcPr>
            <w:tcW w:w="30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CCCCCC"/>
            </w:tcBorders>
            <w:vMerge w:val="continue"/>
            <w:shd w:val="clear" w:color="auto" w:fill="F2F2F2"/>
          </w:tcPr>
          <w:p>
            <w:pPr>
              <w:spacing w:after="0"/>
              <w:rPr>
                <w:sz w:val="9"/>
                <w:szCs w:val="9"/>
                <w:color w:val="auto"/>
              </w:rPr>
            </w:pPr>
          </w:p>
        </w:tc>
        <w:tc>
          <w:tcPr>
            <w:tcW w:w="80" w:type="dxa"/>
            <w:vAlign w:val="bottom"/>
            <w:tcBorders>
              <w:bottom w:val="single" w:sz="8" w:color="CCCCCC"/>
            </w:tcBorders>
            <w:shd w:val="clear" w:color="auto" w:fill="F2F2F2"/>
          </w:tcPr>
          <w:p>
            <w:pPr>
              <w:spacing w:after="0"/>
              <w:rPr>
                <w:sz w:val="9"/>
                <w:szCs w:val="9"/>
                <w:color w:val="auto"/>
              </w:rPr>
            </w:pPr>
          </w:p>
        </w:tc>
        <w:tc>
          <w:tcPr>
            <w:tcW w:w="70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100" w:type="dxa"/>
            <w:vAlign w:val="bottom"/>
            <w:tcBorders>
              <w:bottom w:val="single" w:sz="8" w:color="CCCCCC"/>
            </w:tcBorders>
            <w:shd w:val="clear" w:color="auto" w:fill="F2F2F2"/>
          </w:tcPr>
          <w:p>
            <w:pPr>
              <w:spacing w:after="0"/>
              <w:rPr>
                <w:sz w:val="9"/>
                <w:szCs w:val="9"/>
                <w:color w:val="auto"/>
              </w:rPr>
            </w:pPr>
          </w:p>
        </w:tc>
        <w:tc>
          <w:tcPr>
            <w:tcW w:w="380" w:type="dxa"/>
            <w:vAlign w:val="bottom"/>
            <w:tcBorders>
              <w:bottom w:val="single" w:sz="8" w:color="CCCCCC"/>
            </w:tcBorders>
            <w:shd w:val="clear" w:color="auto" w:fill="F2F2F2"/>
          </w:tcPr>
          <w:p>
            <w:pPr>
              <w:spacing w:after="0"/>
              <w:rPr>
                <w:sz w:val="9"/>
                <w:szCs w:val="9"/>
                <w:color w:val="auto"/>
              </w:rPr>
            </w:pPr>
          </w:p>
        </w:tc>
        <w:tc>
          <w:tcPr>
            <w:tcW w:w="26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4"/>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Performance Share Units (Unvested)</w:t>
            </w:r>
          </w:p>
        </w:tc>
        <w:tc>
          <w:tcPr>
            <w:tcW w:w="1640" w:type="dxa"/>
            <w:vAlign w:val="bottom"/>
            <w:tcBorders>
              <w:bottom w:val="single" w:sz="8" w:color="CCCCCC"/>
            </w:tcBorders>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2"/>
                <w:szCs w:val="22"/>
                <w:color w:val="auto"/>
              </w:rPr>
            </w:pPr>
          </w:p>
        </w:tc>
        <w:tc>
          <w:tcPr>
            <w:tcW w:w="8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8,397,000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$3,140,000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$ 3,211,000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$2,261,000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0"/>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Performance Share Units (Vested)</w:t>
            </w:r>
            <w:r>
              <w:rPr>
                <w:rFonts w:ascii="Arial" w:cs="Arial" w:eastAsia="Arial" w:hAnsi="Arial"/>
                <w:sz w:val="17"/>
                <w:szCs w:val="17"/>
                <w:color w:val="auto"/>
                <w:vertAlign w:val="superscript"/>
              </w:rPr>
              <w:t>(4)</w:t>
            </w:r>
          </w:p>
        </w:tc>
        <w:tc>
          <w:tcPr>
            <w:tcW w:w="1640" w:type="dxa"/>
            <w:vAlign w:val="bottom"/>
            <w:tcBorders>
              <w:bottom w:val="single" w:sz="8" w:color="CCCCCC"/>
            </w:tcBorders>
            <w:shd w:val="clear" w:color="auto" w:fill="F2F2F2"/>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4"/>
                <w:szCs w:val="24"/>
                <w:color w:val="auto"/>
              </w:rPr>
            </w:pPr>
          </w:p>
        </w:tc>
        <w:tc>
          <w:tcPr>
            <w:tcW w:w="80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1,648,000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shd w:val="clear" w:color="auto" w:fill="F2F2F2"/>
          </w:tcPr>
          <w:p>
            <w:pPr>
              <w:spacing w:after="0"/>
              <w:rPr>
                <w:sz w:val="24"/>
                <w:szCs w:val="24"/>
                <w:color w:val="auto"/>
              </w:rPr>
            </w:pPr>
          </w:p>
        </w:tc>
        <w:tc>
          <w:tcPr>
            <w:tcW w:w="3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6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$1,045,000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798,000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Stock Awards (Unvested)</w:t>
            </w:r>
          </w:p>
        </w:tc>
        <w:tc>
          <w:tcPr>
            <w:tcW w:w="1640" w:type="dxa"/>
            <w:vAlign w:val="bottom"/>
            <w:tcBorders>
              <w:bottom w:val="single" w:sz="8" w:color="CCCCCC"/>
            </w:tcBorders>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2"/>
                <w:szCs w:val="22"/>
                <w:color w:val="auto"/>
              </w:rPr>
            </w:pPr>
          </w:p>
        </w:tc>
        <w:tc>
          <w:tcPr>
            <w:tcW w:w="8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3,348,000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$3,160,000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$1,419,000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$1,018,000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4"/>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Stock Awards (Vested)</w:t>
            </w:r>
          </w:p>
        </w:tc>
        <w:tc>
          <w:tcPr>
            <w:tcW w:w="1700" w:type="dxa"/>
            <w:vAlign w:val="bottom"/>
            <w:tcBorders>
              <w:bottom w:val="single" w:sz="8" w:color="CCCCCC"/>
            </w:tcBorders>
            <w:gridSpan w:val="2"/>
            <w:shd w:val="clear" w:color="auto" w:fill="F2F2F2"/>
          </w:tcPr>
          <w:p>
            <w:pPr>
              <w:ind w:left="138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480" w:type="dxa"/>
            <w:vAlign w:val="bottom"/>
            <w:tcBorders>
              <w:bottom w:val="single" w:sz="8" w:color="CCCCCC"/>
            </w:tcBorders>
            <w:shd w:val="clear" w:color="auto" w:fill="F2F2F2"/>
          </w:tcPr>
          <w:p>
            <w:pPr>
              <w:spacing w:after="0"/>
              <w:rPr>
                <w:sz w:val="22"/>
                <w:szCs w:val="22"/>
                <w:color w:val="auto"/>
              </w:rPr>
            </w:pPr>
          </w:p>
        </w:tc>
        <w:tc>
          <w:tcPr>
            <w:tcW w:w="3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shd w:val="clear" w:color="auto" w:fill="F2F2F2"/>
          </w:tcPr>
          <w:p>
            <w:pPr>
              <w:spacing w:after="0"/>
              <w:rPr>
                <w:sz w:val="22"/>
                <w:szCs w:val="22"/>
                <w:color w:val="auto"/>
              </w:rPr>
            </w:pPr>
          </w:p>
        </w:tc>
        <w:tc>
          <w:tcPr>
            <w:tcW w:w="3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spacing w:after="0"/>
              <w:rPr>
                <w:sz w:val="22"/>
                <w:szCs w:val="22"/>
                <w:color w:val="auto"/>
              </w:rPr>
            </w:pPr>
          </w:p>
        </w:tc>
        <w:tc>
          <w:tcPr>
            <w:tcW w:w="26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Executive life insurance plan</w:t>
            </w:r>
          </w:p>
        </w:tc>
        <w:tc>
          <w:tcPr>
            <w:tcW w:w="1700" w:type="dxa"/>
            <w:vAlign w:val="bottom"/>
            <w:tcBorders>
              <w:bottom w:val="single" w:sz="8" w:color="CCCCCC"/>
            </w:tcBorders>
            <w:gridSpan w:val="2"/>
          </w:tcPr>
          <w:p>
            <w:pPr>
              <w:ind w:left="138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480" w:type="dxa"/>
            <w:vAlign w:val="bottom"/>
            <w:tcBorders>
              <w:bottom w:val="single" w:sz="8" w:color="CCCCCC"/>
            </w:tcBorders>
          </w:tcPr>
          <w:p>
            <w:pPr>
              <w:spacing w:after="0"/>
              <w:rPr>
                <w:sz w:val="22"/>
                <w:szCs w:val="22"/>
                <w:color w:val="auto"/>
              </w:rPr>
            </w:pPr>
          </w:p>
        </w:tc>
        <w:tc>
          <w:tcPr>
            <w:tcW w:w="32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tcPr>
          <w:p>
            <w:pPr>
              <w:spacing w:after="0"/>
              <w:rPr>
                <w:sz w:val="22"/>
                <w:szCs w:val="22"/>
                <w:color w:val="auto"/>
              </w:rPr>
            </w:pPr>
          </w:p>
        </w:tc>
        <w:tc>
          <w:tcPr>
            <w:tcW w:w="3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spacing w:after="0"/>
              <w:rPr>
                <w:sz w:val="22"/>
                <w:szCs w:val="22"/>
                <w:color w:val="auto"/>
              </w:rPr>
            </w:pPr>
          </w:p>
        </w:tc>
        <w:tc>
          <w:tcPr>
            <w:tcW w:w="26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39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Basic life insurance</w:t>
            </w:r>
            <w:r>
              <w:rPr>
                <w:rFonts w:ascii="Arial" w:cs="Arial" w:eastAsia="Arial" w:hAnsi="Arial"/>
                <w:sz w:val="17"/>
                <w:szCs w:val="17"/>
                <w:color w:val="auto"/>
                <w:vertAlign w:val="superscript"/>
              </w:rPr>
              <w:t>(5)</w:t>
            </w:r>
          </w:p>
        </w:tc>
        <w:tc>
          <w:tcPr>
            <w:tcW w:w="1640" w:type="dxa"/>
            <w:vAlign w:val="bottom"/>
            <w:tcBorders>
              <w:bottom w:val="single" w:sz="8" w:color="CCCCCC"/>
            </w:tcBorders>
            <w:shd w:val="clear" w:color="auto" w:fill="F2F2F2"/>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4"/>
                <w:szCs w:val="24"/>
                <w:color w:val="auto"/>
              </w:rPr>
            </w:pPr>
          </w:p>
        </w:tc>
        <w:tc>
          <w:tcPr>
            <w:tcW w:w="80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50,000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50,000</w:t>
            </w:r>
            <w:r>
              <w:rPr>
                <w:rFonts w:ascii="Arial" w:cs="Arial" w:eastAsia="Arial" w:hAnsi="Arial"/>
                <w:sz w:val="28"/>
                <w:szCs w:val="28"/>
                <w:color w:val="auto"/>
                <w:vertAlign w:val="subscript"/>
              </w:rPr>
              <w:t>​​</w:t>
            </w:r>
          </w:p>
        </w:tc>
        <w:tc>
          <w:tcPr>
            <w:tcW w:w="180" w:type="dxa"/>
            <w:vAlign w:val="bottom"/>
            <w:tcBorders>
              <w:bottom w:val="single" w:sz="8" w:color="CCCCCC"/>
            </w:tcBorders>
            <w:shd w:val="clear" w:color="auto" w:fill="F2F2F2"/>
          </w:tcPr>
          <w:p>
            <w:pPr>
              <w:ind w:left="20"/>
              <w:spacing w:after="0" w:line="290"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shd w:val="clear" w:color="auto" w:fill="F2F2F2"/>
          </w:tcPr>
          <w:p>
            <w:pPr>
              <w:spacing w:after="0"/>
              <w:rPr>
                <w:sz w:val="24"/>
                <w:szCs w:val="24"/>
                <w:color w:val="auto"/>
              </w:rPr>
            </w:pPr>
          </w:p>
        </w:tc>
        <w:tc>
          <w:tcPr>
            <w:tcW w:w="7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14"/>
                <w:szCs w:val="14"/>
                <w:color w:val="auto"/>
              </w:rPr>
              <w:t>50,000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50,000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w:t>
            </w:r>
          </w:p>
        </w:tc>
        <w:tc>
          <w:tcPr>
            <w:tcW w:w="25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$14,881,000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$6,930,000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$6,305,000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$4,495,000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920" w:right="660" w:hanging="189"/>
        <w:spacing w:after="0" w:line="216" w:lineRule="auto"/>
        <w:tabs>
          <w:tab w:leader="none" w:pos="920" w:val="left"/>
        </w:tabs>
        <w:numPr>
          <w:ilvl w:val="0"/>
          <w:numId w:val="130"/>
        </w:numPr>
        <w:rPr>
          <w:rFonts w:ascii="Arial" w:cs="Arial" w:eastAsia="Arial" w:hAnsi="Arial"/>
          <w:sz w:val="20"/>
          <w:szCs w:val="20"/>
          <w:color w:val="auto"/>
          <w:vertAlign w:val="superscript"/>
        </w:rPr>
      </w:pPr>
      <w:r>
        <w:rPr>
          <w:rFonts w:ascii="Arial" w:cs="Arial" w:eastAsia="Arial" w:hAnsi="Arial"/>
          <w:sz w:val="13"/>
          <w:szCs w:val="13"/>
          <w:color w:val="auto"/>
        </w:rPr>
        <w:t>Mr. Lesar and Mses. Wilson and Harkel-Rumford have been omitted from this table as they departed the Company on January 5, 2024, July 26, 2024, and February 3, 2025, respectively. For information regarding payments to Mr. Lesar and Mses. Wilson and Harkel-Rumford in connection with their respective departures, see “— Retirements and Severance Arrangements” below.</w:t>
      </w:r>
    </w:p>
    <w:p>
      <w:pPr>
        <w:spacing w:after="0" w:line="50" w:lineRule="exact"/>
        <w:rPr>
          <w:rFonts w:ascii="Arial" w:cs="Arial" w:eastAsia="Arial" w:hAnsi="Arial"/>
          <w:sz w:val="20"/>
          <w:szCs w:val="20"/>
          <w:color w:val="auto"/>
          <w:vertAlign w:val="superscript"/>
        </w:rPr>
      </w:pPr>
    </w:p>
    <w:p>
      <w:pPr>
        <w:ind w:left="920" w:right="780" w:hanging="189"/>
        <w:spacing w:after="0" w:line="207" w:lineRule="auto"/>
        <w:tabs>
          <w:tab w:leader="none" w:pos="920" w:val="left"/>
        </w:tabs>
        <w:numPr>
          <w:ilvl w:val="0"/>
          <w:numId w:val="130"/>
        </w:numPr>
        <w:rPr>
          <w:rFonts w:ascii="Arial" w:cs="Arial" w:eastAsia="Arial" w:hAnsi="Arial"/>
          <w:sz w:val="20"/>
          <w:szCs w:val="20"/>
          <w:color w:val="auto"/>
          <w:vertAlign w:val="superscript"/>
        </w:rPr>
      </w:pPr>
      <w:r>
        <w:rPr>
          <w:rFonts w:ascii="Arial" w:cs="Arial" w:eastAsia="Arial" w:hAnsi="Arial"/>
          <w:sz w:val="13"/>
          <w:szCs w:val="13"/>
          <w:color w:val="auto"/>
        </w:rPr>
        <w:t>Under the terms of our short-term incentive plan, a participant who dies during the plan year is eligible for a pro rata plan distribution at the target level of achievement.</w:t>
      </w:r>
    </w:p>
    <w:p>
      <w:pPr>
        <w:spacing w:after="0" w:line="50" w:lineRule="exact"/>
        <w:rPr>
          <w:rFonts w:ascii="Arial" w:cs="Arial" w:eastAsia="Arial" w:hAnsi="Arial"/>
          <w:sz w:val="20"/>
          <w:szCs w:val="20"/>
          <w:color w:val="auto"/>
          <w:vertAlign w:val="superscript"/>
        </w:rPr>
      </w:pPr>
    </w:p>
    <w:p>
      <w:pPr>
        <w:ind w:left="920" w:right="80" w:hanging="189"/>
        <w:spacing w:after="0" w:line="231" w:lineRule="auto"/>
        <w:tabs>
          <w:tab w:leader="none" w:pos="920" w:val="left"/>
        </w:tabs>
        <w:numPr>
          <w:ilvl w:val="0"/>
          <w:numId w:val="130"/>
        </w:numPr>
        <w:rPr>
          <w:rFonts w:ascii="Arial" w:cs="Arial" w:eastAsia="Arial" w:hAnsi="Arial"/>
          <w:sz w:val="19"/>
          <w:szCs w:val="19"/>
          <w:color w:val="auto"/>
          <w:vertAlign w:val="superscript"/>
        </w:rPr>
      </w:pPr>
      <w:r>
        <w:rPr>
          <w:rFonts w:ascii="Arial" w:cs="Arial" w:eastAsia="Arial" w:hAnsi="Arial"/>
          <w:sz w:val="12"/>
          <w:szCs w:val="12"/>
          <w:color w:val="auto"/>
        </w:rPr>
        <w:t>For purposes of the calculations, amounts that would be payable in shares have been converted to dollars using the NYSE closing price for CenterPoint Energy common stock on December 31, 2024, which was $31.73. Under the terms of the long-term incentive awards (other than any sign-on awards), an individual who dies prior to vesting is eligible for a full distribution of the award, based on the target level of achievement of any applicable performance goals.</w:t>
      </w:r>
    </w:p>
    <w:p>
      <w:pPr>
        <w:spacing w:after="0" w:line="50" w:lineRule="exact"/>
        <w:rPr>
          <w:rFonts w:ascii="Arial" w:cs="Arial" w:eastAsia="Arial" w:hAnsi="Arial"/>
          <w:sz w:val="19"/>
          <w:szCs w:val="19"/>
          <w:color w:val="auto"/>
          <w:vertAlign w:val="superscript"/>
        </w:rPr>
      </w:pPr>
    </w:p>
    <w:p>
      <w:pPr>
        <w:ind w:left="920" w:right="420" w:hanging="189"/>
        <w:spacing w:after="0" w:line="207" w:lineRule="auto"/>
        <w:tabs>
          <w:tab w:leader="none" w:pos="920" w:val="left"/>
        </w:tabs>
        <w:numPr>
          <w:ilvl w:val="0"/>
          <w:numId w:val="130"/>
        </w:numPr>
        <w:rPr>
          <w:rFonts w:ascii="Arial" w:cs="Arial" w:eastAsia="Arial" w:hAnsi="Arial"/>
          <w:sz w:val="20"/>
          <w:szCs w:val="20"/>
          <w:color w:val="auto"/>
          <w:vertAlign w:val="superscript"/>
        </w:rPr>
      </w:pPr>
      <w:r>
        <w:rPr>
          <w:rFonts w:ascii="Arial" w:cs="Arial" w:eastAsia="Arial" w:hAnsi="Arial"/>
          <w:sz w:val="13"/>
          <w:szCs w:val="13"/>
          <w:color w:val="auto"/>
        </w:rPr>
        <w:t>Amounts shown include PSUs granted in 2022 that vested on December 31, 2024, and were payable regardless of the officer’s death, as set forth in the award agreements.</w:t>
      </w:r>
    </w:p>
    <w:p>
      <w:pPr>
        <w:ind w:left="920" w:hanging="189"/>
        <w:spacing w:after="0" w:line="225" w:lineRule="auto"/>
        <w:tabs>
          <w:tab w:leader="none" w:pos="920" w:val="left"/>
        </w:tabs>
        <w:numPr>
          <w:ilvl w:val="0"/>
          <w:numId w:val="130"/>
        </w:numPr>
        <w:rPr>
          <w:rFonts w:ascii="Arial" w:cs="Arial" w:eastAsia="Arial" w:hAnsi="Arial"/>
          <w:sz w:val="20"/>
          <w:szCs w:val="20"/>
          <w:color w:val="auto"/>
          <w:vertAlign w:val="superscript"/>
        </w:rPr>
      </w:pPr>
      <w:r>
        <w:rPr>
          <w:rFonts w:ascii="Arial" w:cs="Arial" w:eastAsia="Arial" w:hAnsi="Arial"/>
          <w:sz w:val="13"/>
          <w:szCs w:val="13"/>
          <w:color w:val="auto"/>
        </w:rPr>
        <w:t>Amounts payable by third party insurance providers.</w:t>
      </w:r>
    </w:p>
    <w:p>
      <w:pPr>
        <w:spacing w:after="0" w:line="135" w:lineRule="exact"/>
        <w:rPr>
          <w:sz w:val="20"/>
          <w:szCs w:val="20"/>
          <w:color w:val="auto"/>
        </w:rPr>
      </w:pPr>
    </w:p>
    <w:p>
      <w:pPr>
        <w:jc w:val="both"/>
        <w:ind w:left="740" w:right="100"/>
        <w:spacing w:after="0" w:line="271" w:lineRule="auto"/>
        <w:rPr>
          <w:sz w:val="20"/>
          <w:szCs w:val="20"/>
          <w:color w:val="auto"/>
        </w:rPr>
      </w:pPr>
      <w:r>
        <w:rPr>
          <w:rFonts w:ascii="Arial" w:cs="Arial" w:eastAsia="Arial" w:hAnsi="Arial"/>
          <w:sz w:val="16"/>
          <w:szCs w:val="16"/>
          <w:color w:val="auto"/>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ectPr>
          <w:pgSz w:w="11900" w:h="16838" w:orient="portrait"/>
          <w:cols w:equalWidth="0" w:num="1">
            <w:col w:w="10020"/>
          </w:cols>
          <w:pgMar w:left="580" w:top="97" w:right="1299" w:bottom="1440" w:gutter="0" w:footer="0" w:header="0"/>
        </w:sectPr>
      </w:pPr>
    </w:p>
    <w:p>
      <w:pPr>
        <w:spacing w:after="0" w:line="232"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00"/>
        <w:spacing w:after="0" w:line="275" w:lineRule="auto"/>
        <w:rPr>
          <w:sz w:val="20"/>
          <w:szCs w:val="20"/>
          <w:color w:val="auto"/>
        </w:rPr>
      </w:pPr>
      <w:r>
        <w:rPr>
          <w:rFonts w:ascii="Arial" w:cs="Arial" w:eastAsia="Arial" w:hAnsi="Arial"/>
          <w:sz w:val="16"/>
          <w:szCs w:val="16"/>
          <w:i w:val="1"/>
          <w:iCs w:val="1"/>
          <w:color w:val="auto"/>
        </w:rPr>
        <w:t xml:space="preserve">Payments upon disability. </w:t>
      </w:r>
      <w:r>
        <w:rPr>
          <w:rFonts w:ascii="Arial" w:cs="Arial" w:eastAsia="Arial" w:hAnsi="Arial"/>
          <w:sz w:val="16"/>
          <w:szCs w:val="16"/>
          <w:color w:val="auto"/>
        </w:rPr>
        <w:t>If a named executive officer becomes disabled as defined under our long-term disability plan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2024, he or she would receive the payments stated in the table below. The numbers in the table have been rounded to the nearest one thousand dollars.</w:t>
      </w:r>
    </w:p>
    <w:p>
      <w:pPr>
        <w:spacing w:after="0" w:line="107"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3940" w:type="dxa"/>
            <w:vAlign w:val="bottom"/>
            <w:gridSpan w:val="2"/>
            <w:shd w:val="clear" w:color="auto" w:fill="003763"/>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Type of Payment</w:t>
            </w:r>
            <w:r>
              <w:rPr>
                <w:rFonts w:ascii="Arial" w:cs="Arial" w:eastAsia="Arial" w:hAnsi="Arial"/>
                <w:sz w:val="16"/>
                <w:szCs w:val="16"/>
                <w:b w:val="1"/>
                <w:bCs w:val="1"/>
                <w:color w:val="FFFFFF"/>
                <w:vertAlign w:val="superscript"/>
              </w:rPr>
              <w:t>(1)</w:t>
            </w:r>
          </w:p>
        </w:tc>
        <w:tc>
          <w:tcPr>
            <w:tcW w:w="1640" w:type="dxa"/>
            <w:vAlign w:val="bottom"/>
            <w:shd w:val="clear" w:color="auto" w:fill="003763"/>
          </w:tcPr>
          <w:p>
            <w:pPr>
              <w:ind w:left="1380"/>
              <w:spacing w:after="0"/>
              <w:rPr>
                <w:sz w:val="20"/>
                <w:szCs w:val="20"/>
                <w:color w:val="auto"/>
              </w:rPr>
            </w:pPr>
            <w:r>
              <w:rPr>
                <w:rFonts w:ascii="Arial" w:cs="Arial" w:eastAsia="Arial" w:hAnsi="Arial"/>
                <w:sz w:val="13"/>
                <w:szCs w:val="13"/>
                <w:b w:val="1"/>
                <w:bCs w:val="1"/>
                <w:color w:val="FFFFFF"/>
              </w:rPr>
              <w:t>​ ​</w:t>
            </w:r>
          </w:p>
        </w:tc>
        <w:tc>
          <w:tcPr>
            <w:tcW w:w="60" w:type="dxa"/>
            <w:vAlign w:val="bottom"/>
            <w:shd w:val="clear" w:color="auto" w:fill="003763"/>
          </w:tcPr>
          <w:p>
            <w:pPr>
              <w:spacing w:after="0"/>
              <w:rPr>
                <w:sz w:val="24"/>
                <w:szCs w:val="24"/>
                <w:color w:val="auto"/>
              </w:rPr>
            </w:pPr>
          </w:p>
        </w:tc>
        <w:tc>
          <w:tcPr>
            <w:tcW w:w="48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Wells</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4"/>
                <w:szCs w:val="24"/>
                <w:color w:val="auto"/>
              </w:rPr>
            </w:pPr>
          </w:p>
        </w:tc>
        <w:tc>
          <w:tcPr>
            <w:tcW w:w="42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5"/>
              </w:rPr>
              <w:t>Foster</w:t>
            </w:r>
          </w:p>
        </w:tc>
        <w:tc>
          <w:tcPr>
            <w:tcW w:w="3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960" w:type="dxa"/>
            <w:vAlign w:val="bottom"/>
            <w:gridSpan w:val="3"/>
            <w:shd w:val="clear" w:color="auto" w:fill="003763"/>
          </w:tcPr>
          <w:p>
            <w:pPr>
              <w:jc w:val="right"/>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Karuturi   </w:t>
            </w:r>
            <w:r>
              <w:rPr>
                <w:rFonts w:ascii="Arial" w:cs="Arial" w:eastAsia="Arial" w:hAnsi="Arial"/>
                <w:sz w:val="25"/>
                <w:szCs w:val="25"/>
                <w:b w:val="1"/>
                <w:bCs w:val="1"/>
                <w:color w:val="FFFFFF"/>
                <w:vertAlign w:val="subscript"/>
              </w:rPr>
              <w:t>​</w:t>
            </w:r>
          </w:p>
        </w:tc>
        <w:tc>
          <w:tcPr>
            <w:tcW w:w="16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4"/>
                <w:szCs w:val="24"/>
                <w:color w:val="auto"/>
              </w:rPr>
            </w:pPr>
          </w:p>
        </w:tc>
        <w:tc>
          <w:tcPr>
            <w:tcW w:w="3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Ryan</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10"/>
        </w:trPr>
        <w:tc>
          <w:tcPr>
            <w:tcW w:w="3940" w:type="dxa"/>
            <w:vAlign w:val="bottom"/>
            <w:tcBorders>
              <w:bottom w:val="single" w:sz="8" w:color="CCCCCC"/>
            </w:tcBorders>
            <w:gridSpan w:val="2"/>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Short-term Incentive Plan</w:t>
            </w:r>
            <w:r>
              <w:rPr>
                <w:rFonts w:ascii="Arial" w:cs="Arial" w:eastAsia="Arial" w:hAnsi="Arial"/>
                <w:sz w:val="17"/>
                <w:szCs w:val="17"/>
                <w:color w:val="auto"/>
                <w:vertAlign w:val="superscript"/>
              </w:rPr>
              <w:t>(2)</w:t>
            </w:r>
          </w:p>
        </w:tc>
        <w:tc>
          <w:tcPr>
            <w:tcW w:w="1640" w:type="dxa"/>
            <w:vAlign w:val="bottom"/>
            <w:tcBorders>
              <w:bottom w:val="single" w:sz="8" w:color="CCCCCC"/>
            </w:tcBorders>
          </w:tcPr>
          <w:p>
            <w:pPr>
              <w:ind w:left="1380"/>
              <w:spacing w:after="0" w:line="31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1,438,000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31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180" w:type="dxa"/>
            <w:vAlign w:val="bottom"/>
            <w:tcBorders>
              <w:bottom w:val="single" w:sz="8" w:color="CCCCCC"/>
            </w:tcBorders>
          </w:tcPr>
          <w:p>
            <w:pPr>
              <w:ind w:left="20"/>
              <w:spacing w:after="0" w:line="310"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jc w:val="right"/>
              <w:spacing w:after="0" w:line="310"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31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tcPr>
          <w:p>
            <w:pPr>
              <w:jc w:val="right"/>
              <w:spacing w:after="0" w:line="310" w:lineRule="exact"/>
              <w:rPr>
                <w:sz w:val="20"/>
                <w:szCs w:val="20"/>
                <w:color w:val="auto"/>
              </w:rPr>
            </w:pPr>
            <w:r>
              <w:rPr>
                <w:rFonts w:ascii="Arial" w:cs="Arial" w:eastAsia="Arial" w:hAnsi="Arial"/>
                <w:sz w:val="14"/>
                <w:szCs w:val="14"/>
                <w:color w:val="auto"/>
              </w:rPr>
              <w:t>368,000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8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shd w:val="clear" w:color="auto" w:fill="F2F2F2"/>
          </w:tcPr>
          <w:p>
            <w:pPr>
              <w:spacing w:after="0" w:line="183" w:lineRule="exact"/>
              <w:rPr>
                <w:sz w:val="20"/>
                <w:szCs w:val="20"/>
                <w:color w:val="auto"/>
              </w:rPr>
            </w:pPr>
            <w:r>
              <w:rPr>
                <w:rFonts w:ascii="Arial" w:cs="Arial" w:eastAsia="Arial" w:hAnsi="Arial"/>
                <w:sz w:val="14"/>
                <w:szCs w:val="14"/>
                <w:color w:val="auto"/>
              </w:rPr>
              <w:t>Long-term Incentive Plan</w:t>
            </w:r>
            <w:r>
              <w:rPr>
                <w:rFonts w:ascii="Arial" w:cs="Arial" w:eastAsia="Arial" w:hAnsi="Arial"/>
                <w:sz w:val="17"/>
                <w:szCs w:val="17"/>
                <w:color w:val="auto"/>
                <w:vertAlign w:val="superscript"/>
              </w:rPr>
              <w:t>(3)</w:t>
            </w:r>
          </w:p>
        </w:tc>
        <w:tc>
          <w:tcPr>
            <w:tcW w:w="1640" w:type="dxa"/>
            <w:vAlign w:val="bottom"/>
            <w:vMerge w:val="restart"/>
            <w:shd w:val="clear" w:color="auto" w:fill="F2F2F2"/>
          </w:tcPr>
          <w:p>
            <w:pPr>
              <w:ind w:left="1380"/>
              <w:spacing w:after="0"/>
              <w:rPr>
                <w:sz w:val="20"/>
                <w:szCs w:val="20"/>
                <w:color w:val="auto"/>
              </w:rPr>
            </w:pPr>
            <w:r>
              <w:rPr>
                <w:rFonts w:ascii="Arial" w:cs="Arial" w:eastAsia="Arial" w:hAnsi="Arial"/>
                <w:sz w:val="14"/>
                <w:szCs w:val="14"/>
                <w:color w:val="auto"/>
              </w:rPr>
              <w:t>​ ​ ​</w:t>
            </w:r>
          </w:p>
        </w:tc>
        <w:tc>
          <w:tcPr>
            <w:tcW w:w="6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F2F2F2"/>
          </w:tcPr>
          <w:p>
            <w:pPr>
              <w:spacing w:after="0"/>
              <w:rPr>
                <w:sz w:val="15"/>
                <w:szCs w:val="15"/>
                <w:color w:val="auto"/>
              </w:rPr>
            </w:pPr>
          </w:p>
        </w:tc>
        <w:tc>
          <w:tcPr>
            <w:tcW w:w="32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8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spacing w:after="0"/>
              <w:rPr>
                <w:sz w:val="15"/>
                <w:szCs w:val="15"/>
                <w:color w:val="auto"/>
              </w:rPr>
            </w:pPr>
          </w:p>
        </w:tc>
        <w:tc>
          <w:tcPr>
            <w:tcW w:w="300" w:type="dxa"/>
            <w:vAlign w:val="bottom"/>
            <w:shd w:val="clear" w:color="auto" w:fill="F2F2F2"/>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8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3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2F2F2"/>
          </w:tcPr>
          <w:p>
            <w:pPr>
              <w:spacing w:after="0"/>
              <w:rPr>
                <w:sz w:val="15"/>
                <w:szCs w:val="15"/>
                <w:color w:val="auto"/>
              </w:rPr>
            </w:pPr>
          </w:p>
        </w:tc>
        <w:tc>
          <w:tcPr>
            <w:tcW w:w="2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shd w:val="clear" w:color="auto" w:fill="F2F2F2"/>
          </w:tcPr>
          <w:p>
            <w:pPr>
              <w:spacing w:after="0"/>
              <w:rPr>
                <w:sz w:val="9"/>
                <w:szCs w:val="9"/>
                <w:color w:val="auto"/>
              </w:rPr>
            </w:pPr>
          </w:p>
        </w:tc>
        <w:tc>
          <w:tcPr>
            <w:tcW w:w="3860" w:type="dxa"/>
            <w:vAlign w:val="bottom"/>
            <w:tcBorders>
              <w:bottom w:val="single" w:sz="8" w:color="CCCCCC"/>
            </w:tcBorders>
            <w:shd w:val="clear" w:color="auto" w:fill="F2F2F2"/>
          </w:tcPr>
          <w:p>
            <w:pPr>
              <w:spacing w:after="0"/>
              <w:rPr>
                <w:sz w:val="9"/>
                <w:szCs w:val="9"/>
                <w:color w:val="auto"/>
              </w:rPr>
            </w:pPr>
          </w:p>
        </w:tc>
        <w:tc>
          <w:tcPr>
            <w:tcW w:w="1640" w:type="dxa"/>
            <w:vAlign w:val="bottom"/>
            <w:tcBorders>
              <w:bottom w:val="single" w:sz="8" w:color="CCCCCC"/>
            </w:tcBorders>
            <w:vMerge w:val="continue"/>
            <w:shd w:val="clear" w:color="auto" w:fill="F2F2F2"/>
          </w:tcPr>
          <w:p>
            <w:pPr>
              <w:spacing w:after="0"/>
              <w:rPr>
                <w:sz w:val="9"/>
                <w:szCs w:val="9"/>
                <w:color w:val="auto"/>
              </w:rPr>
            </w:pPr>
          </w:p>
        </w:tc>
        <w:tc>
          <w:tcPr>
            <w:tcW w:w="60" w:type="dxa"/>
            <w:vAlign w:val="bottom"/>
            <w:tcBorders>
              <w:bottom w:val="single" w:sz="8" w:color="CCCCCC"/>
            </w:tcBorders>
            <w:shd w:val="clear" w:color="auto" w:fill="F2F2F2"/>
          </w:tcPr>
          <w:p>
            <w:pPr>
              <w:spacing w:after="0"/>
              <w:rPr>
                <w:sz w:val="9"/>
                <w:szCs w:val="9"/>
                <w:color w:val="auto"/>
              </w:rPr>
            </w:pPr>
          </w:p>
        </w:tc>
        <w:tc>
          <w:tcPr>
            <w:tcW w:w="480" w:type="dxa"/>
            <w:vAlign w:val="bottom"/>
            <w:tcBorders>
              <w:bottom w:val="single" w:sz="8" w:color="CCCCCC"/>
            </w:tcBorders>
            <w:shd w:val="clear" w:color="auto" w:fill="F2F2F2"/>
          </w:tcPr>
          <w:p>
            <w:pPr>
              <w:spacing w:after="0"/>
              <w:rPr>
                <w:sz w:val="9"/>
                <w:szCs w:val="9"/>
                <w:color w:val="auto"/>
              </w:rPr>
            </w:pPr>
          </w:p>
        </w:tc>
        <w:tc>
          <w:tcPr>
            <w:tcW w:w="32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80" w:type="dxa"/>
            <w:vAlign w:val="bottom"/>
            <w:tcBorders>
              <w:bottom w:val="single" w:sz="8" w:color="CCCCCC"/>
            </w:tcBorders>
            <w:shd w:val="clear" w:color="auto" w:fill="F2F2F2"/>
          </w:tcPr>
          <w:p>
            <w:pPr>
              <w:spacing w:after="0"/>
              <w:rPr>
                <w:sz w:val="9"/>
                <w:szCs w:val="9"/>
                <w:color w:val="auto"/>
              </w:rPr>
            </w:pPr>
          </w:p>
        </w:tc>
        <w:tc>
          <w:tcPr>
            <w:tcW w:w="420" w:type="dxa"/>
            <w:vAlign w:val="bottom"/>
            <w:tcBorders>
              <w:bottom w:val="single" w:sz="8" w:color="CCCCCC"/>
            </w:tcBorders>
            <w:shd w:val="clear" w:color="auto" w:fill="F2F2F2"/>
          </w:tcPr>
          <w:p>
            <w:pPr>
              <w:spacing w:after="0"/>
              <w:rPr>
                <w:sz w:val="9"/>
                <w:szCs w:val="9"/>
                <w:color w:val="auto"/>
              </w:rPr>
            </w:pPr>
          </w:p>
        </w:tc>
        <w:tc>
          <w:tcPr>
            <w:tcW w:w="30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CCCCCC"/>
            </w:tcBorders>
            <w:vMerge w:val="continue"/>
            <w:shd w:val="clear" w:color="auto" w:fill="F2F2F2"/>
          </w:tcPr>
          <w:p>
            <w:pPr>
              <w:spacing w:after="0"/>
              <w:rPr>
                <w:sz w:val="9"/>
                <w:szCs w:val="9"/>
                <w:color w:val="auto"/>
              </w:rPr>
            </w:pPr>
          </w:p>
        </w:tc>
        <w:tc>
          <w:tcPr>
            <w:tcW w:w="80" w:type="dxa"/>
            <w:vAlign w:val="bottom"/>
            <w:tcBorders>
              <w:bottom w:val="single" w:sz="8" w:color="CCCCCC"/>
            </w:tcBorders>
            <w:shd w:val="clear" w:color="auto" w:fill="F2F2F2"/>
          </w:tcPr>
          <w:p>
            <w:pPr>
              <w:spacing w:after="0"/>
              <w:rPr>
                <w:sz w:val="9"/>
                <w:szCs w:val="9"/>
                <w:color w:val="auto"/>
              </w:rPr>
            </w:pPr>
          </w:p>
        </w:tc>
        <w:tc>
          <w:tcPr>
            <w:tcW w:w="70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CCCC"/>
            </w:tcBorders>
            <w:vMerge w:val="continue"/>
            <w:shd w:val="clear" w:color="auto" w:fill="F2F2F2"/>
          </w:tcPr>
          <w:p>
            <w:pPr>
              <w:spacing w:after="0"/>
              <w:rPr>
                <w:sz w:val="9"/>
                <w:szCs w:val="9"/>
                <w:color w:val="auto"/>
              </w:rPr>
            </w:pPr>
          </w:p>
        </w:tc>
        <w:tc>
          <w:tcPr>
            <w:tcW w:w="100" w:type="dxa"/>
            <w:vAlign w:val="bottom"/>
            <w:tcBorders>
              <w:bottom w:val="single" w:sz="8" w:color="CCCCCC"/>
            </w:tcBorders>
            <w:shd w:val="clear" w:color="auto" w:fill="F2F2F2"/>
          </w:tcPr>
          <w:p>
            <w:pPr>
              <w:spacing w:after="0"/>
              <w:rPr>
                <w:sz w:val="9"/>
                <w:szCs w:val="9"/>
                <w:color w:val="auto"/>
              </w:rPr>
            </w:pPr>
          </w:p>
        </w:tc>
        <w:tc>
          <w:tcPr>
            <w:tcW w:w="380" w:type="dxa"/>
            <w:vAlign w:val="bottom"/>
            <w:tcBorders>
              <w:bottom w:val="single" w:sz="8" w:color="CCCCCC"/>
            </w:tcBorders>
            <w:shd w:val="clear" w:color="auto" w:fill="F2F2F2"/>
          </w:tcPr>
          <w:p>
            <w:pPr>
              <w:spacing w:after="0"/>
              <w:rPr>
                <w:sz w:val="9"/>
                <w:szCs w:val="9"/>
                <w:color w:val="auto"/>
              </w:rPr>
            </w:pPr>
          </w:p>
        </w:tc>
        <w:tc>
          <w:tcPr>
            <w:tcW w:w="260" w:type="dxa"/>
            <w:vAlign w:val="bottom"/>
            <w:tcBorders>
              <w:bottom w:val="single" w:sz="8" w:color="CCCCCC"/>
            </w:tcBorders>
            <w:shd w:val="clear" w:color="auto" w:fill="F2F2F2"/>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Performance Share Units (Unvested)</w:t>
            </w:r>
          </w:p>
        </w:tc>
        <w:tc>
          <w:tcPr>
            <w:tcW w:w="1640" w:type="dxa"/>
            <w:vAlign w:val="bottom"/>
            <w:tcBorders>
              <w:bottom w:val="single" w:sz="8" w:color="CCCCCC"/>
            </w:tcBorders>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2"/>
                <w:szCs w:val="22"/>
                <w:color w:val="auto"/>
              </w:rPr>
            </w:pPr>
          </w:p>
        </w:tc>
        <w:tc>
          <w:tcPr>
            <w:tcW w:w="8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8,397,000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$3,140,000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$ 3,211,000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$2,261,000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1"/>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Performance Share Units (Vested)</w:t>
            </w:r>
            <w:r>
              <w:rPr>
                <w:rFonts w:ascii="Arial" w:cs="Arial" w:eastAsia="Arial" w:hAnsi="Arial"/>
                <w:sz w:val="17"/>
                <w:szCs w:val="17"/>
                <w:color w:val="auto"/>
                <w:vertAlign w:val="superscript"/>
              </w:rPr>
              <w:t>(4)</w:t>
            </w:r>
          </w:p>
        </w:tc>
        <w:tc>
          <w:tcPr>
            <w:tcW w:w="1640" w:type="dxa"/>
            <w:vAlign w:val="bottom"/>
            <w:tcBorders>
              <w:bottom w:val="single" w:sz="8" w:color="CCCCCC"/>
            </w:tcBorders>
            <w:shd w:val="clear" w:color="auto" w:fill="F2F2F2"/>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4"/>
                <w:szCs w:val="24"/>
                <w:color w:val="auto"/>
              </w:rPr>
            </w:pPr>
          </w:p>
        </w:tc>
        <w:tc>
          <w:tcPr>
            <w:tcW w:w="80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1,648,000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shd w:val="clear" w:color="auto" w:fill="F2F2F2"/>
          </w:tcPr>
          <w:p>
            <w:pPr>
              <w:spacing w:after="0"/>
              <w:rPr>
                <w:sz w:val="24"/>
                <w:szCs w:val="24"/>
                <w:color w:val="auto"/>
              </w:rPr>
            </w:pPr>
          </w:p>
        </w:tc>
        <w:tc>
          <w:tcPr>
            <w:tcW w:w="3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96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$1,045,000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shd w:val="clear" w:color="auto" w:fill="F2F2F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798,000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Stock Awards (Unvested)</w:t>
            </w:r>
          </w:p>
        </w:tc>
        <w:tc>
          <w:tcPr>
            <w:tcW w:w="1640" w:type="dxa"/>
            <w:vAlign w:val="bottom"/>
            <w:tcBorders>
              <w:bottom w:val="single" w:sz="8" w:color="CCCCCC"/>
            </w:tcBorders>
          </w:tcPr>
          <w:p>
            <w:pPr>
              <w:ind w:left="1380"/>
              <w:spacing w:after="0" w:line="26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2"/>
                <w:szCs w:val="22"/>
                <w:color w:val="auto"/>
              </w:rPr>
            </w:pPr>
          </w:p>
        </w:tc>
        <w:tc>
          <w:tcPr>
            <w:tcW w:w="8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3,348,000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$3,160,000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$1,419,000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$1,018,000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8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Stock Awards (Vested)</w:t>
            </w:r>
          </w:p>
        </w:tc>
        <w:tc>
          <w:tcPr>
            <w:tcW w:w="1700" w:type="dxa"/>
            <w:vAlign w:val="bottom"/>
            <w:tcBorders>
              <w:bottom w:val="single" w:sz="8" w:color="CCCCCC"/>
            </w:tcBorders>
            <w:gridSpan w:val="2"/>
            <w:shd w:val="clear" w:color="auto" w:fill="F2F2F2"/>
          </w:tcPr>
          <w:p>
            <w:pPr>
              <w:ind w:left="1380"/>
              <w:spacing w:after="0" w:line="263"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480" w:type="dxa"/>
            <w:vAlign w:val="bottom"/>
            <w:tcBorders>
              <w:bottom w:val="single" w:sz="8" w:color="CCCCCC"/>
            </w:tcBorders>
            <w:shd w:val="clear" w:color="auto" w:fill="F2F2F2"/>
          </w:tcPr>
          <w:p>
            <w:pPr>
              <w:spacing w:after="0"/>
              <w:rPr>
                <w:sz w:val="22"/>
                <w:szCs w:val="22"/>
                <w:color w:val="auto"/>
              </w:rPr>
            </w:pPr>
          </w:p>
        </w:tc>
        <w:tc>
          <w:tcPr>
            <w:tcW w:w="3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20" w:type="dxa"/>
            <w:vAlign w:val="bottom"/>
            <w:tcBorders>
              <w:bottom w:val="single" w:sz="8" w:color="CCCCCC"/>
            </w:tcBorders>
            <w:shd w:val="clear" w:color="auto" w:fill="F2F2F2"/>
          </w:tcPr>
          <w:p>
            <w:pPr>
              <w:spacing w:after="0"/>
              <w:rPr>
                <w:sz w:val="22"/>
                <w:szCs w:val="22"/>
                <w:color w:val="auto"/>
              </w:rPr>
            </w:pPr>
          </w:p>
        </w:tc>
        <w:tc>
          <w:tcPr>
            <w:tcW w:w="3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60" w:type="dxa"/>
            <w:vAlign w:val="bottom"/>
            <w:tcBorders>
              <w:bottom w:val="single" w:sz="8" w:color="CCCCCC"/>
            </w:tcBorders>
            <w:gridSpan w:val="2"/>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spacing w:after="0"/>
              <w:rPr>
                <w:sz w:val="22"/>
                <w:szCs w:val="22"/>
                <w:color w:val="auto"/>
              </w:rPr>
            </w:pPr>
          </w:p>
        </w:tc>
        <w:tc>
          <w:tcPr>
            <w:tcW w:w="26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394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Long-term Disability Per Month</w:t>
            </w:r>
            <w:r>
              <w:rPr>
                <w:rFonts w:ascii="Arial" w:cs="Arial" w:eastAsia="Arial" w:hAnsi="Arial"/>
                <w:sz w:val="17"/>
                <w:szCs w:val="17"/>
                <w:color w:val="auto"/>
                <w:vertAlign w:val="superscript"/>
              </w:rPr>
              <w:t>(5)</w:t>
            </w:r>
          </w:p>
        </w:tc>
        <w:tc>
          <w:tcPr>
            <w:tcW w:w="1640" w:type="dxa"/>
            <w:vAlign w:val="bottom"/>
            <w:tcBorders>
              <w:bottom w:val="single" w:sz="8" w:color="CCCCCC"/>
            </w:tcBorders>
          </w:tcPr>
          <w:p>
            <w:pPr>
              <w:ind w:left="1380"/>
              <w:spacing w:after="0" w:line="290"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6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20,000</w:t>
            </w:r>
            <w:r>
              <w:rPr>
                <w:rFonts w:ascii="Arial" w:cs="Arial" w:eastAsia="Arial" w:hAnsi="Arial"/>
                <w:sz w:val="28"/>
                <w:szCs w:val="28"/>
                <w:color w:val="auto"/>
                <w:vertAlign w:val="subscript"/>
              </w:rPr>
              <w:t>​​</w:t>
            </w:r>
          </w:p>
        </w:tc>
        <w:tc>
          <w:tcPr>
            <w:tcW w:w="24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72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20,000</w:t>
            </w:r>
            <w:r>
              <w:rPr>
                <w:rFonts w:ascii="Arial" w:cs="Arial" w:eastAsia="Arial" w:hAnsi="Arial"/>
                <w:sz w:val="28"/>
                <w:szCs w:val="28"/>
                <w:color w:val="auto"/>
                <w:vertAlign w:val="subscript"/>
              </w:rPr>
              <w:t>​​</w:t>
            </w:r>
          </w:p>
        </w:tc>
        <w:tc>
          <w:tcPr>
            <w:tcW w:w="180" w:type="dxa"/>
            <w:vAlign w:val="bottom"/>
            <w:tcBorders>
              <w:bottom w:val="single" w:sz="8" w:color="CCCCCC"/>
            </w:tcBorders>
          </w:tcPr>
          <w:p>
            <w:pPr>
              <w:ind w:left="20"/>
              <w:spacing w:after="0" w:line="290"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perscript"/>
              </w:rPr>
              <w:t>$</w:t>
            </w:r>
          </w:p>
        </w:tc>
        <w:tc>
          <w:tcPr>
            <w:tcW w:w="8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14"/>
                <w:szCs w:val="14"/>
                <w:color w:val="auto"/>
              </w:rPr>
              <w:t>20,000</w:t>
            </w:r>
            <w:r>
              <w:rPr>
                <w:rFonts w:ascii="Arial" w:cs="Arial" w:eastAsia="Arial" w:hAnsi="Arial"/>
                <w:sz w:val="28"/>
                <w:szCs w:val="28"/>
                <w:color w:val="auto"/>
                <w:vertAlign w:val="subscript"/>
              </w:rPr>
              <w:t>​​</w:t>
            </w:r>
          </w:p>
        </w:tc>
        <w:tc>
          <w:tcPr>
            <w:tcW w:w="260" w:type="dxa"/>
            <w:vAlign w:val="bottom"/>
            <w:tcBorders>
              <w:bottom w:val="single" w:sz="8" w:color="CCCCCC"/>
            </w:tcBorders>
            <w:gridSpan w:val="2"/>
          </w:tcPr>
          <w:p>
            <w:pPr>
              <w:ind w:left="20"/>
              <w:spacing w:after="0" w:line="29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w:t>
            </w:r>
          </w:p>
        </w:tc>
        <w:tc>
          <w:tcPr>
            <w:tcW w:w="25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$14,851,000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$6,900,000</w:t>
            </w:r>
            <w:r>
              <w:rPr>
                <w:rFonts w:ascii="Arial" w:cs="Arial" w:eastAsia="Arial" w:hAnsi="Arial"/>
                <w:sz w:val="28"/>
                <w:szCs w:val="28"/>
                <w:color w:val="auto"/>
                <w:vertAlign w:val="subscript"/>
              </w:rPr>
              <w:t>​​</w:t>
            </w:r>
          </w:p>
        </w:tc>
        <w:tc>
          <w:tcPr>
            <w:tcW w:w="96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$6,275,000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$4,465,000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920" w:right="660" w:hanging="189"/>
        <w:spacing w:after="0" w:line="216" w:lineRule="auto"/>
        <w:tabs>
          <w:tab w:leader="none" w:pos="920" w:val="left"/>
        </w:tabs>
        <w:numPr>
          <w:ilvl w:val="0"/>
          <w:numId w:val="131"/>
        </w:numPr>
        <w:rPr>
          <w:rFonts w:ascii="Arial" w:cs="Arial" w:eastAsia="Arial" w:hAnsi="Arial"/>
          <w:sz w:val="20"/>
          <w:szCs w:val="20"/>
          <w:color w:val="auto"/>
          <w:vertAlign w:val="superscript"/>
        </w:rPr>
      </w:pPr>
      <w:r>
        <w:rPr>
          <w:rFonts w:ascii="Arial" w:cs="Arial" w:eastAsia="Arial" w:hAnsi="Arial"/>
          <w:sz w:val="13"/>
          <w:szCs w:val="13"/>
          <w:color w:val="auto"/>
        </w:rPr>
        <w:t>Mr. Lesar and Mses. Wilson and Harkel-Rumford have been omitted from this table as they departed the Company on January 5, 2024, July 26, 2024, and February 3, 2025, respectively. For information regarding payments to Mr. Lesar and Mses. Wilson and Harkel-Rumford in connection with their respective departures, see “— Retirements and Severance Arrangements” below.</w:t>
      </w:r>
    </w:p>
    <w:p>
      <w:pPr>
        <w:spacing w:after="0" w:line="63" w:lineRule="exact"/>
        <w:rPr>
          <w:rFonts w:ascii="Arial" w:cs="Arial" w:eastAsia="Arial" w:hAnsi="Arial"/>
          <w:sz w:val="20"/>
          <w:szCs w:val="20"/>
          <w:color w:val="auto"/>
          <w:vertAlign w:val="superscript"/>
        </w:rPr>
      </w:pPr>
    </w:p>
    <w:p>
      <w:pPr>
        <w:ind w:left="920" w:right="80" w:hanging="189"/>
        <w:spacing w:after="0" w:line="198" w:lineRule="auto"/>
        <w:tabs>
          <w:tab w:leader="none" w:pos="920" w:val="left"/>
        </w:tabs>
        <w:numPr>
          <w:ilvl w:val="0"/>
          <w:numId w:val="131"/>
        </w:numPr>
        <w:rPr>
          <w:rFonts w:ascii="Arial" w:cs="Arial" w:eastAsia="Arial" w:hAnsi="Arial"/>
          <w:sz w:val="20"/>
          <w:szCs w:val="20"/>
          <w:color w:val="auto"/>
          <w:vertAlign w:val="superscript"/>
        </w:rPr>
      </w:pPr>
      <w:r>
        <w:rPr>
          <w:rFonts w:ascii="Arial" w:cs="Arial" w:eastAsia="Arial" w:hAnsi="Arial"/>
          <w:sz w:val="13"/>
          <w:szCs w:val="13"/>
          <w:color w:val="auto"/>
        </w:rPr>
        <w:t>Under the terms of our short-term incentive plan, an individual who becomes disabled as defined under our long-term disability plan during the plan year is eligible for a pro rata plan distribution at the target level of achievement.</w:t>
      </w:r>
    </w:p>
    <w:p>
      <w:pPr>
        <w:spacing w:after="0" w:line="64" w:lineRule="exact"/>
        <w:rPr>
          <w:rFonts w:ascii="Arial" w:cs="Arial" w:eastAsia="Arial" w:hAnsi="Arial"/>
          <w:sz w:val="20"/>
          <w:szCs w:val="20"/>
          <w:color w:val="auto"/>
          <w:vertAlign w:val="superscript"/>
        </w:rPr>
      </w:pPr>
    </w:p>
    <w:p>
      <w:pPr>
        <w:ind w:left="920" w:right="340" w:hanging="189"/>
        <w:spacing w:after="0" w:line="221" w:lineRule="auto"/>
        <w:tabs>
          <w:tab w:leader="none" w:pos="920" w:val="left"/>
        </w:tabs>
        <w:numPr>
          <w:ilvl w:val="0"/>
          <w:numId w:val="131"/>
        </w:numPr>
        <w:rPr>
          <w:rFonts w:ascii="Arial" w:cs="Arial" w:eastAsia="Arial" w:hAnsi="Arial"/>
          <w:sz w:val="20"/>
          <w:szCs w:val="20"/>
          <w:color w:val="auto"/>
          <w:vertAlign w:val="superscript"/>
        </w:rPr>
      </w:pPr>
      <w:r>
        <w:rPr>
          <w:rFonts w:ascii="Arial" w:cs="Arial" w:eastAsia="Arial" w:hAnsi="Arial"/>
          <w:sz w:val="13"/>
          <w:szCs w:val="13"/>
          <w:color w:val="auto"/>
        </w:rPr>
        <w:t>For purposes of the calculations, amounts that would be payable in shares have been converted to dollars using the NYSE closing price for CenterPoint Energy common stock on December 31, 2024, which was $31.73. Under the terms of the long-term incentive awards (other than any sign-on awards), an individual who separates from service due to disability prior to vesting is eligible for a full distribution of the award, based on the target level of achievement of any applicable performance goals.</w:t>
      </w:r>
    </w:p>
    <w:p>
      <w:pPr>
        <w:spacing w:after="0" w:line="63" w:lineRule="exact"/>
        <w:rPr>
          <w:rFonts w:ascii="Arial" w:cs="Arial" w:eastAsia="Arial" w:hAnsi="Arial"/>
          <w:sz w:val="20"/>
          <w:szCs w:val="20"/>
          <w:color w:val="auto"/>
          <w:vertAlign w:val="superscript"/>
        </w:rPr>
      </w:pPr>
    </w:p>
    <w:p>
      <w:pPr>
        <w:ind w:left="920" w:right="160" w:hanging="189"/>
        <w:spacing w:after="0" w:line="207" w:lineRule="auto"/>
        <w:tabs>
          <w:tab w:leader="none" w:pos="920" w:val="left"/>
        </w:tabs>
        <w:numPr>
          <w:ilvl w:val="0"/>
          <w:numId w:val="131"/>
        </w:numPr>
        <w:rPr>
          <w:rFonts w:ascii="Arial" w:cs="Arial" w:eastAsia="Arial" w:hAnsi="Arial"/>
          <w:sz w:val="20"/>
          <w:szCs w:val="20"/>
          <w:color w:val="auto"/>
          <w:vertAlign w:val="superscript"/>
        </w:rPr>
      </w:pPr>
      <w:r>
        <w:rPr>
          <w:rFonts w:ascii="Arial" w:cs="Arial" w:eastAsia="Arial" w:hAnsi="Arial"/>
          <w:sz w:val="13"/>
          <w:szCs w:val="13"/>
          <w:color w:val="auto"/>
        </w:rPr>
        <w:t>Amounts shown include PSUs granted in 2022 that vested on December 31, 2024, which were payable regardless of the officer’s disability, as set forth in the award agreements.</w:t>
      </w:r>
    </w:p>
    <w:p>
      <w:pPr>
        <w:ind w:left="920" w:hanging="189"/>
        <w:spacing w:after="0" w:line="225" w:lineRule="auto"/>
        <w:tabs>
          <w:tab w:leader="none" w:pos="920" w:val="left"/>
        </w:tabs>
        <w:numPr>
          <w:ilvl w:val="0"/>
          <w:numId w:val="131"/>
        </w:numPr>
        <w:rPr>
          <w:rFonts w:ascii="Arial" w:cs="Arial" w:eastAsia="Arial" w:hAnsi="Arial"/>
          <w:sz w:val="20"/>
          <w:szCs w:val="20"/>
          <w:color w:val="auto"/>
          <w:vertAlign w:val="superscript"/>
        </w:rPr>
      </w:pPr>
      <w:r>
        <w:rPr>
          <w:rFonts w:ascii="Arial" w:cs="Arial" w:eastAsia="Arial" w:hAnsi="Arial"/>
          <w:sz w:val="13"/>
          <w:szCs w:val="13"/>
          <w:color w:val="auto"/>
        </w:rPr>
        <w:t>Amounts payable by third party insurance providers.</w:t>
      </w:r>
    </w:p>
    <w:p>
      <w:pPr>
        <w:spacing w:after="0" w:line="135" w:lineRule="exact"/>
        <w:rPr>
          <w:sz w:val="20"/>
          <w:szCs w:val="20"/>
          <w:color w:val="auto"/>
        </w:rPr>
      </w:pPr>
    </w:p>
    <w:p>
      <w:pPr>
        <w:ind w:left="740" w:right="140"/>
        <w:spacing w:after="0" w:line="269" w:lineRule="auto"/>
        <w:rPr>
          <w:sz w:val="20"/>
          <w:szCs w:val="20"/>
          <w:color w:val="auto"/>
        </w:rPr>
      </w:pPr>
      <w:r>
        <w:rPr>
          <w:rFonts w:ascii="Arial" w:cs="Arial" w:eastAsia="Arial" w:hAnsi="Arial"/>
          <w:sz w:val="16"/>
          <w:szCs w:val="16"/>
          <w:color w:val="auto"/>
        </w:rPr>
        <w:t>Upon becoming disabled as defined under our long-term disability plan, each named executive officer would also be entitled to receive payment for any fully vested benefits to which he or she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Retirements and Severance Arrangements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David J. Lesar</w:t>
      </w:r>
    </w:p>
    <w:p>
      <w:pPr>
        <w:spacing w:after="0" w:line="122" w:lineRule="exact"/>
        <w:rPr>
          <w:sz w:val="20"/>
          <w:szCs w:val="20"/>
          <w:color w:val="auto"/>
        </w:rPr>
      </w:pPr>
    </w:p>
    <w:p>
      <w:pPr>
        <w:ind w:left="740" w:right="80"/>
        <w:spacing w:after="0" w:line="262" w:lineRule="auto"/>
        <w:rPr>
          <w:sz w:val="20"/>
          <w:szCs w:val="20"/>
          <w:color w:val="auto"/>
        </w:rPr>
      </w:pPr>
      <w:r>
        <w:rPr>
          <w:rFonts w:ascii="Arial" w:cs="Arial" w:eastAsia="Arial" w:hAnsi="Arial"/>
          <w:sz w:val="16"/>
          <w:szCs w:val="16"/>
          <w:color w:val="auto"/>
        </w:rPr>
        <w:t>Mr. Lesar retired from his position as Chief Executive Officer and as a member of the Board on January 5, 2024. In connection with Mr. Lesar’s retirement, the Human Capital and Compensation Committee and the Board approved the following compensation arrangements: (i) in recognition of Mr. Lesar’s continued employment through the end of 2023, a lump sum cash payment in the amount of $4,068,750, which is the amount of Mr. Lesar’s short-term incentive award for the 2023 performance year determined at the approved achievement level for other executive officers and (ii) in accordance with the long-term incentive plan and past practice for other retirement-eligible employees, “enhanced retirement” benefits for Mr. Lesar’s outstanding 2021, 2022 and 2023 stock awards, valued at $7,512,750, and 2022 and 2023 performance share unit awards, valued at $14,369,910, in each case as set forth under the applicable award agreement. With respect to these long-term incentive plan awards, the amounts shown assume target level of achievement and have been converted to dollars using the NYSE closing price for CenterPoint Energy common stock on January 5, 2024, the date of Mr. Lesar’s retirement, which was $29.24. Per the terms of the applicable award agreements, the restricted stock unit awards and the performance share unit awards remain subject to achievement of the applicable performance goals before vesting.</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Lynnae K. Wilson</w:t>
      </w:r>
    </w:p>
    <w:p>
      <w:pPr>
        <w:spacing w:after="0" w:line="122" w:lineRule="exact"/>
        <w:rPr>
          <w:sz w:val="20"/>
          <w:szCs w:val="20"/>
          <w:color w:val="auto"/>
        </w:rPr>
      </w:pPr>
    </w:p>
    <w:p>
      <w:pPr>
        <w:ind w:left="740" w:right="120"/>
        <w:spacing w:after="0" w:line="284" w:lineRule="auto"/>
        <w:rPr>
          <w:sz w:val="20"/>
          <w:szCs w:val="20"/>
          <w:color w:val="auto"/>
        </w:rPr>
      </w:pPr>
      <w:r>
        <w:rPr>
          <w:rFonts w:ascii="Arial" w:cs="Arial" w:eastAsia="Arial" w:hAnsi="Arial"/>
          <w:sz w:val="15"/>
          <w:szCs w:val="15"/>
          <w:color w:val="auto"/>
        </w:rPr>
        <w:t>In connection with the Company’s termination of Ms. Wilson’s employment on July 26, 2024, Ms. Wilson entered into a separation and release agreement with the Company. Under the separation and release agreement, Ms. Wilson received a lump sum cash payment of $999,750, representing 1.5 times Ms. Wilson’s base salary and 1 times her target short-term incentive plan award, and was eligible for up to 18 months of continued health coverage under COBRA at active employee rates and nine months of outplacement services, in exchange for execution of a release of claims against the Company and agreement to refrain from making any disparaging statements regarding the Company to clients, customers, or suppliers; to return and not use any proprietary or confidential business information of the Company; and for a period of one year following her departure, to not solicit any employee of the Company or use any confidential information to solicit any customer of the Company. All of Ms. Wilson’s</w:t>
      </w:r>
    </w:p>
    <w:p>
      <w:pPr>
        <w:sectPr>
          <w:pgSz w:w="11900" w:h="16838" w:orient="portrait"/>
          <w:cols w:equalWidth="0" w:num="1">
            <w:col w:w="10020"/>
          </w:cols>
          <w:pgMar w:left="580" w:top="97" w:right="1299" w:bottom="1440" w:gutter="0" w:footer="0" w:header="0"/>
        </w:sectPr>
      </w:pPr>
    </w:p>
    <w:p>
      <w:pPr>
        <w:spacing w:after="0" w:line="21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60"/>
        <w:spacing w:after="0" w:line="286" w:lineRule="auto"/>
        <w:rPr>
          <w:sz w:val="20"/>
          <w:szCs w:val="20"/>
          <w:color w:val="auto"/>
        </w:rPr>
      </w:pPr>
      <w:r>
        <w:rPr>
          <w:rFonts w:ascii="Arial" w:cs="Arial" w:eastAsia="Arial" w:hAnsi="Arial"/>
          <w:sz w:val="16"/>
          <w:szCs w:val="16"/>
          <w:color w:val="auto"/>
        </w:rPr>
        <w:t>outstanding equity awards were forfeited upon her departure. The payments and benefits provided to Ms. Wilson in connection with her departure complied with the Company’s executive severance guidelines.</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Lynne Harkel-Rumford</w:t>
      </w:r>
    </w:p>
    <w:p>
      <w:pPr>
        <w:spacing w:after="0" w:line="122" w:lineRule="exact"/>
        <w:rPr>
          <w:sz w:val="20"/>
          <w:szCs w:val="20"/>
          <w:color w:val="auto"/>
        </w:rPr>
      </w:pPr>
    </w:p>
    <w:p>
      <w:pPr>
        <w:ind w:left="740" w:right="160"/>
        <w:spacing w:after="0" w:line="281" w:lineRule="auto"/>
        <w:rPr>
          <w:sz w:val="20"/>
          <w:szCs w:val="20"/>
          <w:color w:val="auto"/>
        </w:rPr>
      </w:pPr>
      <w:r>
        <w:rPr>
          <w:rFonts w:ascii="Arial" w:cs="Arial" w:eastAsia="Arial" w:hAnsi="Arial"/>
          <w:sz w:val="15"/>
          <w:szCs w:val="15"/>
          <w:color w:val="auto"/>
        </w:rPr>
        <w:t>Ms. Harkel-Rumford, who served as Executive Vice President and Chief Human Resources Officer until January 1, 2025, retired from the Company on February 3, 2025. In accordance with the Company’s long-term incentive plans and past practice for other retirement eligible employees, the Human Capital and Compensation Committee and the Board approved for Ms. Harkel-Rumford</w:t>
      </w:r>
    </w:p>
    <w:p>
      <w:pPr>
        <w:ind w:left="740" w:right="60" w:hanging="9"/>
        <w:spacing w:after="0" w:line="255" w:lineRule="auto"/>
        <w:tabs>
          <w:tab w:leader="none" w:pos="92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“enhanced retirement” benefits under her outstanding 2022 and 2023 restricted stock unit awards, valued at $458,456, and 2023 performance share unit awards, valued at $770,064, in each case as set forth under the applicable award agreement, and</w:t>
      </w:r>
    </w:p>
    <w:p>
      <w:pPr>
        <w:ind w:left="740" w:right="20" w:hanging="9"/>
        <w:spacing w:after="0" w:line="260" w:lineRule="auto"/>
        <w:tabs>
          <w:tab w:leader="none" w:pos="95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“retirement” benefits under her outstanding 2024 restricted stock unit award, valued at $277,050, and 2024 performance share unit awards, valued at $831,086, in each case as set forth under the applicable award agreement. With respect to these long-term incentive plan awards, the amounts shown assume target level of achievement and have been converted to dollars using the NYSE closing price for CenterPoint Energy common stock on February 3, 2025, the date of Ms. Harkel-Rumford’s retirement, which was $32.51. Per the terms of the applicable award agreements, the restricted stock unit awards and the performance share unit awards remain subject to achievement of the applicable performance goals before vesting. In addition, Ms. Harkel-Rumford satisfied the requirements for the retirement provisions under our short-term incentive plan and was entitled under the terms of the plan to a lump sum payment of her short-term incentive award for the 2024 performance year determined at the approved achievement level, and of a prorated portion of her target short-term incentive award for the 2025 performance year. These short-term incentive plan payments totaled $446,598.</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Rabbi Trust</w:t>
      </w:r>
    </w:p>
    <w:p>
      <w:pPr>
        <w:spacing w:after="0" w:line="122" w:lineRule="exact"/>
        <w:rPr>
          <w:sz w:val="20"/>
          <w:szCs w:val="20"/>
          <w:color w:val="auto"/>
        </w:rPr>
      </w:pPr>
    </w:p>
    <w:p>
      <w:pPr>
        <w:ind w:left="740" w:right="20"/>
        <w:spacing w:after="0" w:line="260" w:lineRule="auto"/>
        <w:rPr>
          <w:sz w:val="20"/>
          <w:szCs w:val="20"/>
          <w:color w:val="auto"/>
        </w:rPr>
      </w:pPr>
      <w:r>
        <w:rPr>
          <w:rFonts w:ascii="Arial" w:cs="Arial" w:eastAsia="Arial" w:hAnsi="Arial"/>
          <w:sz w:val="16"/>
          <w:szCs w:val="16"/>
          <w:color w:val="auto"/>
        </w:rPr>
        <w:t>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(other than plans acquired in connection with the Vectren merger, in which Ms. Wilson is the only named executive officer who has participated).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 In addition, we acquired, and continue to maintain, in connection with the Vectren merger, a rabbi trust for the purpose of funding benefits under the Vectren Deferred Compensation Plan. Refer to “Executive Compensation Tables —Deferred Compensation Plans.”</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Pay Versus Performance</w:t>
      </w:r>
    </w:p>
    <w:p>
      <w:pPr>
        <w:spacing w:after="0" w:line="126" w:lineRule="exact"/>
        <w:rPr>
          <w:sz w:val="20"/>
          <w:szCs w:val="20"/>
          <w:color w:val="auto"/>
        </w:rPr>
      </w:pPr>
    </w:p>
    <w:p>
      <w:pPr>
        <w:ind w:left="740" w:right="80"/>
        <w:spacing w:after="0" w:line="265" w:lineRule="auto"/>
        <w:rPr>
          <w:sz w:val="20"/>
          <w:szCs w:val="20"/>
          <w:color w:val="auto"/>
        </w:rPr>
      </w:pPr>
      <w:r>
        <w:rPr>
          <w:rFonts w:ascii="Arial" w:cs="Arial" w:eastAsia="Arial" w:hAnsi="Arial"/>
          <w:sz w:val="16"/>
          <w:szCs w:val="16"/>
          <w:color w:val="auto"/>
        </w:rPr>
        <w:t>As required by Item 402(v) of Regulation S-K, as adopted pursuant to Section 953(a) of the Dodd-Frank Wall Street Reform and Consumer Protection Act, we are providing information about the relationship between compensation actually paid to our named executive officers and each of the following company performance measures, which, in the company’s assessment, are also the most important financial performance measures used for the most recently completed fiscal year to link compensation actually paid to our named executive officers to company performance:</w:t>
      </w:r>
    </w:p>
    <w:p>
      <w:pPr>
        <w:spacing w:after="0" w:line="18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3763"/>
        </w:rPr>
        <w:t>Most Important Financial Performance Measures</w:t>
      </w:r>
    </w:p>
    <w:p>
      <w:pPr>
        <w:spacing w:after="0" w:line="154"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2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2840" w:type="dxa"/>
            <w:vAlign w:val="bottom"/>
            <w:shd w:val="clear" w:color="auto" w:fill="F2F2F2"/>
          </w:tcPr>
          <w:p>
            <w:pPr>
              <w:ind w:left="27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580" w:type="dxa"/>
            <w:vAlign w:val="bottom"/>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F2F2F2"/>
          </w:tcPr>
          <w:p>
            <w:pPr>
              <w:ind w:left="2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0" w:type="dxa"/>
            <w:vAlign w:val="bottom"/>
            <w:shd w:val="clear" w:color="auto" w:fill="F2F2F2"/>
          </w:tcPr>
          <w:p>
            <w:pPr>
              <w:ind w:left="40"/>
              <w:spacing w:after="0"/>
              <w:rPr>
                <w:sz w:val="20"/>
                <w:szCs w:val="20"/>
                <w:color w:val="auto"/>
              </w:rPr>
            </w:pPr>
            <w:r>
              <w:rPr>
                <w:rFonts w:ascii="Arial" w:cs="Arial" w:eastAsia="Arial" w:hAnsi="Arial"/>
                <w:sz w:val="16"/>
                <w:szCs w:val="16"/>
                <w:color w:val="auto"/>
              </w:rPr>
              <w:t>​</w:t>
            </w:r>
          </w:p>
        </w:tc>
        <w:tc>
          <w:tcPr>
            <w:tcW w:w="2920" w:type="dxa"/>
            <w:vAlign w:val="bottom"/>
            <w:shd w:val="clear" w:color="auto" w:fill="F2F2F2"/>
          </w:tcPr>
          <w:p>
            <w:pPr>
              <w:ind w:left="2800"/>
              <w:spacing w:after="0"/>
              <w:rPr>
                <w:sz w:val="20"/>
                <w:szCs w:val="20"/>
                <w:color w:val="auto"/>
              </w:rPr>
            </w:pPr>
            <w:r>
              <w:rPr>
                <w:rFonts w:ascii="Arial" w:cs="Arial" w:eastAsia="Arial" w:hAnsi="Arial"/>
                <w:sz w:val="16"/>
                <w:szCs w:val="16"/>
                <w:color w:val="auto"/>
              </w:rPr>
              <w:t>​</w:t>
            </w:r>
          </w:p>
        </w:tc>
      </w:tr>
      <w:tr>
        <w:trPr>
          <w:trHeight w:val="189"/>
        </w:trPr>
        <w:tc>
          <w:tcPr>
            <w:tcW w:w="240" w:type="dxa"/>
            <w:vAlign w:val="bottom"/>
            <w:shd w:val="clear" w:color="auto" w:fill="F2F2F2"/>
          </w:tcPr>
          <w:p>
            <w:pPr>
              <w:spacing w:after="0"/>
              <w:rPr>
                <w:sz w:val="16"/>
                <w:szCs w:val="16"/>
                <w:color w:val="auto"/>
              </w:rPr>
            </w:pPr>
          </w:p>
        </w:tc>
        <w:tc>
          <w:tcPr>
            <w:tcW w:w="2840" w:type="dxa"/>
            <w:vAlign w:val="bottom"/>
            <w:shd w:val="clear" w:color="auto" w:fill="F2F2F2"/>
          </w:tcPr>
          <w:p>
            <w:pPr>
              <w:jc w:val="center"/>
              <w:ind w:right="39"/>
              <w:spacing w:after="0"/>
              <w:rPr>
                <w:sz w:val="20"/>
                <w:szCs w:val="20"/>
                <w:color w:val="auto"/>
              </w:rPr>
            </w:pPr>
            <w:r>
              <w:rPr>
                <w:rFonts w:ascii="Arial" w:cs="Arial" w:eastAsia="Arial" w:hAnsi="Arial"/>
                <w:sz w:val="16"/>
                <w:szCs w:val="16"/>
                <w:color w:val="auto"/>
                <w:w w:val="99"/>
              </w:rPr>
              <w:t>Cumulative total shareholder return</w:t>
            </w:r>
          </w:p>
        </w:tc>
        <w:tc>
          <w:tcPr>
            <w:tcW w:w="40" w:type="dxa"/>
            <w:vAlign w:val="bottom"/>
          </w:tcPr>
          <w:p>
            <w:pPr>
              <w:spacing w:after="0"/>
              <w:rPr>
                <w:sz w:val="16"/>
                <w:szCs w:val="16"/>
                <w:color w:val="auto"/>
              </w:rPr>
            </w:pPr>
          </w:p>
        </w:tc>
        <w:tc>
          <w:tcPr>
            <w:tcW w:w="580" w:type="dxa"/>
            <w:vAlign w:val="bottom"/>
            <w:shd w:val="clear" w:color="auto" w:fill="F2F2F2"/>
          </w:tcPr>
          <w:p>
            <w:pPr>
              <w:spacing w:after="0"/>
              <w:rPr>
                <w:sz w:val="16"/>
                <w:szCs w:val="16"/>
                <w:color w:val="auto"/>
              </w:rPr>
            </w:pPr>
          </w:p>
        </w:tc>
        <w:tc>
          <w:tcPr>
            <w:tcW w:w="2400" w:type="dxa"/>
            <w:vAlign w:val="bottom"/>
            <w:shd w:val="clear" w:color="auto" w:fill="F2F2F2"/>
          </w:tcPr>
          <w:p>
            <w:pPr>
              <w:ind w:left="50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920" w:type="dxa"/>
            <w:vAlign w:val="bottom"/>
            <w:shd w:val="clear" w:color="auto" w:fill="F2F2F2"/>
          </w:tcPr>
          <w:p>
            <w:pPr>
              <w:jc w:val="center"/>
              <w:ind w:right="259"/>
              <w:spacing w:after="0"/>
              <w:rPr>
                <w:sz w:val="20"/>
                <w:szCs w:val="20"/>
                <w:color w:val="auto"/>
              </w:rPr>
            </w:pPr>
            <w:r>
              <w:rPr>
                <w:rFonts w:ascii="Arial" w:cs="Arial" w:eastAsia="Arial" w:hAnsi="Arial"/>
                <w:sz w:val="16"/>
                <w:szCs w:val="16"/>
                <w:color w:val="auto"/>
                <w:w w:val="99"/>
              </w:rPr>
              <w:t>Adjusted EPS (company-selected</w:t>
            </w:r>
          </w:p>
        </w:tc>
      </w:tr>
      <w:tr>
        <w:trPr>
          <w:trHeight w:val="215"/>
        </w:trPr>
        <w:tc>
          <w:tcPr>
            <w:tcW w:w="240" w:type="dxa"/>
            <w:vAlign w:val="bottom"/>
            <w:shd w:val="clear" w:color="auto" w:fill="F2F2F2"/>
          </w:tcPr>
          <w:p>
            <w:pPr>
              <w:spacing w:after="0"/>
              <w:rPr>
                <w:sz w:val="18"/>
                <w:szCs w:val="18"/>
                <w:color w:val="auto"/>
              </w:rPr>
            </w:pPr>
          </w:p>
        </w:tc>
        <w:tc>
          <w:tcPr>
            <w:tcW w:w="2840" w:type="dxa"/>
            <w:vAlign w:val="bottom"/>
            <w:shd w:val="clear" w:color="auto" w:fill="F2F2F2"/>
          </w:tcPr>
          <w:p>
            <w:pPr>
              <w:jc w:val="center"/>
              <w:ind w:right="39"/>
              <w:spacing w:after="0"/>
              <w:rPr>
                <w:sz w:val="20"/>
                <w:szCs w:val="20"/>
                <w:color w:val="auto"/>
              </w:rPr>
            </w:pPr>
            <w:r>
              <w:rPr>
                <w:rFonts w:ascii="Arial" w:cs="Arial" w:eastAsia="Arial" w:hAnsi="Arial"/>
                <w:sz w:val="16"/>
                <w:szCs w:val="16"/>
                <w:color w:val="auto"/>
              </w:rPr>
              <w:t>(TSR)</w:t>
            </w:r>
          </w:p>
        </w:tc>
        <w:tc>
          <w:tcPr>
            <w:tcW w:w="40" w:type="dxa"/>
            <w:vAlign w:val="bottom"/>
          </w:tcPr>
          <w:p>
            <w:pPr>
              <w:spacing w:after="0"/>
              <w:rPr>
                <w:sz w:val="18"/>
                <w:szCs w:val="18"/>
                <w:color w:val="auto"/>
              </w:rPr>
            </w:pPr>
          </w:p>
        </w:tc>
        <w:tc>
          <w:tcPr>
            <w:tcW w:w="580" w:type="dxa"/>
            <w:vAlign w:val="bottom"/>
            <w:shd w:val="clear" w:color="auto" w:fill="F2F2F2"/>
          </w:tcPr>
          <w:p>
            <w:pPr>
              <w:spacing w:after="0"/>
              <w:rPr>
                <w:sz w:val="18"/>
                <w:szCs w:val="18"/>
                <w:color w:val="auto"/>
              </w:rPr>
            </w:pPr>
          </w:p>
        </w:tc>
        <w:tc>
          <w:tcPr>
            <w:tcW w:w="2400" w:type="dxa"/>
            <w:vAlign w:val="bottom"/>
            <w:shd w:val="clear" w:color="auto" w:fill="F2F2F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2920" w:type="dxa"/>
            <w:vAlign w:val="bottom"/>
            <w:shd w:val="clear" w:color="auto" w:fill="F2F2F2"/>
          </w:tcPr>
          <w:p>
            <w:pPr>
              <w:jc w:val="center"/>
              <w:ind w:right="239"/>
              <w:spacing w:after="0"/>
              <w:rPr>
                <w:sz w:val="20"/>
                <w:szCs w:val="20"/>
                <w:color w:val="auto"/>
              </w:rPr>
            </w:pPr>
            <w:r>
              <w:rPr>
                <w:rFonts w:ascii="Arial" w:cs="Arial" w:eastAsia="Arial" w:hAnsi="Arial"/>
                <w:sz w:val="16"/>
                <w:szCs w:val="16"/>
                <w:color w:val="auto"/>
                <w:w w:val="99"/>
              </w:rPr>
              <w:t>financial performance measure)</w:t>
            </w:r>
          </w:p>
        </w:tc>
      </w:tr>
      <w:tr>
        <w:trPr>
          <w:trHeight w:val="178"/>
        </w:trPr>
        <w:tc>
          <w:tcPr>
            <w:tcW w:w="240" w:type="dxa"/>
            <w:vAlign w:val="bottom"/>
            <w:shd w:val="clear" w:color="auto" w:fill="F2F2F2"/>
          </w:tcPr>
          <w:p>
            <w:pPr>
              <w:spacing w:after="0"/>
              <w:rPr>
                <w:sz w:val="15"/>
                <w:szCs w:val="15"/>
                <w:color w:val="auto"/>
              </w:rPr>
            </w:pPr>
          </w:p>
        </w:tc>
        <w:tc>
          <w:tcPr>
            <w:tcW w:w="2840" w:type="dxa"/>
            <w:vAlign w:val="bottom"/>
            <w:shd w:val="clear" w:color="auto" w:fill="F2F2F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F2F2F2"/>
          </w:tcPr>
          <w:p>
            <w:pPr>
              <w:spacing w:after="0"/>
              <w:rPr>
                <w:sz w:val="15"/>
                <w:szCs w:val="15"/>
                <w:color w:val="auto"/>
              </w:rPr>
            </w:pPr>
          </w:p>
        </w:tc>
        <w:tc>
          <w:tcPr>
            <w:tcW w:w="2400" w:type="dxa"/>
            <w:vAlign w:val="bottom"/>
            <w:shd w:val="clear" w:color="auto" w:fill="F2F2F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2920" w:type="dxa"/>
            <w:vAlign w:val="bottom"/>
            <w:shd w:val="clear" w:color="auto" w:fill="F2F2F2"/>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240"/>
        <w:spacing w:after="0" w:line="286" w:lineRule="auto"/>
        <w:rPr>
          <w:sz w:val="20"/>
          <w:szCs w:val="20"/>
          <w:color w:val="auto"/>
        </w:rPr>
      </w:pPr>
      <w:r>
        <w:rPr>
          <w:rFonts w:ascii="Arial" w:cs="Arial" w:eastAsia="Arial" w:hAnsi="Arial"/>
          <w:sz w:val="16"/>
          <w:szCs w:val="16"/>
          <w:color w:val="auto"/>
        </w:rPr>
        <w:t>Information for each of the last five completed fiscal years is shown in the table below for each principal executive officer (“PEO”) and for our non-PEO named executive officers (“Non-PEO NEOs”) as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90805</wp:posOffset>
            </wp:positionV>
            <wp:extent cx="5880735" cy="779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80735" cy="77978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87"/>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vMerge w:val="restart"/>
          </w:tcPr>
          <w:p>
            <w:pPr>
              <w:jc w:val="center"/>
              <w:ind w:right="70"/>
              <w:spacing w:after="0"/>
              <w:rPr>
                <w:sz w:val="20"/>
                <w:szCs w:val="20"/>
                <w:color w:val="auto"/>
              </w:rPr>
            </w:pPr>
            <w:r>
              <w:rPr>
                <w:rFonts w:ascii="Arial" w:cs="Arial" w:eastAsia="Arial" w:hAnsi="Arial"/>
                <w:sz w:val="10"/>
                <w:szCs w:val="10"/>
                <w:b w:val="1"/>
                <w:bCs w:val="1"/>
                <w:color w:val="FFFFFF"/>
                <w:w w:val="98"/>
              </w:rPr>
              <w:t>PEO Pay</w:t>
            </w:r>
            <w:r>
              <w:rPr>
                <w:rFonts w:ascii="Arial" w:cs="Arial" w:eastAsia="Arial" w:hAnsi="Arial"/>
                <w:sz w:val="16"/>
                <w:szCs w:val="16"/>
                <w:b w:val="1"/>
                <w:bCs w:val="1"/>
                <w:color w:val="FFFFFF"/>
                <w:w w:val="98"/>
                <w:vertAlign w:val="superscript"/>
              </w:rPr>
              <w:t>(1)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FFFFFF"/>
              </w:rPr>
              <w:t>Non-PEO NEOs Pay</w:t>
            </w:r>
            <w:r>
              <w:rPr>
                <w:rFonts w:ascii="Arial" w:cs="Arial" w:eastAsia="Arial" w:hAnsi="Arial"/>
                <w:sz w:val="16"/>
                <w:szCs w:val="16"/>
                <w:b w:val="1"/>
                <w:bCs w:val="1"/>
                <w:color w:val="FFFFFF"/>
                <w:vertAlign w:val="superscript"/>
              </w:rPr>
              <w:t>(2)</w:t>
            </w:r>
          </w:p>
        </w:tc>
        <w:tc>
          <w:tcPr>
            <w:tcW w:w="1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0"/>
                <w:szCs w:val="10"/>
                <w:b w:val="1"/>
                <w:bCs w:val="1"/>
                <w:color w:val="FFFFFF"/>
              </w:rPr>
              <w:t>Value of Initial Fixed $100</w:t>
            </w:r>
          </w:p>
        </w:tc>
        <w:tc>
          <w:tcPr>
            <w:tcW w:w="0" w:type="dxa"/>
            <w:vAlign w:val="bottom"/>
          </w:tcPr>
          <w:p>
            <w:pPr>
              <w:spacing w:after="0"/>
              <w:rPr>
                <w:sz w:val="1"/>
                <w:szCs w:val="1"/>
                <w:color w:val="auto"/>
              </w:rPr>
            </w:pPr>
          </w:p>
        </w:tc>
      </w:tr>
      <w:tr>
        <w:trPr>
          <w:trHeight w:val="185"/>
        </w:trPr>
        <w:tc>
          <w:tcPr>
            <w:tcW w:w="300" w:type="dxa"/>
            <w:vAlign w:val="bottom"/>
            <w:gridSpan w:val="2"/>
          </w:tcPr>
          <w:p>
            <w:pPr>
              <w:ind w:left="40"/>
              <w:spacing w:after="0"/>
              <w:rPr>
                <w:sz w:val="20"/>
                <w:szCs w:val="20"/>
                <w:color w:val="auto"/>
              </w:rPr>
            </w:pPr>
            <w:r>
              <w:rPr>
                <w:rFonts w:ascii="Arial" w:cs="Arial" w:eastAsia="Arial" w:hAnsi="Arial"/>
                <w:sz w:val="10"/>
                <w:szCs w:val="10"/>
                <w:b w:val="1"/>
                <w:bCs w:val="1"/>
                <w:color w:val="FFFFFF"/>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Arial" w:cs="Arial" w:eastAsia="Arial" w:hAnsi="Arial"/>
                <w:sz w:val="10"/>
                <w:szCs w:val="10"/>
                <w:b w:val="1"/>
                <w:bCs w:val="1"/>
                <w:color w:val="FFFFFF"/>
              </w:rPr>
              <w: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FFFFFF"/>
              </w:rPr>
              <w:t>​​</w:t>
            </w:r>
          </w:p>
        </w:tc>
        <w:tc>
          <w:tcPr>
            <w:tcW w:w="1400" w:type="dxa"/>
            <w:vAlign w:val="bottom"/>
            <w:gridSpan w:val="3"/>
            <w:vMerge w:val="continue"/>
          </w:tcPr>
          <w:p>
            <w:pPr>
              <w:spacing w:after="0"/>
              <w:rPr>
                <w:sz w:val="16"/>
                <w:szCs w:val="16"/>
                <w:color w:val="auto"/>
              </w:rPr>
            </w:pPr>
          </w:p>
        </w:tc>
        <w:tc>
          <w:tcPr>
            <w:tcW w:w="1440" w:type="dxa"/>
            <w:vAlign w:val="bottom"/>
            <w:gridSpan w:val="4"/>
          </w:tcPr>
          <w:p>
            <w:pPr>
              <w:ind w:left="100"/>
              <w:spacing w:after="0" w:line="185"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 xml:space="preserve">  Investment Based on:</w:t>
            </w:r>
          </w:p>
        </w:tc>
        <w:tc>
          <w:tcPr>
            <w:tcW w:w="0" w:type="dxa"/>
            <w:vAlign w:val="bottom"/>
          </w:tcPr>
          <w:p>
            <w:pPr>
              <w:spacing w:after="0"/>
              <w:rPr>
                <w:sz w:val="1"/>
                <w:szCs w:val="1"/>
                <w:color w:val="auto"/>
              </w:rPr>
            </w:pPr>
          </w:p>
        </w:tc>
      </w:tr>
      <w:tr>
        <w:trPr>
          <w:trHeight w:val="173"/>
        </w:trPr>
        <w:tc>
          <w:tcPr>
            <w:tcW w:w="60" w:type="dxa"/>
            <w:vAlign w:val="bottom"/>
            <w:tcBorders>
              <w:top w:val="single" w:sz="8" w:color="003763"/>
            </w:tcBorders>
          </w:tcPr>
          <w:p>
            <w:pPr>
              <w:spacing w:after="0"/>
              <w:rPr>
                <w:sz w:val="15"/>
                <w:szCs w:val="15"/>
                <w:color w:val="auto"/>
              </w:rPr>
            </w:pPr>
          </w:p>
        </w:tc>
        <w:tc>
          <w:tcPr>
            <w:tcW w:w="240" w:type="dxa"/>
            <w:vAlign w:val="bottom"/>
            <w:tcBorders>
              <w:top w:val="single" w:sz="8" w:color="003763"/>
            </w:tcBorders>
          </w:tcPr>
          <w:p>
            <w:pPr>
              <w:spacing w:after="0"/>
              <w:rPr>
                <w:sz w:val="15"/>
                <w:szCs w:val="15"/>
                <w:color w:val="auto"/>
              </w:rPr>
            </w:pPr>
          </w:p>
        </w:tc>
        <w:tc>
          <w:tcPr>
            <w:tcW w:w="80" w:type="dxa"/>
            <w:vAlign w:val="bottom"/>
            <w:tcBorders>
              <w:top w:val="single" w:sz="8" w:color="003763"/>
            </w:tcBorders>
          </w:tcPr>
          <w:p>
            <w:pPr>
              <w:spacing w:after="0"/>
              <w:rPr>
                <w:sz w:val="15"/>
                <w:szCs w:val="15"/>
                <w:color w:val="auto"/>
              </w:rPr>
            </w:pPr>
          </w:p>
        </w:tc>
        <w:tc>
          <w:tcPr>
            <w:tcW w:w="400" w:type="dxa"/>
            <w:vAlign w:val="bottom"/>
            <w:tcBorders>
              <w:top w:val="single" w:sz="8" w:color="003763"/>
            </w:tcBorders>
          </w:tcPr>
          <w:p>
            <w:pPr>
              <w:spacing w:after="0"/>
              <w:rPr>
                <w:sz w:val="15"/>
                <w:szCs w:val="15"/>
                <w:color w:val="auto"/>
              </w:rPr>
            </w:pPr>
          </w:p>
        </w:tc>
        <w:tc>
          <w:tcPr>
            <w:tcW w:w="1340" w:type="dxa"/>
            <w:vAlign w:val="bottom"/>
            <w:tcBorders>
              <w:top w:val="single" w:sz="8" w:color="003763"/>
            </w:tcBorders>
            <w:gridSpan w:val="3"/>
            <w:vMerge w:val="restart"/>
          </w:tcPr>
          <w:p>
            <w:pPr>
              <w:jc w:val="center"/>
              <w:ind w:left="28"/>
              <w:spacing w:after="0"/>
              <w:rPr>
                <w:sz w:val="20"/>
                <w:szCs w:val="20"/>
                <w:color w:val="auto"/>
              </w:rPr>
            </w:pPr>
            <w:r>
              <w:rPr>
                <w:rFonts w:ascii="Arial" w:cs="Arial" w:eastAsia="Arial" w:hAnsi="Arial"/>
                <w:sz w:val="10"/>
                <w:szCs w:val="10"/>
                <w:b w:val="1"/>
                <w:bCs w:val="1"/>
                <w:color w:val="FFFFFF"/>
              </w:rPr>
              <w:t>Summary Compensation</w:t>
            </w:r>
          </w:p>
        </w:tc>
        <w:tc>
          <w:tcPr>
            <w:tcW w:w="560" w:type="dxa"/>
            <w:vAlign w:val="bottom"/>
            <w:tcBorders>
              <w:top w:val="single" w:sz="8" w:color="003763"/>
            </w:tcBorders>
          </w:tcPr>
          <w:p>
            <w:pPr>
              <w:spacing w:after="0"/>
              <w:rPr>
                <w:sz w:val="15"/>
                <w:szCs w:val="15"/>
                <w:color w:val="auto"/>
              </w:rPr>
            </w:pPr>
          </w:p>
        </w:tc>
        <w:tc>
          <w:tcPr>
            <w:tcW w:w="20" w:type="dxa"/>
            <w:vAlign w:val="bottom"/>
            <w:tcBorders>
              <w:top w:val="single" w:sz="8" w:color="003763"/>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90"/>
              <w:spacing w:after="0"/>
              <w:rPr>
                <w:sz w:val="20"/>
                <w:szCs w:val="20"/>
                <w:color w:val="auto"/>
              </w:rPr>
            </w:pPr>
            <w:r>
              <w:rPr>
                <w:rFonts w:ascii="Arial" w:cs="Arial" w:eastAsia="Arial" w:hAnsi="Arial"/>
                <w:sz w:val="10"/>
                <w:szCs w:val="10"/>
                <w:b w:val="1"/>
                <w:bCs w:val="1"/>
                <w:color w:val="FFFFFF"/>
              </w:rPr>
              <w:t>Compensation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center"/>
              <w:ind w:right="28"/>
              <w:spacing w:after="0"/>
              <w:rPr>
                <w:sz w:val="20"/>
                <w:szCs w:val="20"/>
                <w:color w:val="auto"/>
              </w:rPr>
            </w:pPr>
            <w:r>
              <w:rPr>
                <w:rFonts w:ascii="Arial" w:cs="Arial" w:eastAsia="Arial" w:hAnsi="Arial"/>
                <w:sz w:val="10"/>
                <w:szCs w:val="10"/>
                <w:b w:val="1"/>
                <w:bCs w:val="1"/>
                <w:color w:val="FFFFFF"/>
              </w:rPr>
              <w:t>Average</w:t>
            </w:r>
          </w:p>
        </w:tc>
        <w:tc>
          <w:tcPr>
            <w:tcW w:w="1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FFFFFF"/>
              </w:rPr>
              <w:t>Average</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FFFFFF"/>
              </w:rPr>
              <w:t>Total</w:t>
            </w: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FFFFFF"/>
              </w:rPr>
              <w:t>“Peer Group”</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restart"/>
          </w:tcPr>
          <w:p>
            <w:pPr>
              <w:jc w:val="center"/>
              <w:ind w:right="28"/>
              <w:spacing w:after="0"/>
              <w:rPr>
                <w:sz w:val="20"/>
                <w:szCs w:val="20"/>
                <w:color w:val="auto"/>
              </w:rPr>
            </w:pPr>
            <w:r>
              <w:rPr>
                <w:rFonts w:ascii="Arial" w:cs="Arial" w:eastAsia="Arial" w:hAnsi="Arial"/>
                <w:sz w:val="10"/>
                <w:szCs w:val="10"/>
                <w:b w:val="1"/>
                <w:bCs w:val="1"/>
                <w:color w:val="FFFFFF"/>
              </w:rPr>
              <w:t>Summary</w:t>
            </w: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jc w:val="center"/>
              <w:ind w:right="50"/>
              <w:spacing w:after="0"/>
              <w:rPr>
                <w:sz w:val="20"/>
                <w:szCs w:val="20"/>
                <w:color w:val="auto"/>
              </w:rPr>
            </w:pPr>
            <w:r>
              <w:rPr>
                <w:rFonts w:ascii="Arial" w:cs="Arial" w:eastAsia="Arial" w:hAnsi="Arial"/>
                <w:sz w:val="10"/>
                <w:szCs w:val="10"/>
                <w:b w:val="1"/>
                <w:bCs w:val="1"/>
                <w:color w:val="FFFFFF"/>
              </w:rPr>
              <w:t>Table Total</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jc w:val="center"/>
              <w:ind w:right="70"/>
              <w:spacing w:after="0" w:line="122" w:lineRule="exact"/>
              <w:rPr>
                <w:sz w:val="20"/>
                <w:szCs w:val="20"/>
                <w:color w:val="auto"/>
              </w:rPr>
            </w:pPr>
            <w:r>
              <w:rPr>
                <w:rFonts w:ascii="Arial" w:cs="Arial" w:eastAsia="Arial" w:hAnsi="Arial"/>
                <w:sz w:val="9"/>
                <w:szCs w:val="9"/>
                <w:b w:val="1"/>
                <w:bCs w:val="1"/>
                <w:color w:val="FFFFFF"/>
              </w:rPr>
              <w:t>“Actually Paid”</w:t>
            </w:r>
            <w:r>
              <w:rPr>
                <w:rFonts w:ascii="Arial" w:cs="Arial" w:eastAsia="Arial" w:hAnsi="Arial"/>
                <w:sz w:val="14"/>
                <w:szCs w:val="14"/>
                <w:b w:val="1"/>
                <w:bCs w:val="1"/>
                <w:color w:val="FFFFFF"/>
                <w:vertAlign w:val="superscript"/>
              </w:rPr>
              <w:t>(3)</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FFFFFF"/>
              </w:rPr>
              <w:t>​​</w:t>
            </w:r>
          </w:p>
        </w:tc>
        <w:tc>
          <w:tcPr>
            <w:tcW w:w="80" w:type="dxa"/>
            <w:vAlign w:val="bottom"/>
            <w:vMerge w:val="restart"/>
          </w:tcPr>
          <w:p>
            <w:pPr>
              <w:spacing w:after="0"/>
              <w:rPr>
                <w:sz w:val="20"/>
                <w:szCs w:val="20"/>
                <w:color w:val="auto"/>
              </w:rPr>
            </w:pPr>
            <w:r>
              <w:rPr>
                <w:rFonts w:ascii="Arial" w:cs="Arial" w:eastAsia="Arial" w:hAnsi="Arial"/>
                <w:sz w:val="10"/>
                <w:szCs w:val="10"/>
                <w:b w:val="1"/>
                <w:bCs w:val="1"/>
                <w:color w:val="FFFFFF"/>
              </w:rPr>
              <w:t>​</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FFFFFF"/>
              </w:rPr>
              <w:t>​</w:t>
            </w: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4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FFFFFF"/>
              </w:rPr>
              <w:t>Compensation Shareholder</w:t>
            </w: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0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FFFFFF"/>
              </w:rPr>
              <w:t>​Compensation</w:t>
            </w:r>
          </w:p>
        </w:tc>
        <w:tc>
          <w:tcPr>
            <w:tcW w:w="144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spacing w:after="0" w:line="81" w:lineRule="exact"/>
              <w:rPr>
                <w:sz w:val="20"/>
                <w:szCs w:val="20"/>
                <w:color w:val="auto"/>
              </w:rPr>
            </w:pPr>
            <w:r>
              <w:rPr>
                <w:rFonts w:ascii="Arial" w:cs="Arial" w:eastAsia="Arial" w:hAnsi="Arial"/>
                <w:sz w:val="9"/>
                <w:szCs w:val="9"/>
                <w:b w:val="1"/>
                <w:bCs w:val="1"/>
                <w:color w:val="FFFFFF"/>
              </w:rPr>
              <w:t>Shareholder</w:t>
            </w: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shd w:val="clear" w:color="auto" w:fill="003763"/>
          </w:tcPr>
          <w:p>
            <w:pPr>
              <w:spacing w:after="0"/>
              <w:rPr>
                <w:sz w:val="8"/>
                <w:szCs w:val="8"/>
                <w:color w:val="auto"/>
              </w:rPr>
            </w:pPr>
          </w:p>
        </w:tc>
        <w:tc>
          <w:tcPr>
            <w:tcW w:w="400" w:type="dxa"/>
            <w:vAlign w:val="bottom"/>
            <w:shd w:val="clear" w:color="auto" w:fill="003763"/>
          </w:tcPr>
          <w:p>
            <w:pPr>
              <w:spacing w:after="0"/>
              <w:rPr>
                <w:sz w:val="8"/>
                <w:szCs w:val="8"/>
                <w:color w:val="auto"/>
              </w:rPr>
            </w:pPr>
          </w:p>
        </w:tc>
        <w:tc>
          <w:tcPr>
            <w:tcW w:w="180" w:type="dxa"/>
            <w:vAlign w:val="bottom"/>
            <w:shd w:val="clear" w:color="auto" w:fill="003763"/>
          </w:tcPr>
          <w:p>
            <w:pPr>
              <w:spacing w:after="0"/>
              <w:rPr>
                <w:sz w:val="8"/>
                <w:szCs w:val="8"/>
                <w:color w:val="auto"/>
              </w:rPr>
            </w:pPr>
          </w:p>
        </w:tc>
        <w:tc>
          <w:tcPr>
            <w:tcW w:w="420" w:type="dxa"/>
            <w:vAlign w:val="bottom"/>
            <w:shd w:val="clear" w:color="auto" w:fill="003763"/>
          </w:tcPr>
          <w:p>
            <w:pPr>
              <w:spacing w:after="0"/>
              <w:rPr>
                <w:sz w:val="8"/>
                <w:szCs w:val="8"/>
                <w:color w:val="auto"/>
              </w:rPr>
            </w:pPr>
          </w:p>
        </w:tc>
        <w:tc>
          <w:tcPr>
            <w:tcW w:w="740" w:type="dxa"/>
            <w:vAlign w:val="bottom"/>
            <w:shd w:val="clear" w:color="auto" w:fill="003763"/>
          </w:tcPr>
          <w:p>
            <w:pPr>
              <w:spacing w:after="0"/>
              <w:rPr>
                <w:sz w:val="8"/>
                <w:szCs w:val="8"/>
                <w:color w:val="auto"/>
              </w:rPr>
            </w:pPr>
          </w:p>
        </w:tc>
        <w:tc>
          <w:tcPr>
            <w:tcW w:w="560" w:type="dxa"/>
            <w:vAlign w:val="bottom"/>
            <w:shd w:val="clear" w:color="auto" w:fill="003763"/>
          </w:tcPr>
          <w:p>
            <w:pPr>
              <w:spacing w:after="0"/>
              <w:rPr>
                <w:sz w:val="8"/>
                <w:szCs w:val="8"/>
                <w:color w:val="auto"/>
              </w:rPr>
            </w:pPr>
          </w:p>
        </w:tc>
        <w:tc>
          <w:tcPr>
            <w:tcW w:w="20" w:type="dxa"/>
            <w:vAlign w:val="bottom"/>
            <w:shd w:val="clear" w:color="auto" w:fill="003763"/>
          </w:tcPr>
          <w:p>
            <w:pPr>
              <w:spacing w:after="0"/>
              <w:rPr>
                <w:sz w:val="8"/>
                <w:szCs w:val="8"/>
                <w:color w:val="auto"/>
              </w:rPr>
            </w:pPr>
          </w:p>
        </w:tc>
        <w:tc>
          <w:tcPr>
            <w:tcW w:w="80" w:type="dxa"/>
            <w:vAlign w:val="bottom"/>
            <w:shd w:val="clear" w:color="auto" w:fill="003763"/>
          </w:tcPr>
          <w:p>
            <w:pPr>
              <w:spacing w:after="0"/>
              <w:rPr>
                <w:sz w:val="8"/>
                <w:szCs w:val="8"/>
                <w:color w:val="auto"/>
              </w:rPr>
            </w:pPr>
          </w:p>
        </w:tc>
        <w:tc>
          <w:tcPr>
            <w:tcW w:w="440" w:type="dxa"/>
            <w:vAlign w:val="bottom"/>
            <w:shd w:val="clear" w:color="auto" w:fill="003763"/>
          </w:tcPr>
          <w:p>
            <w:pPr>
              <w:spacing w:after="0"/>
              <w:rPr>
                <w:sz w:val="8"/>
                <w:szCs w:val="8"/>
                <w:color w:val="auto"/>
              </w:rPr>
            </w:pPr>
          </w:p>
        </w:tc>
        <w:tc>
          <w:tcPr>
            <w:tcW w:w="180" w:type="dxa"/>
            <w:vAlign w:val="bottom"/>
            <w:shd w:val="clear" w:color="auto" w:fill="003763"/>
          </w:tcPr>
          <w:p>
            <w:pPr>
              <w:spacing w:after="0"/>
              <w:rPr>
                <w:sz w:val="8"/>
                <w:szCs w:val="8"/>
                <w:color w:val="auto"/>
              </w:rPr>
            </w:pPr>
          </w:p>
        </w:tc>
        <w:tc>
          <w:tcPr>
            <w:tcW w:w="420" w:type="dxa"/>
            <w:vAlign w:val="bottom"/>
            <w:shd w:val="clear" w:color="auto" w:fill="003763"/>
          </w:tcPr>
          <w:p>
            <w:pPr>
              <w:spacing w:after="0"/>
              <w:rPr>
                <w:sz w:val="8"/>
                <w:szCs w:val="8"/>
                <w:color w:val="auto"/>
              </w:rPr>
            </w:pPr>
          </w:p>
        </w:tc>
        <w:tc>
          <w:tcPr>
            <w:tcW w:w="760" w:type="dxa"/>
            <w:vAlign w:val="bottom"/>
            <w:shd w:val="clear" w:color="auto" w:fill="003763"/>
          </w:tcPr>
          <w:p>
            <w:pPr>
              <w:spacing w:after="0"/>
              <w:rPr>
                <w:sz w:val="8"/>
                <w:szCs w:val="8"/>
                <w:color w:val="auto"/>
              </w:rPr>
            </w:pPr>
          </w:p>
        </w:tc>
        <w:tc>
          <w:tcPr>
            <w:tcW w:w="600" w:type="dxa"/>
            <w:vAlign w:val="bottom"/>
            <w:tcBorders>
              <w:right w:val="single" w:sz="8" w:color="003763"/>
            </w:tcBorders>
            <w:shd w:val="clear" w:color="auto" w:fill="003763"/>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ind w:right="28"/>
              <w:spacing w:after="0" w:line="95" w:lineRule="exact"/>
              <w:rPr>
                <w:sz w:val="20"/>
                <w:szCs w:val="20"/>
                <w:color w:val="auto"/>
              </w:rPr>
            </w:pPr>
            <w:r>
              <w:rPr>
                <w:rFonts w:ascii="Arial" w:cs="Arial" w:eastAsia="Arial" w:hAnsi="Arial"/>
                <w:sz w:val="10"/>
                <w:szCs w:val="10"/>
                <w:b w:val="1"/>
                <w:bCs w:val="1"/>
                <w:color w:val="FFFFFF"/>
              </w:rPr>
              <w:t>Table Total</w:t>
            </w:r>
          </w:p>
        </w:tc>
        <w:tc>
          <w:tcPr>
            <w:tcW w:w="120" w:type="dxa"/>
            <w:vAlign w:val="bottom"/>
          </w:tcPr>
          <w:p>
            <w:pPr>
              <w:spacing w:after="0"/>
              <w:rPr>
                <w:sz w:val="8"/>
                <w:szCs w:val="8"/>
                <w:color w:val="auto"/>
              </w:rPr>
            </w:pPr>
          </w:p>
        </w:tc>
        <w:tc>
          <w:tcPr>
            <w:tcW w:w="580" w:type="dxa"/>
            <w:vAlign w:val="bottom"/>
          </w:tcPr>
          <w:p>
            <w:pPr>
              <w:jc w:val="center"/>
              <w:spacing w:after="0" w:line="95" w:lineRule="exact"/>
              <w:rPr>
                <w:sz w:val="20"/>
                <w:szCs w:val="20"/>
                <w:color w:val="auto"/>
              </w:rPr>
            </w:pPr>
            <w:r>
              <w:rPr>
                <w:rFonts w:ascii="Arial" w:cs="Arial" w:eastAsia="Arial" w:hAnsi="Arial"/>
                <w:sz w:val="10"/>
                <w:szCs w:val="10"/>
                <w:b w:val="1"/>
                <w:bCs w:val="1"/>
                <w:color w:val="FFFFFF"/>
              </w:rPr>
              <w:t>“Actually</w:t>
            </w:r>
          </w:p>
        </w:tc>
        <w:tc>
          <w:tcPr>
            <w:tcW w:w="140" w:type="dxa"/>
            <w:vAlign w:val="bottom"/>
          </w:tcPr>
          <w:p>
            <w:pPr>
              <w:spacing w:after="0"/>
              <w:rPr>
                <w:sz w:val="8"/>
                <w:szCs w:val="8"/>
                <w:color w:val="auto"/>
              </w:rPr>
            </w:pPr>
          </w:p>
        </w:tc>
        <w:tc>
          <w:tcPr>
            <w:tcW w:w="600" w:type="dxa"/>
            <w:vAlign w:val="bottom"/>
          </w:tcPr>
          <w:p>
            <w:pPr>
              <w:jc w:val="center"/>
              <w:ind w:right="9"/>
              <w:spacing w:after="0" w:line="95" w:lineRule="exact"/>
              <w:rPr>
                <w:sz w:val="20"/>
                <w:szCs w:val="20"/>
                <w:color w:val="auto"/>
              </w:rPr>
            </w:pPr>
            <w:r>
              <w:rPr>
                <w:rFonts w:ascii="Arial" w:cs="Arial" w:eastAsia="Arial" w:hAnsi="Arial"/>
                <w:sz w:val="10"/>
                <w:szCs w:val="10"/>
                <w:b w:val="1"/>
                <w:bCs w:val="1"/>
                <w:color w:val="FFFFFF"/>
              </w:rPr>
              <w:t>Return</w:t>
            </w:r>
          </w:p>
        </w:tc>
        <w:tc>
          <w:tcPr>
            <w:tcW w:w="60" w:type="dxa"/>
            <w:vAlign w:val="bottom"/>
          </w:tcPr>
          <w:p>
            <w:pPr>
              <w:spacing w:after="0"/>
              <w:rPr>
                <w:sz w:val="8"/>
                <w:szCs w:val="8"/>
                <w:color w:val="auto"/>
              </w:rPr>
            </w:pPr>
          </w:p>
        </w:tc>
        <w:tc>
          <w:tcPr>
            <w:tcW w:w="640" w:type="dxa"/>
            <w:vAlign w:val="bottom"/>
          </w:tcPr>
          <w:p>
            <w:pPr>
              <w:jc w:val="center"/>
              <w:spacing w:after="0" w:line="95" w:lineRule="exact"/>
              <w:rPr>
                <w:sz w:val="20"/>
                <w:szCs w:val="20"/>
                <w:color w:val="auto"/>
              </w:rPr>
            </w:pPr>
            <w:r>
              <w:rPr>
                <w:rFonts w:ascii="Arial" w:cs="Arial" w:eastAsia="Arial" w:hAnsi="Arial"/>
                <w:sz w:val="10"/>
                <w:szCs w:val="10"/>
                <w:b w:val="1"/>
                <w:bCs w:val="1"/>
                <w:color w:val="FFFFFF"/>
              </w:rPr>
              <w:t>Return</w:t>
            </w:r>
          </w:p>
        </w:tc>
        <w:tc>
          <w:tcPr>
            <w:tcW w:w="0" w:type="dxa"/>
            <w:vAlign w:val="bottom"/>
          </w:tcPr>
          <w:p>
            <w:pPr>
              <w:spacing w:after="0"/>
              <w:rPr>
                <w:sz w:val="1"/>
                <w:szCs w:val="1"/>
                <w:color w:val="auto"/>
              </w:rPr>
            </w:pPr>
          </w:p>
        </w:tc>
      </w:tr>
      <w:tr>
        <w:trPr>
          <w:trHeight w:val="135"/>
        </w:trPr>
        <w:tc>
          <w:tcPr>
            <w:tcW w:w="60" w:type="dxa"/>
            <w:vAlign w:val="bottom"/>
            <w:vMerge w:val="restart"/>
          </w:tcPr>
          <w:p>
            <w:pPr>
              <w:ind w:left="40"/>
              <w:spacing w:after="0"/>
              <w:rPr>
                <w:sz w:val="20"/>
                <w:szCs w:val="20"/>
                <w:color w:val="auto"/>
              </w:rPr>
            </w:pPr>
            <w:r>
              <w:rPr>
                <w:rFonts w:ascii="Arial" w:cs="Arial" w:eastAsia="Arial" w:hAnsi="Arial"/>
                <w:sz w:val="1"/>
                <w:szCs w:val="1"/>
                <w:b w:val="1"/>
                <w:bCs w:val="1"/>
                <w:color w:val="FFFFFF"/>
                <w:w w:val="4294942296"/>
              </w:rPr>
              <w:t>​</w:t>
            </w:r>
          </w:p>
        </w:tc>
        <w:tc>
          <w:tcPr>
            <w:tcW w:w="240" w:type="dxa"/>
            <w:vAlign w:val="bottom"/>
          </w:tcPr>
          <w:p>
            <w:pPr>
              <w:ind w:left="20"/>
              <w:spacing w:after="0"/>
              <w:rPr>
                <w:sz w:val="20"/>
                <w:szCs w:val="20"/>
                <w:color w:val="auto"/>
              </w:rPr>
            </w:pPr>
            <w:r>
              <w:rPr>
                <w:rFonts w:ascii="Arial" w:cs="Arial" w:eastAsia="Arial" w:hAnsi="Arial"/>
                <w:sz w:val="10"/>
                <w:szCs w:val="10"/>
                <w:b w:val="1"/>
                <w:bCs w:val="1"/>
                <w:color w:val="FFFFFF"/>
                <w:w w:val="92"/>
              </w:rPr>
              <w:t>Year</w:t>
            </w:r>
          </w:p>
        </w:tc>
        <w:tc>
          <w:tcPr>
            <w:tcW w:w="80" w:type="dxa"/>
            <w:vAlign w:val="bottom"/>
            <w:vMerge w:val="restart"/>
            <w:shd w:val="clear" w:color="auto" w:fill="003763"/>
          </w:tcPr>
          <w:p>
            <w:pPr>
              <w:spacing w:after="0"/>
              <w:rPr>
                <w:sz w:val="20"/>
                <w:szCs w:val="20"/>
                <w:color w:val="auto"/>
              </w:rPr>
            </w:pPr>
            <w:r>
              <w:rPr>
                <w:rFonts w:ascii="Arial" w:cs="Arial" w:eastAsia="Arial" w:hAnsi="Arial"/>
                <w:sz w:val="10"/>
                <w:szCs w:val="10"/>
                <w:b w:val="1"/>
                <w:bCs w:val="1"/>
                <w:color w:val="FFFFFF"/>
              </w:rPr>
              <w:t>​</w:t>
            </w:r>
          </w:p>
        </w:tc>
        <w:tc>
          <w:tcPr>
            <w:tcW w:w="400" w:type="dxa"/>
            <w:vAlign w:val="bottom"/>
            <w:shd w:val="clear" w:color="auto" w:fill="003763"/>
          </w:tcPr>
          <w:p>
            <w:pPr>
              <w:ind w:left="60"/>
              <w:spacing w:after="0"/>
              <w:rPr>
                <w:sz w:val="20"/>
                <w:szCs w:val="20"/>
                <w:color w:val="auto"/>
              </w:rPr>
            </w:pPr>
            <w:r>
              <w:rPr>
                <w:rFonts w:ascii="Arial" w:cs="Arial" w:eastAsia="Arial" w:hAnsi="Arial"/>
                <w:sz w:val="10"/>
                <w:szCs w:val="10"/>
                <w:b w:val="1"/>
                <w:bCs w:val="1"/>
                <w:color w:val="FFFFFF"/>
              </w:rPr>
              <w:t>Wells</w:t>
            </w:r>
          </w:p>
        </w:tc>
        <w:tc>
          <w:tcPr>
            <w:tcW w:w="180" w:type="dxa"/>
            <w:vAlign w:val="bottom"/>
            <w:vMerge w:val="restart"/>
            <w:shd w:val="clear" w:color="auto" w:fill="003763"/>
          </w:tcPr>
          <w:p>
            <w:pPr>
              <w:ind w:left="80"/>
              <w:spacing w:after="0"/>
              <w:rPr>
                <w:sz w:val="20"/>
                <w:szCs w:val="20"/>
                <w:color w:val="auto"/>
              </w:rPr>
            </w:pPr>
            <w:r>
              <w:rPr>
                <w:rFonts w:ascii="Arial" w:cs="Arial" w:eastAsia="Arial" w:hAnsi="Arial"/>
                <w:sz w:val="10"/>
                <w:szCs w:val="10"/>
                <w:b w:val="1"/>
                <w:bCs w:val="1"/>
                <w:color w:val="FFFFFF"/>
              </w:rPr>
              <w:t>​</w:t>
            </w:r>
          </w:p>
        </w:tc>
        <w:tc>
          <w:tcPr>
            <w:tcW w:w="420" w:type="dxa"/>
            <w:vAlign w:val="bottom"/>
            <w:shd w:val="clear" w:color="auto" w:fill="003763"/>
          </w:tcPr>
          <w:p>
            <w:pPr>
              <w:ind w:left="60"/>
              <w:spacing w:after="0"/>
              <w:rPr>
                <w:sz w:val="20"/>
                <w:szCs w:val="20"/>
                <w:color w:val="auto"/>
              </w:rPr>
            </w:pPr>
            <w:r>
              <w:rPr>
                <w:rFonts w:ascii="Arial" w:cs="Arial" w:eastAsia="Arial" w:hAnsi="Arial"/>
                <w:sz w:val="10"/>
                <w:szCs w:val="10"/>
                <w:b w:val="1"/>
                <w:bCs w:val="1"/>
                <w:color w:val="FFFFFF"/>
              </w:rPr>
              <w:t>Lesar</w:t>
            </w:r>
          </w:p>
        </w:tc>
        <w:tc>
          <w:tcPr>
            <w:tcW w:w="1300" w:type="dxa"/>
            <w:vAlign w:val="bottom"/>
            <w:gridSpan w:val="2"/>
            <w:shd w:val="clear" w:color="auto" w:fill="003763"/>
          </w:tcPr>
          <w:p>
            <w:pPr>
              <w:ind w:left="100"/>
              <w:spacing w:after="0"/>
              <w:rPr>
                <w:sz w:val="20"/>
                <w:szCs w:val="20"/>
                <w:color w:val="auto"/>
              </w:rPr>
            </w:pPr>
            <w:r>
              <w:rPr>
                <w:rFonts w:ascii="Arial" w:cs="Arial" w:eastAsia="Arial" w:hAnsi="Arial"/>
                <w:sz w:val="10"/>
                <w:szCs w:val="10"/>
                <w:b w:val="1"/>
                <w:bCs w:val="1"/>
                <w:color w:val="FFFFFF"/>
              </w:rPr>
              <w:t>Somerhalder Prochazka</w:t>
            </w:r>
          </w:p>
        </w:tc>
        <w:tc>
          <w:tcPr>
            <w:tcW w:w="100" w:type="dxa"/>
            <w:vAlign w:val="bottom"/>
            <w:gridSpan w:val="2"/>
            <w:vMerge w:val="restart"/>
            <w:shd w:val="clear" w:color="auto" w:fill="003763"/>
          </w:tcPr>
          <w:p>
            <w:pPr>
              <w:ind w:left="20"/>
              <w:spacing w:after="0"/>
              <w:rPr>
                <w:sz w:val="20"/>
                <w:szCs w:val="20"/>
                <w:color w:val="auto"/>
              </w:rPr>
            </w:pPr>
            <w:r>
              <w:rPr>
                <w:rFonts w:ascii="Arial" w:cs="Arial" w:eastAsia="Arial" w:hAnsi="Arial"/>
                <w:sz w:val="10"/>
                <w:szCs w:val="10"/>
                <w:b w:val="1"/>
                <w:bCs w:val="1"/>
                <w:color w:val="FFFFFF"/>
              </w:rPr>
              <w:t>​</w:t>
            </w:r>
          </w:p>
        </w:tc>
        <w:tc>
          <w:tcPr>
            <w:tcW w:w="440" w:type="dxa"/>
            <w:vAlign w:val="bottom"/>
            <w:shd w:val="clear" w:color="auto" w:fill="003763"/>
          </w:tcPr>
          <w:p>
            <w:pPr>
              <w:ind w:left="80"/>
              <w:spacing w:after="0"/>
              <w:rPr>
                <w:sz w:val="20"/>
                <w:szCs w:val="20"/>
                <w:color w:val="auto"/>
              </w:rPr>
            </w:pPr>
            <w:r>
              <w:rPr>
                <w:rFonts w:ascii="Arial" w:cs="Arial" w:eastAsia="Arial" w:hAnsi="Arial"/>
                <w:sz w:val="10"/>
                <w:szCs w:val="10"/>
                <w:b w:val="1"/>
                <w:bCs w:val="1"/>
                <w:color w:val="FFFFFF"/>
              </w:rPr>
              <w:t>Wells</w:t>
            </w:r>
          </w:p>
        </w:tc>
        <w:tc>
          <w:tcPr>
            <w:tcW w:w="180" w:type="dxa"/>
            <w:vAlign w:val="bottom"/>
            <w:vMerge w:val="restart"/>
            <w:shd w:val="clear" w:color="auto" w:fill="003763"/>
          </w:tcPr>
          <w:p>
            <w:pPr>
              <w:ind w:left="80"/>
              <w:spacing w:after="0"/>
              <w:rPr>
                <w:sz w:val="20"/>
                <w:szCs w:val="20"/>
                <w:color w:val="auto"/>
              </w:rPr>
            </w:pPr>
            <w:r>
              <w:rPr>
                <w:rFonts w:ascii="Arial" w:cs="Arial" w:eastAsia="Arial" w:hAnsi="Arial"/>
                <w:sz w:val="10"/>
                <w:szCs w:val="10"/>
                <w:b w:val="1"/>
                <w:bCs w:val="1"/>
                <w:color w:val="FFFFFF"/>
              </w:rPr>
              <w:t>​</w:t>
            </w:r>
          </w:p>
        </w:tc>
        <w:tc>
          <w:tcPr>
            <w:tcW w:w="420" w:type="dxa"/>
            <w:vAlign w:val="bottom"/>
            <w:shd w:val="clear" w:color="auto" w:fill="003763"/>
          </w:tcPr>
          <w:p>
            <w:pPr>
              <w:ind w:left="60"/>
              <w:spacing w:after="0"/>
              <w:rPr>
                <w:sz w:val="20"/>
                <w:szCs w:val="20"/>
                <w:color w:val="auto"/>
              </w:rPr>
            </w:pPr>
            <w:r>
              <w:rPr>
                <w:rFonts w:ascii="Arial" w:cs="Arial" w:eastAsia="Arial" w:hAnsi="Arial"/>
                <w:sz w:val="10"/>
                <w:szCs w:val="10"/>
                <w:b w:val="1"/>
                <w:bCs w:val="1"/>
                <w:color w:val="FFFFFF"/>
              </w:rPr>
              <w:t>Lesar</w:t>
            </w:r>
          </w:p>
        </w:tc>
        <w:tc>
          <w:tcPr>
            <w:tcW w:w="760" w:type="dxa"/>
            <w:vAlign w:val="bottom"/>
            <w:shd w:val="clear" w:color="auto" w:fill="003763"/>
          </w:tcPr>
          <w:p>
            <w:pPr>
              <w:ind w:left="100"/>
              <w:spacing w:after="0"/>
              <w:rPr>
                <w:sz w:val="20"/>
                <w:szCs w:val="20"/>
                <w:color w:val="auto"/>
              </w:rPr>
            </w:pPr>
            <w:r>
              <w:rPr>
                <w:rFonts w:ascii="Arial" w:cs="Arial" w:eastAsia="Arial" w:hAnsi="Arial"/>
                <w:sz w:val="10"/>
                <w:szCs w:val="10"/>
                <w:b w:val="1"/>
                <w:bCs w:val="1"/>
                <w:color w:val="FFFFFF"/>
              </w:rPr>
              <w:t>Somerhalder</w:t>
            </w:r>
          </w:p>
        </w:tc>
        <w:tc>
          <w:tcPr>
            <w:tcW w:w="600" w:type="dxa"/>
            <w:vAlign w:val="bottom"/>
            <w:tcBorders>
              <w:right w:val="single" w:sz="8" w:color="003763"/>
            </w:tcBorders>
            <w:shd w:val="clear" w:color="auto" w:fill="003763"/>
          </w:tcPr>
          <w:p>
            <w:pPr>
              <w:ind w:left="40"/>
              <w:spacing w:after="0"/>
              <w:rPr>
                <w:sz w:val="20"/>
                <w:szCs w:val="20"/>
                <w:color w:val="auto"/>
              </w:rPr>
            </w:pPr>
            <w:r>
              <w:rPr>
                <w:rFonts w:ascii="Arial" w:cs="Arial" w:eastAsia="Arial" w:hAnsi="Arial"/>
                <w:sz w:val="10"/>
                <w:szCs w:val="10"/>
                <w:b w:val="1"/>
                <w:bCs w:val="1"/>
                <w:color w:val="FFFFFF"/>
              </w:rPr>
              <w:t>Prochazka</w:t>
            </w: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FFFFFF"/>
              </w:rPr>
              <w:t>Compensation</w:t>
            </w:r>
          </w:p>
        </w:tc>
        <w:tc>
          <w:tcPr>
            <w:tcW w:w="120" w:type="dxa"/>
            <w:vAlign w:val="bottom"/>
            <w:vMerge w:val="restart"/>
          </w:tcPr>
          <w:p>
            <w:pPr>
              <w:jc w:val="center"/>
              <w:spacing w:after="0"/>
              <w:rPr>
                <w:sz w:val="20"/>
                <w:szCs w:val="20"/>
                <w:color w:val="auto"/>
              </w:rPr>
            </w:pPr>
            <w:r>
              <w:rPr>
                <w:rFonts w:ascii="Arial" w:cs="Arial" w:eastAsia="Arial" w:hAnsi="Arial"/>
                <w:sz w:val="10"/>
                <w:szCs w:val="10"/>
                <w:b w:val="1"/>
                <w:bCs w:val="1"/>
                <w:color w:val="FFFFFF"/>
              </w:rPr>
              <w:t>​​</w:t>
            </w:r>
          </w:p>
        </w:tc>
        <w:tc>
          <w:tcPr>
            <w:tcW w:w="580" w:type="dxa"/>
            <w:vAlign w:val="bottom"/>
          </w:tcPr>
          <w:p>
            <w:pPr>
              <w:jc w:val="center"/>
              <w:spacing w:after="0" w:line="135" w:lineRule="exact"/>
              <w:rPr>
                <w:sz w:val="20"/>
                <w:szCs w:val="20"/>
                <w:color w:val="auto"/>
              </w:rPr>
            </w:pPr>
            <w:r>
              <w:rPr>
                <w:rFonts w:ascii="Arial" w:cs="Arial" w:eastAsia="Arial" w:hAnsi="Arial"/>
                <w:sz w:val="10"/>
                <w:szCs w:val="10"/>
                <w:b w:val="1"/>
                <w:bCs w:val="1"/>
                <w:color w:val="FFFFFF"/>
                <w:w w:val="98"/>
              </w:rPr>
              <w:t>Paid”</w:t>
            </w:r>
            <w:r>
              <w:rPr>
                <w:rFonts w:ascii="Arial" w:cs="Arial" w:eastAsia="Arial" w:hAnsi="Arial"/>
                <w:sz w:val="15"/>
                <w:szCs w:val="15"/>
                <w:b w:val="1"/>
                <w:bCs w:val="1"/>
                <w:color w:val="FFFFFF"/>
                <w:w w:val="98"/>
                <w:vertAlign w:val="superscript"/>
              </w:rPr>
              <w:t>(3)</w:t>
            </w:r>
          </w:p>
        </w:tc>
        <w:tc>
          <w:tcPr>
            <w:tcW w:w="140" w:type="dxa"/>
            <w:vAlign w:val="bottom"/>
            <w:vMerge w:val="restart"/>
          </w:tcPr>
          <w:p>
            <w:pPr>
              <w:ind w:left="100"/>
              <w:spacing w:after="0"/>
              <w:rPr>
                <w:sz w:val="20"/>
                <w:szCs w:val="20"/>
                <w:color w:val="auto"/>
              </w:rPr>
            </w:pPr>
            <w:r>
              <w:rPr>
                <w:rFonts w:ascii="Arial" w:cs="Arial" w:eastAsia="Arial" w:hAnsi="Arial"/>
                <w:sz w:val="10"/>
                <w:szCs w:val="10"/>
                <w:b w:val="1"/>
                <w:bCs w:val="1"/>
                <w:color w:val="FFFFFF"/>
              </w:rPr>
              <w:t>​​</w:t>
            </w:r>
          </w:p>
        </w:tc>
        <w:tc>
          <w:tcPr>
            <w:tcW w:w="600" w:type="dxa"/>
            <w:vAlign w:val="bottom"/>
          </w:tcPr>
          <w:p>
            <w:pPr>
              <w:jc w:val="center"/>
              <w:spacing w:after="0" w:line="135" w:lineRule="exact"/>
              <w:rPr>
                <w:sz w:val="20"/>
                <w:szCs w:val="20"/>
                <w:color w:val="auto"/>
              </w:rPr>
            </w:pPr>
            <w:r>
              <w:rPr>
                <w:rFonts w:ascii="Arial" w:cs="Arial" w:eastAsia="Arial" w:hAnsi="Arial"/>
                <w:sz w:val="10"/>
                <w:szCs w:val="10"/>
                <w:b w:val="1"/>
                <w:bCs w:val="1"/>
                <w:color w:val="FFFFFF"/>
                <w:w w:val="97"/>
              </w:rPr>
              <w:t>(TSR)</w:t>
            </w:r>
            <w:r>
              <w:rPr>
                <w:rFonts w:ascii="Arial" w:cs="Arial" w:eastAsia="Arial" w:hAnsi="Arial"/>
                <w:sz w:val="15"/>
                <w:szCs w:val="15"/>
                <w:b w:val="1"/>
                <w:bCs w:val="1"/>
                <w:color w:val="FFFFFF"/>
                <w:w w:val="97"/>
                <w:vertAlign w:val="superscript"/>
              </w:rPr>
              <w:t>(4)</w:t>
            </w:r>
          </w:p>
        </w:tc>
        <w:tc>
          <w:tcPr>
            <w:tcW w:w="60" w:type="dxa"/>
            <w:vAlign w:val="bottom"/>
            <w:vMerge w:val="restart"/>
          </w:tcPr>
          <w:p>
            <w:pPr>
              <w:jc w:val="center"/>
              <w:spacing w:after="0"/>
              <w:rPr>
                <w:sz w:val="20"/>
                <w:szCs w:val="20"/>
                <w:color w:val="auto"/>
              </w:rPr>
            </w:pPr>
            <w:r>
              <w:rPr>
                <w:rFonts w:ascii="Arial" w:cs="Arial" w:eastAsia="Arial" w:hAnsi="Arial"/>
                <w:sz w:val="10"/>
                <w:szCs w:val="10"/>
                <w:b w:val="1"/>
                <w:bCs w:val="1"/>
                <w:color w:val="FFFFFF"/>
              </w:rPr>
              <w:t>​​</w:t>
            </w:r>
          </w:p>
        </w:tc>
        <w:tc>
          <w:tcPr>
            <w:tcW w:w="640" w:type="dxa"/>
            <w:vAlign w:val="bottom"/>
          </w:tcPr>
          <w:p>
            <w:pPr>
              <w:ind w:left="140"/>
              <w:spacing w:after="0" w:line="135" w:lineRule="exact"/>
              <w:rPr>
                <w:sz w:val="20"/>
                <w:szCs w:val="20"/>
                <w:color w:val="auto"/>
              </w:rPr>
            </w:pPr>
            <w:r>
              <w:rPr>
                <w:rFonts w:ascii="Arial" w:cs="Arial" w:eastAsia="Arial" w:hAnsi="Arial"/>
                <w:sz w:val="10"/>
                <w:szCs w:val="10"/>
                <w:b w:val="1"/>
                <w:bCs w:val="1"/>
                <w:color w:val="FFFFFF"/>
              </w:rPr>
              <w:t>(TSR)</w:t>
            </w:r>
            <w:r>
              <w:rPr>
                <w:rFonts w:ascii="Arial" w:cs="Arial" w:eastAsia="Arial" w:hAnsi="Arial"/>
                <w:sz w:val="15"/>
                <w:szCs w:val="15"/>
                <w:b w:val="1"/>
                <w:bCs w:val="1"/>
                <w:color w:val="FFFFFF"/>
                <w:vertAlign w:val="superscript"/>
              </w:rPr>
              <w:t>(4)</w:t>
            </w:r>
          </w:p>
        </w:tc>
        <w:tc>
          <w:tcPr>
            <w:tcW w:w="0" w:type="dxa"/>
            <w:vAlign w:val="bottom"/>
          </w:tcPr>
          <w:p>
            <w:pPr>
              <w:spacing w:after="0"/>
              <w:rPr>
                <w:sz w:val="1"/>
                <w:szCs w:val="1"/>
                <w:color w:val="auto"/>
              </w:rPr>
            </w:pPr>
          </w:p>
        </w:tc>
      </w:tr>
      <w:tr>
        <w:trPr>
          <w:trHeight w:val="81"/>
        </w:trPr>
        <w:tc>
          <w:tcPr>
            <w:tcW w:w="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shd w:val="clear" w:color="auto" w:fill="003763"/>
          </w:tcPr>
          <w:p>
            <w:pPr>
              <w:spacing w:after="0"/>
              <w:rPr>
                <w:sz w:val="7"/>
                <w:szCs w:val="7"/>
                <w:color w:val="auto"/>
              </w:rPr>
            </w:pPr>
          </w:p>
        </w:tc>
        <w:tc>
          <w:tcPr>
            <w:tcW w:w="400" w:type="dxa"/>
            <w:vAlign w:val="bottom"/>
            <w:shd w:val="clear" w:color="auto" w:fill="003763"/>
          </w:tcPr>
          <w:p>
            <w:pPr>
              <w:spacing w:after="0"/>
              <w:rPr>
                <w:sz w:val="7"/>
                <w:szCs w:val="7"/>
                <w:color w:val="auto"/>
              </w:rPr>
            </w:pPr>
          </w:p>
        </w:tc>
        <w:tc>
          <w:tcPr>
            <w:tcW w:w="180" w:type="dxa"/>
            <w:vAlign w:val="bottom"/>
            <w:vMerge w:val="continue"/>
            <w:shd w:val="clear" w:color="auto" w:fill="003763"/>
          </w:tcPr>
          <w:p>
            <w:pPr>
              <w:spacing w:after="0"/>
              <w:rPr>
                <w:sz w:val="7"/>
                <w:szCs w:val="7"/>
                <w:color w:val="auto"/>
              </w:rPr>
            </w:pPr>
          </w:p>
        </w:tc>
        <w:tc>
          <w:tcPr>
            <w:tcW w:w="420" w:type="dxa"/>
            <w:vAlign w:val="bottom"/>
            <w:shd w:val="clear" w:color="auto" w:fill="003763"/>
          </w:tcPr>
          <w:p>
            <w:pPr>
              <w:spacing w:after="0"/>
              <w:rPr>
                <w:sz w:val="7"/>
                <w:szCs w:val="7"/>
                <w:color w:val="auto"/>
              </w:rPr>
            </w:pPr>
          </w:p>
        </w:tc>
        <w:tc>
          <w:tcPr>
            <w:tcW w:w="740" w:type="dxa"/>
            <w:vAlign w:val="bottom"/>
            <w:shd w:val="clear" w:color="auto" w:fill="003763"/>
          </w:tcPr>
          <w:p>
            <w:pPr>
              <w:jc w:val="center"/>
              <w:ind w:right="490"/>
              <w:spacing w:after="0" w:line="81" w:lineRule="exact"/>
              <w:rPr>
                <w:sz w:val="20"/>
                <w:szCs w:val="20"/>
                <w:color w:val="auto"/>
              </w:rPr>
            </w:pPr>
            <w:r>
              <w:rPr>
                <w:rFonts w:ascii="Arial" w:cs="Arial" w:eastAsia="Arial" w:hAnsi="Arial"/>
                <w:sz w:val="9"/>
                <w:szCs w:val="9"/>
                <w:b w:val="1"/>
                <w:bCs w:val="1"/>
                <w:color w:val="FFFFFF"/>
              </w:rPr>
              <w:t>​</w:t>
            </w:r>
          </w:p>
        </w:tc>
        <w:tc>
          <w:tcPr>
            <w:tcW w:w="560" w:type="dxa"/>
            <w:vAlign w:val="bottom"/>
            <w:shd w:val="clear" w:color="auto" w:fill="003763"/>
          </w:tcPr>
          <w:p>
            <w:pPr>
              <w:ind w:left="20"/>
              <w:spacing w:after="0" w:line="81" w:lineRule="exact"/>
              <w:rPr>
                <w:sz w:val="20"/>
                <w:szCs w:val="20"/>
                <w:color w:val="auto"/>
              </w:rPr>
            </w:pPr>
            <w:r>
              <w:rPr>
                <w:rFonts w:ascii="Arial" w:cs="Arial" w:eastAsia="Arial" w:hAnsi="Arial"/>
                <w:sz w:val="9"/>
                <w:szCs w:val="9"/>
                <w:b w:val="1"/>
                <w:bCs w:val="1"/>
                <w:color w:val="FFFFFF"/>
              </w:rPr>
              <w:t>​</w:t>
            </w:r>
          </w:p>
        </w:tc>
        <w:tc>
          <w:tcPr>
            <w:tcW w:w="100" w:type="dxa"/>
            <w:vAlign w:val="bottom"/>
            <w:gridSpan w:val="2"/>
            <w:vMerge w:val="continue"/>
            <w:shd w:val="clear" w:color="auto" w:fill="003763"/>
          </w:tcPr>
          <w:p>
            <w:pPr>
              <w:spacing w:after="0"/>
              <w:rPr>
                <w:sz w:val="7"/>
                <w:szCs w:val="7"/>
                <w:color w:val="auto"/>
              </w:rPr>
            </w:pPr>
          </w:p>
        </w:tc>
        <w:tc>
          <w:tcPr>
            <w:tcW w:w="440" w:type="dxa"/>
            <w:vAlign w:val="bottom"/>
            <w:shd w:val="clear" w:color="auto" w:fill="003763"/>
          </w:tcPr>
          <w:p>
            <w:pPr>
              <w:spacing w:after="0"/>
              <w:rPr>
                <w:sz w:val="7"/>
                <w:szCs w:val="7"/>
                <w:color w:val="auto"/>
              </w:rPr>
            </w:pPr>
          </w:p>
        </w:tc>
        <w:tc>
          <w:tcPr>
            <w:tcW w:w="180" w:type="dxa"/>
            <w:vAlign w:val="bottom"/>
            <w:vMerge w:val="continue"/>
            <w:shd w:val="clear" w:color="auto" w:fill="003763"/>
          </w:tcPr>
          <w:p>
            <w:pPr>
              <w:spacing w:after="0"/>
              <w:rPr>
                <w:sz w:val="7"/>
                <w:szCs w:val="7"/>
                <w:color w:val="auto"/>
              </w:rPr>
            </w:pPr>
          </w:p>
        </w:tc>
        <w:tc>
          <w:tcPr>
            <w:tcW w:w="420" w:type="dxa"/>
            <w:vAlign w:val="bottom"/>
            <w:shd w:val="clear" w:color="auto" w:fill="003763"/>
          </w:tcPr>
          <w:p>
            <w:pPr>
              <w:spacing w:after="0"/>
              <w:rPr>
                <w:sz w:val="7"/>
                <w:szCs w:val="7"/>
                <w:color w:val="auto"/>
              </w:rPr>
            </w:pPr>
          </w:p>
        </w:tc>
        <w:tc>
          <w:tcPr>
            <w:tcW w:w="760" w:type="dxa"/>
            <w:vAlign w:val="bottom"/>
            <w:shd w:val="clear" w:color="auto" w:fill="003763"/>
          </w:tcPr>
          <w:p>
            <w:pPr>
              <w:jc w:val="center"/>
              <w:ind w:right="510"/>
              <w:spacing w:after="0" w:line="81" w:lineRule="exact"/>
              <w:rPr>
                <w:sz w:val="20"/>
                <w:szCs w:val="20"/>
                <w:color w:val="auto"/>
              </w:rPr>
            </w:pPr>
            <w:r>
              <w:rPr>
                <w:rFonts w:ascii="Arial" w:cs="Arial" w:eastAsia="Arial" w:hAnsi="Arial"/>
                <w:sz w:val="9"/>
                <w:szCs w:val="9"/>
                <w:b w:val="1"/>
                <w:bCs w:val="1"/>
                <w:color w:val="FFFFFF"/>
              </w:rPr>
              <w:t>​</w:t>
            </w:r>
          </w:p>
        </w:tc>
        <w:tc>
          <w:tcPr>
            <w:tcW w:w="600" w:type="dxa"/>
            <w:vAlign w:val="bottom"/>
            <w:tcBorders>
              <w:right w:val="single" w:sz="8" w:color="003763"/>
            </w:tcBorders>
            <w:shd w:val="clear" w:color="auto" w:fill="003763"/>
          </w:tcPr>
          <w:p>
            <w:pPr>
              <w:spacing w:after="0" w:line="81" w:lineRule="exact"/>
              <w:rPr>
                <w:sz w:val="20"/>
                <w:szCs w:val="20"/>
                <w:color w:val="auto"/>
              </w:rPr>
            </w:pPr>
            <w:r>
              <w:rPr>
                <w:rFonts w:ascii="Arial" w:cs="Arial" w:eastAsia="Arial" w:hAnsi="Arial"/>
                <w:sz w:val="9"/>
                <w:szCs w:val="9"/>
                <w:b w:val="1"/>
                <w:bCs w:val="1"/>
                <w:color w:val="FFFFFF"/>
              </w:rPr>
              <w:t>​​</w:t>
            </w:r>
          </w:p>
        </w:tc>
        <w:tc>
          <w:tcPr>
            <w:tcW w:w="60" w:type="dxa"/>
            <w:vAlign w:val="bottom"/>
          </w:tcPr>
          <w:p>
            <w:pPr>
              <w:jc w:val="right"/>
              <w:spacing w:after="0" w:line="81" w:lineRule="exact"/>
              <w:rPr>
                <w:sz w:val="20"/>
                <w:szCs w:val="20"/>
                <w:color w:val="auto"/>
              </w:rPr>
            </w:pPr>
            <w:r>
              <w:rPr>
                <w:rFonts w:ascii="Arial" w:cs="Arial" w:eastAsia="Arial" w:hAnsi="Arial"/>
                <w:sz w:val="9"/>
                <w:szCs w:val="9"/>
                <w:b w:val="1"/>
                <w:bCs w:val="1"/>
                <w:color w:val="FFFFFF"/>
              </w:rPr>
              <w:t>​​</w:t>
            </w:r>
          </w:p>
        </w:tc>
        <w:tc>
          <w:tcPr>
            <w:tcW w:w="7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FFFFFF"/>
        </w:rPr>
        <w:t>Other</w:t>
      </w:r>
    </w:p>
    <w:p>
      <w:pPr>
        <w:spacing w:after="0" w:line="27"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FFFFFF"/>
        </w:rPr>
        <w:t>Performance</w:t>
      </w:r>
    </w:p>
    <w:p>
      <w:pPr>
        <w:ind w:left="320" w:hanging="316"/>
        <w:spacing w:after="0" w:line="184" w:lineRule="auto"/>
        <w:tabs>
          <w:tab w:leader="none" w:pos="320" w:val="left"/>
        </w:tabs>
        <w:numPr>
          <w:ilvl w:val="0"/>
          <w:numId w:val="133"/>
        </w:numPr>
        <w:rPr>
          <w:rFonts w:ascii="Arial" w:cs="Arial" w:eastAsia="Arial" w:hAnsi="Arial"/>
          <w:sz w:val="16"/>
          <w:szCs w:val="16"/>
          <w:b w:val="1"/>
          <w:bCs w:val="1"/>
          <w:color w:val="FFFFFF"/>
          <w:vertAlign w:val="subscript"/>
        </w:rPr>
      </w:pPr>
      <w:r>
        <w:rPr>
          <w:rFonts w:ascii="Arial" w:cs="Arial" w:eastAsia="Arial" w:hAnsi="Arial"/>
          <w:sz w:val="9"/>
          <w:szCs w:val="9"/>
          <w:b w:val="1"/>
          <w:bCs w:val="1"/>
          <w:color w:val="FFFFFF"/>
        </w:rPr>
        <w:t>Measures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FFFFFF"/>
        </w:rPr>
        <w:t>Company-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jc w:val="center"/>
              <w:ind w:right="8"/>
              <w:spacing w:after="0"/>
              <w:rPr>
                <w:sz w:val="20"/>
                <w:szCs w:val="20"/>
                <w:color w:val="auto"/>
              </w:rPr>
            </w:pPr>
            <w:r>
              <w:rPr>
                <w:rFonts w:ascii="Arial" w:cs="Arial" w:eastAsia="Arial" w:hAnsi="Arial"/>
                <w:sz w:val="10"/>
                <w:szCs w:val="10"/>
                <w:b w:val="1"/>
                <w:bCs w:val="1"/>
                <w:color w:val="FFFFFF"/>
                <w:w w:val="99"/>
              </w:rPr>
              <w:t>Net</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FFFFFF"/>
              </w:rPr>
              <w:t>Selected</w:t>
            </w:r>
          </w:p>
        </w:tc>
      </w:tr>
      <w:tr>
        <w:trPr>
          <w:trHeight w:val="139"/>
        </w:trPr>
        <w:tc>
          <w:tcPr>
            <w:tcW w:w="580" w:type="dxa"/>
            <w:vAlign w:val="bottom"/>
          </w:tcPr>
          <w:p>
            <w:pPr>
              <w:jc w:val="center"/>
              <w:spacing w:after="0" w:line="138" w:lineRule="exact"/>
              <w:rPr>
                <w:sz w:val="20"/>
                <w:szCs w:val="20"/>
                <w:color w:val="auto"/>
              </w:rPr>
            </w:pPr>
            <w:r>
              <w:rPr>
                <w:rFonts w:ascii="Arial" w:cs="Arial" w:eastAsia="Arial" w:hAnsi="Arial"/>
                <w:sz w:val="10"/>
                <w:szCs w:val="10"/>
                <w:b w:val="1"/>
                <w:bCs w:val="1"/>
                <w:color w:val="FFFFFF"/>
                <w:w w:val="95"/>
              </w:rPr>
              <w:t>Income</w:t>
            </w:r>
            <w:r>
              <w:rPr>
                <w:rFonts w:ascii="Arial" w:cs="Arial" w:eastAsia="Arial" w:hAnsi="Arial"/>
                <w:sz w:val="16"/>
                <w:szCs w:val="16"/>
                <w:b w:val="1"/>
                <w:bCs w:val="1"/>
                <w:color w:val="FFFFFF"/>
                <w:w w:val="95"/>
                <w:vertAlign w:val="superscript"/>
              </w:rPr>
              <w:t>(5)</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FFFFFF"/>
              </w:rPr>
              <w:t>Measure-</w:t>
            </w:r>
          </w:p>
        </w:tc>
      </w:tr>
      <w:tr>
        <w:trPr>
          <w:trHeight w:val="118"/>
        </w:trPr>
        <w:tc>
          <w:tcPr>
            <w:tcW w:w="580" w:type="dxa"/>
            <w:vAlign w:val="bottom"/>
          </w:tcPr>
          <w:p>
            <w:pPr>
              <w:jc w:val="center"/>
              <w:ind w:right="8"/>
              <w:spacing w:after="0"/>
              <w:rPr>
                <w:sz w:val="20"/>
                <w:szCs w:val="20"/>
                <w:color w:val="auto"/>
              </w:rPr>
            </w:pPr>
            <w:r>
              <w:rPr>
                <w:rFonts w:ascii="Arial" w:cs="Arial" w:eastAsia="Arial" w:hAnsi="Arial"/>
                <w:sz w:val="10"/>
                <w:szCs w:val="10"/>
                <w:b w:val="1"/>
                <w:bCs w:val="1"/>
                <w:color w:val="FFFFFF"/>
                <w:w w:val="97"/>
              </w:rPr>
              <w:t>($ in</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FFFFFF"/>
              </w:rPr>
              <w:t>Adjusted</w:t>
            </w:r>
          </w:p>
        </w:tc>
      </w:tr>
      <w:tr>
        <w:trPr>
          <w:trHeight w:val="270"/>
        </w:trPr>
        <w:tc>
          <w:tcPr>
            <w:tcW w:w="580" w:type="dxa"/>
            <w:vAlign w:val="bottom"/>
          </w:tcPr>
          <w:p>
            <w:pPr>
              <w:spacing w:after="0"/>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 xml:space="preserve"> millions) </w:t>
            </w:r>
            <w:r>
              <w:rPr>
                <w:rFonts w:ascii="Arial" w:cs="Arial" w:eastAsia="Arial" w:hAnsi="Arial"/>
                <w:sz w:val="20"/>
                <w:szCs w:val="20"/>
                <w:b w:val="1"/>
                <w:bCs w:val="1"/>
                <w:color w:val="FFFFFF"/>
                <w:vertAlign w:val="subscript"/>
              </w:rPr>
              <w:t>​​</w:t>
            </w:r>
          </w:p>
        </w:tc>
        <w:tc>
          <w:tcPr>
            <w:tcW w:w="460" w:type="dxa"/>
            <w:vAlign w:val="bottom"/>
          </w:tcPr>
          <w:p>
            <w:pPr>
              <w:jc w:val="center"/>
              <w:spacing w:after="0"/>
              <w:rPr>
                <w:sz w:val="20"/>
                <w:szCs w:val="20"/>
                <w:color w:val="auto"/>
              </w:rPr>
            </w:pPr>
            <w:r>
              <w:rPr>
                <w:rFonts w:ascii="Arial" w:cs="Arial" w:eastAsia="Arial" w:hAnsi="Arial"/>
                <w:sz w:val="20"/>
                <w:szCs w:val="20"/>
                <w:b w:val="1"/>
                <w:bCs w:val="1"/>
                <w:color w:val="FFFFFF"/>
                <w:w w:val="82"/>
                <w:vertAlign w:val="subscript"/>
              </w:rPr>
              <w:t>EPS</w:t>
            </w:r>
            <w:r>
              <w:rPr>
                <w:rFonts w:ascii="Arial" w:cs="Arial" w:eastAsia="Arial" w:hAnsi="Arial"/>
                <w:sz w:val="8"/>
                <w:szCs w:val="8"/>
                <w:b w:val="1"/>
                <w:bCs w:val="1"/>
                <w:color w:val="FFFFFF"/>
                <w:w w:val="82"/>
              </w:rPr>
              <w:t>(6)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0"/>
          <w:szCs w:val="10"/>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FFFFFF"/>
        </w:rPr>
        <w:t>​</w:t>
      </w:r>
    </w:p>
    <w:p>
      <w:pPr>
        <w:spacing w:after="0" w:line="85" w:lineRule="exact"/>
        <w:rPr>
          <w:sz w:val="20"/>
          <w:szCs w:val="20"/>
          <w:color w:val="auto"/>
        </w:rPr>
      </w:pPr>
    </w:p>
    <w:p>
      <w:pPr>
        <w:sectPr>
          <w:pgSz w:w="11900" w:h="16838" w:orient="portrait"/>
          <w:cols w:equalWidth="0" w:num="3">
            <w:col w:w="8820" w:space="40"/>
            <w:col w:w="1060" w:space="60"/>
            <w:col w:w="40"/>
          </w:cols>
          <w:pgMar w:left="580" w:top="97" w:right="1299" w:bottom="1440" w:gutter="0" w:footer="0" w:header="0"/>
          <w:type w:val="continuous"/>
        </w:sectPr>
      </w:pPr>
    </w:p>
    <w:tbl>
      <w:tblPr>
        <w:tblLayout w:type="fixed"/>
        <w:tblInd w:w="740" w:type="dxa"/>
        <w:tblCellMar>
          <w:top w:w="0" w:type="dxa"/>
          <w:left w:w="0" w:type="dxa"/>
          <w:bottom w:w="0" w:type="dxa"/>
          <w:right w:w="0" w:type="dxa"/>
        </w:tblCellMar>
      </w:tblPr>
      <w:tr>
        <w:trPr>
          <w:trHeight w:val="94"/>
        </w:trPr>
        <w:tc>
          <w:tcPr>
            <w:tcW w:w="60" w:type="dxa"/>
            <w:vAlign w:val="bottom"/>
            <w:vMerge w:val="restart"/>
          </w:tcPr>
          <w:p>
            <w:pPr>
              <w:ind w:left="40"/>
              <w:spacing w:after="0"/>
              <w:rPr>
                <w:sz w:val="20"/>
                <w:szCs w:val="20"/>
                <w:color w:val="auto"/>
              </w:rPr>
            </w:pPr>
            <w:r>
              <w:rPr>
                <w:rFonts w:ascii="Arial" w:cs="Arial" w:eastAsia="Arial" w:hAnsi="Arial"/>
                <w:sz w:val="1"/>
                <w:szCs w:val="1"/>
                <w:color w:val="auto"/>
                <w:w w:val="4294942296"/>
              </w:rPr>
              <w:t>​</w:t>
            </w:r>
          </w:p>
        </w:tc>
        <w:tc>
          <w:tcPr>
            <w:tcW w:w="240" w:type="dxa"/>
            <w:vAlign w:val="bottom"/>
          </w:tcPr>
          <w:p>
            <w:pPr>
              <w:jc w:val="right"/>
              <w:spacing w:after="0" w:line="95" w:lineRule="exact"/>
              <w:rPr>
                <w:sz w:val="20"/>
                <w:szCs w:val="20"/>
                <w:color w:val="auto"/>
              </w:rPr>
            </w:pPr>
            <w:r>
              <w:rPr>
                <w:rFonts w:ascii="Arial" w:cs="Arial" w:eastAsia="Arial" w:hAnsi="Arial"/>
                <w:sz w:val="10"/>
                <w:szCs w:val="10"/>
                <w:color w:val="auto"/>
                <w:w w:val="98"/>
              </w:rPr>
              <w:t>2024</w:t>
            </w:r>
          </w:p>
        </w:tc>
        <w:tc>
          <w:tcPr>
            <w:tcW w:w="5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$9,231,166</w:t>
            </w:r>
          </w:p>
        </w:tc>
        <w:tc>
          <w:tcPr>
            <w:tcW w:w="80" w:type="dxa"/>
            <w:vAlign w:val="bottom"/>
          </w:tcPr>
          <w:p>
            <w:pPr>
              <w:ind w:left="20"/>
              <w:spacing w:after="0" w:line="95"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95" w:lineRule="exact"/>
              <w:rPr>
                <w:sz w:val="20"/>
                <w:szCs w:val="20"/>
                <w:color w:val="auto"/>
              </w:rPr>
            </w:pPr>
            <w:r>
              <w:rPr>
                <w:rFonts w:ascii="Arial" w:cs="Arial" w:eastAsia="Arial" w:hAnsi="Arial"/>
                <w:sz w:val="10"/>
                <w:szCs w:val="10"/>
                <w:color w:val="auto"/>
              </w:rPr>
              <w:t>360,798</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48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6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600" w:type="dxa"/>
            <w:vAlign w:val="bottom"/>
            <w:gridSpan w:val="2"/>
          </w:tcPr>
          <w:p>
            <w:pPr>
              <w:spacing w:after="0" w:line="95" w:lineRule="exact"/>
              <w:rPr>
                <w:sz w:val="20"/>
                <w:szCs w:val="20"/>
                <w:color w:val="auto"/>
              </w:rPr>
            </w:pPr>
            <w:r>
              <w:rPr>
                <w:rFonts w:ascii="Arial" w:cs="Arial" w:eastAsia="Arial" w:hAnsi="Arial"/>
                <w:sz w:val="10"/>
                <w:szCs w:val="10"/>
                <w:color w:val="auto"/>
              </w:rPr>
              <w:t>​$12,675,948</w:t>
            </w:r>
          </w:p>
        </w:tc>
        <w:tc>
          <w:tcPr>
            <w:tcW w:w="80" w:type="dxa"/>
            <w:vAlign w:val="bottom"/>
          </w:tcPr>
          <w:p>
            <w:pPr>
              <w:ind w:left="20"/>
              <w:spacing w:after="0" w:line="95"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95" w:lineRule="exact"/>
              <w:rPr>
                <w:sz w:val="20"/>
                <w:szCs w:val="20"/>
                <w:color w:val="auto"/>
              </w:rPr>
            </w:pPr>
            <w:r>
              <w:rPr>
                <w:rFonts w:ascii="Arial" w:cs="Arial" w:eastAsia="Arial" w:hAnsi="Arial"/>
                <w:sz w:val="10"/>
                <w:szCs w:val="10"/>
                <w:color w:val="auto"/>
              </w:rPr>
              <w:t>3,481,293</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5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0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20" w:type="dxa"/>
            <w:vAlign w:val="bottom"/>
          </w:tcPr>
          <w:p>
            <w:pPr>
              <w:ind w:left="40"/>
              <w:spacing w:after="0" w:line="95" w:lineRule="exact"/>
              <w:rPr>
                <w:sz w:val="20"/>
                <w:szCs w:val="20"/>
                <w:color w:val="auto"/>
              </w:rPr>
            </w:pPr>
            <w:r>
              <w:rPr>
                <w:rFonts w:ascii="Arial" w:cs="Arial" w:eastAsia="Arial" w:hAnsi="Arial"/>
                <w:sz w:val="10"/>
                <w:szCs w:val="10"/>
                <w:color w:val="auto"/>
              </w:rPr>
              <w:t>$2,726,754</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line="95"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95" w:lineRule="exact"/>
              <w:rPr>
                <w:sz w:val="20"/>
                <w:szCs w:val="20"/>
                <w:color w:val="auto"/>
              </w:rPr>
            </w:pPr>
            <w:r>
              <w:rPr>
                <w:rFonts w:ascii="Arial" w:cs="Arial" w:eastAsia="Arial" w:hAnsi="Arial"/>
                <w:sz w:val="10"/>
                <w:szCs w:val="10"/>
                <w:color w:val="auto"/>
              </w:rPr>
              <w:t>3,209,399</w:t>
            </w:r>
          </w:p>
        </w:tc>
        <w:tc>
          <w:tcPr>
            <w:tcW w:w="1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line="95"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ind w:right="28"/>
              <w:spacing w:after="0" w:line="95" w:lineRule="exact"/>
              <w:rPr>
                <w:sz w:val="20"/>
                <w:szCs w:val="20"/>
                <w:color w:val="auto"/>
              </w:rPr>
            </w:pPr>
            <w:r>
              <w:rPr>
                <w:rFonts w:ascii="Arial" w:cs="Arial" w:eastAsia="Arial" w:hAnsi="Arial"/>
                <w:sz w:val="10"/>
                <w:szCs w:val="10"/>
                <w:color w:val="auto"/>
                <w:w w:val="95"/>
              </w:rPr>
              <w:t>133.6</w:t>
            </w:r>
          </w:p>
        </w:tc>
        <w:tc>
          <w:tcPr>
            <w:tcW w:w="2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line="95"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ind w:right="48"/>
              <w:spacing w:after="0" w:line="95" w:lineRule="exact"/>
              <w:rPr>
                <w:sz w:val="20"/>
                <w:szCs w:val="20"/>
                <w:color w:val="auto"/>
              </w:rPr>
            </w:pPr>
            <w:r>
              <w:rPr>
                <w:rFonts w:ascii="Arial" w:cs="Arial" w:eastAsia="Arial" w:hAnsi="Arial"/>
                <w:sz w:val="10"/>
                <w:szCs w:val="10"/>
                <w:color w:val="auto"/>
                <w:w w:val="95"/>
              </w:rPr>
              <w:t>114.0</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line="95"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ind w:right="8"/>
              <w:spacing w:after="0" w:line="95" w:lineRule="exact"/>
              <w:rPr>
                <w:sz w:val="20"/>
                <w:szCs w:val="20"/>
                <w:color w:val="auto"/>
              </w:rPr>
            </w:pPr>
            <w:r>
              <w:rPr>
                <w:rFonts w:ascii="Arial" w:cs="Arial" w:eastAsia="Arial" w:hAnsi="Arial"/>
                <w:sz w:val="10"/>
                <w:szCs w:val="10"/>
                <w:color w:val="auto"/>
                <w:w w:val="95"/>
              </w:rPr>
              <w:t>1,019</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8"/>
              <w:spacing w:after="0" w:line="95" w:lineRule="exact"/>
              <w:rPr>
                <w:sz w:val="20"/>
                <w:szCs w:val="20"/>
                <w:color w:val="auto"/>
              </w:rPr>
            </w:pPr>
            <w:r>
              <w:rPr>
                <w:rFonts w:ascii="Arial" w:cs="Arial" w:eastAsia="Arial" w:hAnsi="Arial"/>
                <w:sz w:val="10"/>
                <w:szCs w:val="10"/>
                <w:color w:val="auto"/>
              </w:rPr>
              <w:t>$ 1.62</w:t>
            </w:r>
          </w:p>
        </w:tc>
        <w:tc>
          <w:tcPr>
            <w:tcW w:w="1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620" w:type="dxa"/>
            <w:vAlign w:val="bottom"/>
            <w:tcBorders>
              <w:bottom w:val="single" w:sz="8" w:color="CCCCCC"/>
            </w:tcBorders>
          </w:tcPr>
          <w:p>
            <w:pPr>
              <w:ind w:left="4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20" w:type="dxa"/>
            <w:vAlign w:val="bottom"/>
            <w:tcBorders>
              <w:bottom w:val="single" w:sz="8" w:color="CCCCCC"/>
            </w:tcBorders>
          </w:tcPr>
          <w:p>
            <w:pPr>
              <w:jc w:val="right"/>
              <w:ind w:right="288"/>
              <w:spacing w:after="0" w:line="95"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vMerge w:val="restart"/>
          </w:tcPr>
          <w:p>
            <w:pPr>
              <w:ind w:left="40"/>
              <w:spacing w:after="0"/>
              <w:rPr>
                <w:sz w:val="20"/>
                <w:szCs w:val="20"/>
                <w:color w:val="auto"/>
              </w:rPr>
            </w:pPr>
            <w:r>
              <w:rPr>
                <w:rFonts w:ascii="Arial" w:cs="Arial" w:eastAsia="Arial" w:hAnsi="Arial"/>
                <w:sz w:val="1"/>
                <w:szCs w:val="1"/>
                <w:color w:val="auto"/>
                <w:w w:val="4294942296"/>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98"/>
              </w:rPr>
              <w:t>2023</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16,204,475</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480" w:type="dxa"/>
            <w:vAlign w:val="bottom"/>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24,939,494</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ind w:left="40"/>
              <w:spacing w:after="0"/>
              <w:rPr>
                <w:sz w:val="20"/>
                <w:szCs w:val="20"/>
                <w:color w:val="auto"/>
              </w:rPr>
            </w:pPr>
            <w:r>
              <w:rPr>
                <w:rFonts w:ascii="Arial" w:cs="Arial" w:eastAsia="Arial" w:hAnsi="Arial"/>
                <w:sz w:val="10"/>
                <w:szCs w:val="10"/>
                <w:color w:val="auto"/>
              </w:rPr>
              <w:t>$4,304,023</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4,780,554</w:t>
            </w:r>
          </w:p>
        </w:tc>
        <w:tc>
          <w:tcPr>
            <w:tcW w:w="1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w w:val="95"/>
              </w:rPr>
              <w:t>117.0</w:t>
            </w:r>
          </w:p>
        </w:tc>
        <w:tc>
          <w:tcPr>
            <w:tcW w:w="2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48"/>
              <w:spacing w:after="0"/>
              <w:rPr>
                <w:sz w:val="20"/>
                <w:szCs w:val="20"/>
                <w:color w:val="auto"/>
              </w:rPr>
            </w:pPr>
            <w:r>
              <w:rPr>
                <w:rFonts w:ascii="Arial" w:cs="Arial" w:eastAsia="Arial" w:hAnsi="Arial"/>
                <w:sz w:val="10"/>
                <w:szCs w:val="10"/>
                <w:color w:val="auto"/>
              </w:rPr>
              <w:t>97.5</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8"/>
              <w:spacing w:after="0"/>
              <w:rPr>
                <w:sz w:val="20"/>
                <w:szCs w:val="20"/>
                <w:color w:val="auto"/>
              </w:rPr>
            </w:pPr>
            <w:r>
              <w:rPr>
                <w:rFonts w:ascii="Arial" w:cs="Arial" w:eastAsia="Arial" w:hAnsi="Arial"/>
                <w:sz w:val="10"/>
                <w:szCs w:val="10"/>
                <w:color w:val="auto"/>
              </w:rPr>
              <w:t>867</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$ 1.50</w:t>
            </w:r>
          </w:p>
        </w:tc>
        <w:tc>
          <w:tcPr>
            <w:tcW w:w="1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620" w:type="dxa"/>
            <w:vAlign w:val="bottom"/>
            <w:tcBorders>
              <w:bottom w:val="single" w:sz="8" w:color="CCCCCC"/>
            </w:tcBorders>
          </w:tcPr>
          <w:p>
            <w:pPr>
              <w:ind w:left="4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20" w:type="dxa"/>
            <w:vAlign w:val="bottom"/>
            <w:tcBorders>
              <w:bottom w:val="single" w:sz="8" w:color="CCCCCC"/>
            </w:tcBorders>
          </w:tcPr>
          <w:p>
            <w:pPr>
              <w:jc w:val="right"/>
              <w:ind w:right="288"/>
              <w:spacing w:after="0" w:line="95"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vMerge w:val="restart"/>
          </w:tcPr>
          <w:p>
            <w:pPr>
              <w:ind w:left="40"/>
              <w:spacing w:after="0"/>
              <w:rPr>
                <w:sz w:val="20"/>
                <w:szCs w:val="20"/>
                <w:color w:val="auto"/>
              </w:rPr>
            </w:pPr>
            <w:r>
              <w:rPr>
                <w:rFonts w:ascii="Arial" w:cs="Arial" w:eastAsia="Arial" w:hAnsi="Arial"/>
                <w:sz w:val="1"/>
                <w:szCs w:val="1"/>
                <w:color w:val="auto"/>
                <w:w w:val="4294942296"/>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98"/>
              </w:rPr>
              <w:t>2022</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13,943,974</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480" w:type="dxa"/>
            <w:vAlign w:val="bottom"/>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29,628,764</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ind w:left="40"/>
              <w:spacing w:after="0"/>
              <w:rPr>
                <w:sz w:val="20"/>
                <w:szCs w:val="20"/>
                <w:color w:val="auto"/>
              </w:rPr>
            </w:pPr>
            <w:r>
              <w:rPr>
                <w:rFonts w:ascii="Arial" w:cs="Arial" w:eastAsia="Arial" w:hAnsi="Arial"/>
                <w:sz w:val="10"/>
                <w:szCs w:val="10"/>
                <w:color w:val="auto"/>
              </w:rPr>
              <w:t>$2,551,102</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4,418,767</w:t>
            </w:r>
          </w:p>
        </w:tc>
        <w:tc>
          <w:tcPr>
            <w:tcW w:w="1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w w:val="95"/>
              </w:rPr>
              <w:t>119.5</w:t>
            </w:r>
          </w:p>
        </w:tc>
        <w:tc>
          <w:tcPr>
            <w:tcW w:w="2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48"/>
              <w:spacing w:after="0"/>
              <w:rPr>
                <w:sz w:val="20"/>
                <w:szCs w:val="20"/>
                <w:color w:val="auto"/>
              </w:rPr>
            </w:pPr>
            <w:r>
              <w:rPr>
                <w:rFonts w:ascii="Arial" w:cs="Arial" w:eastAsia="Arial" w:hAnsi="Arial"/>
                <w:sz w:val="10"/>
                <w:szCs w:val="10"/>
                <w:color w:val="auto"/>
                <w:w w:val="95"/>
              </w:rPr>
              <w:t>111.2</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8"/>
              <w:spacing w:after="0"/>
              <w:rPr>
                <w:sz w:val="20"/>
                <w:szCs w:val="20"/>
                <w:color w:val="auto"/>
              </w:rPr>
            </w:pPr>
            <w:r>
              <w:rPr>
                <w:rFonts w:ascii="Arial" w:cs="Arial" w:eastAsia="Arial" w:hAnsi="Arial"/>
                <w:sz w:val="10"/>
                <w:szCs w:val="10"/>
                <w:color w:val="auto"/>
                <w:w w:val="95"/>
              </w:rPr>
              <w:t>1,008</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$ 1.38</w:t>
            </w:r>
          </w:p>
        </w:tc>
        <w:tc>
          <w:tcPr>
            <w:tcW w:w="1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620" w:type="dxa"/>
            <w:vAlign w:val="bottom"/>
            <w:tcBorders>
              <w:bottom w:val="single" w:sz="8" w:color="CCCCCC"/>
            </w:tcBorders>
          </w:tcPr>
          <w:p>
            <w:pPr>
              <w:ind w:left="4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20" w:type="dxa"/>
            <w:vAlign w:val="bottom"/>
            <w:tcBorders>
              <w:bottom w:val="single" w:sz="8" w:color="CCCCCC"/>
            </w:tcBorders>
          </w:tcPr>
          <w:p>
            <w:pPr>
              <w:jc w:val="right"/>
              <w:ind w:right="288"/>
              <w:spacing w:after="0" w:line="95"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vMerge w:val="restart"/>
          </w:tcPr>
          <w:p>
            <w:pPr>
              <w:ind w:left="40"/>
              <w:spacing w:after="0"/>
              <w:rPr>
                <w:sz w:val="20"/>
                <w:szCs w:val="20"/>
                <w:color w:val="auto"/>
              </w:rPr>
            </w:pPr>
            <w:r>
              <w:rPr>
                <w:rFonts w:ascii="Arial" w:cs="Arial" w:eastAsia="Arial" w:hAnsi="Arial"/>
                <w:sz w:val="1"/>
                <w:szCs w:val="1"/>
                <w:color w:val="auto"/>
                <w:w w:val="4294942296"/>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98"/>
              </w:rPr>
              <w:t>2021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37,809,810</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480" w:type="dxa"/>
            <w:vAlign w:val="bottom"/>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tcPr>
          <w:p>
            <w:pPr>
              <w:spacing w:after="0"/>
              <w:rPr>
                <w:sz w:val="20"/>
                <w:szCs w:val="20"/>
                <w:color w:val="auto"/>
              </w:rPr>
            </w:pPr>
            <w:r>
              <w:rPr>
                <w:rFonts w:ascii="Arial" w:cs="Arial" w:eastAsia="Arial" w:hAnsi="Arial"/>
                <w:sz w:val="10"/>
                <w:szCs w:val="10"/>
                <w:color w:val="auto"/>
              </w:rPr>
              <w:t>​ ​</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52,998,434</w:t>
            </w:r>
          </w:p>
        </w:tc>
        <w:tc>
          <w:tcPr>
            <w:tcW w:w="120" w:type="dxa"/>
            <w:vAlign w:val="bottom"/>
            <w:vMerge w:val="restart"/>
          </w:tcPr>
          <w:p>
            <w:pPr>
              <w:spacing w:after="0"/>
              <w:rPr>
                <w:sz w:val="20"/>
                <w:szCs w:val="20"/>
                <w:color w:val="auto"/>
              </w:rPr>
            </w:pPr>
            <w:r>
              <w:rPr>
                <w:rFonts w:ascii="Arial" w:cs="Arial" w:eastAsia="Arial" w:hAnsi="Arial"/>
                <w:sz w:val="10"/>
                <w:szCs w:val="10"/>
                <w:color w:val="auto"/>
              </w:rPr>
              <w:t>​ ​</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ind w:left="40"/>
              <w:spacing w:after="0"/>
              <w:rPr>
                <w:sz w:val="20"/>
                <w:szCs w:val="20"/>
                <w:color w:val="auto"/>
              </w:rPr>
            </w:pPr>
            <w:r>
              <w:rPr>
                <w:rFonts w:ascii="Arial" w:cs="Arial" w:eastAsia="Arial" w:hAnsi="Arial"/>
                <w:sz w:val="10"/>
                <w:szCs w:val="10"/>
                <w:color w:val="auto"/>
              </w:rPr>
              <w:t>$8,318,875</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9"/>
              </w:rPr>
              <w:t>10,539,727</w:t>
            </w:r>
          </w:p>
        </w:tc>
        <w:tc>
          <w:tcPr>
            <w:tcW w:w="1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w w:val="95"/>
              </w:rPr>
              <w:t>108.7</w:t>
            </w:r>
          </w:p>
        </w:tc>
        <w:tc>
          <w:tcPr>
            <w:tcW w:w="2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48"/>
              <w:spacing w:after="0"/>
              <w:rPr>
                <w:sz w:val="20"/>
                <w:szCs w:val="20"/>
                <w:color w:val="auto"/>
              </w:rPr>
            </w:pPr>
            <w:r>
              <w:rPr>
                <w:rFonts w:ascii="Arial" w:cs="Arial" w:eastAsia="Arial" w:hAnsi="Arial"/>
                <w:sz w:val="10"/>
                <w:szCs w:val="10"/>
                <w:color w:val="auto"/>
                <w:w w:val="95"/>
              </w:rPr>
              <w:t>113.9</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8"/>
              <w:spacing w:after="0"/>
              <w:rPr>
                <w:sz w:val="20"/>
                <w:szCs w:val="20"/>
                <w:color w:val="auto"/>
              </w:rPr>
            </w:pPr>
            <w:r>
              <w:rPr>
                <w:rFonts w:ascii="Arial" w:cs="Arial" w:eastAsia="Arial" w:hAnsi="Arial"/>
                <w:sz w:val="10"/>
                <w:szCs w:val="10"/>
                <w:color w:val="auto"/>
                <w:w w:val="95"/>
              </w:rPr>
              <w:t>1,391</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$ 1.27</w:t>
            </w:r>
          </w:p>
        </w:tc>
        <w:tc>
          <w:tcPr>
            <w:tcW w:w="1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620" w:type="dxa"/>
            <w:vAlign w:val="bottom"/>
            <w:tcBorders>
              <w:bottom w:val="single" w:sz="8" w:color="CCCCCC"/>
            </w:tcBorders>
          </w:tcPr>
          <w:p>
            <w:pPr>
              <w:ind w:left="4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20" w:type="dxa"/>
            <w:vAlign w:val="bottom"/>
            <w:tcBorders>
              <w:bottom w:val="single" w:sz="8" w:color="CCCCCC"/>
            </w:tcBorders>
          </w:tcPr>
          <w:p>
            <w:pPr>
              <w:jc w:val="right"/>
              <w:ind w:right="288"/>
              <w:spacing w:after="0" w:line="95"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vMerge w:val="restart"/>
          </w:tcPr>
          <w:p>
            <w:pPr>
              <w:ind w:left="40"/>
              <w:spacing w:after="0"/>
              <w:rPr>
                <w:sz w:val="20"/>
                <w:szCs w:val="20"/>
                <w:color w:val="auto"/>
              </w:rPr>
            </w:pPr>
            <w:r>
              <w:rPr>
                <w:rFonts w:ascii="Arial" w:cs="Arial" w:eastAsia="Arial" w:hAnsi="Arial"/>
                <w:sz w:val="1"/>
                <w:szCs w:val="1"/>
                <w:color w:val="auto"/>
                <w:w w:val="4294942296"/>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98"/>
              </w:rPr>
              <w:t>2020</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11,946,295</w:t>
            </w:r>
          </w:p>
        </w:tc>
        <w:tc>
          <w:tcPr>
            <w:tcW w:w="600" w:type="dxa"/>
            <w:vAlign w:val="bottom"/>
            <w:gridSpan w:val="2"/>
          </w:tcPr>
          <w:p>
            <w:pPr>
              <w:ind w:left="80"/>
              <w:spacing w:after="0"/>
              <w:rPr>
                <w:sz w:val="20"/>
                <w:szCs w:val="20"/>
                <w:color w:val="auto"/>
              </w:rPr>
            </w:pPr>
            <w:r>
              <w:rPr>
                <w:rFonts w:ascii="Arial" w:cs="Arial" w:eastAsia="Arial" w:hAnsi="Arial"/>
                <w:sz w:val="10"/>
                <w:szCs w:val="10"/>
                <w:color w:val="auto"/>
                <w:w w:val="99"/>
              </w:rPr>
              <w:t>$3,075,656</w:t>
            </w:r>
          </w:p>
        </w:tc>
        <w:tc>
          <w:tcPr>
            <w:tcW w:w="6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0"/>
                <w:szCs w:val="10"/>
                <w:color w:val="auto"/>
              </w:rPr>
              <w:t>$6,656,290</w:t>
            </w:r>
          </w:p>
        </w:tc>
        <w:tc>
          <w:tcPr>
            <w:tcW w:w="4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w w:val="99"/>
              </w:rPr>
              <w:t>13,546,218</w:t>
            </w:r>
          </w:p>
        </w:tc>
        <w:tc>
          <w:tcPr>
            <w:tcW w:w="620" w:type="dxa"/>
            <w:vAlign w:val="bottom"/>
            <w:gridSpan w:val="2"/>
          </w:tcPr>
          <w:p>
            <w:pPr>
              <w:ind w:left="80"/>
              <w:spacing w:after="0"/>
              <w:rPr>
                <w:sz w:val="20"/>
                <w:szCs w:val="20"/>
                <w:color w:val="auto"/>
              </w:rPr>
            </w:pPr>
            <w:r>
              <w:rPr>
                <w:rFonts w:ascii="Arial" w:cs="Arial" w:eastAsia="Arial" w:hAnsi="Arial"/>
                <w:sz w:val="10"/>
                <w:szCs w:val="10"/>
                <w:color w:val="auto"/>
              </w:rPr>
              <w:t>$3,066,727</w:t>
            </w:r>
          </w:p>
        </w:tc>
        <w:tc>
          <w:tcPr>
            <w:tcW w:w="40" w:type="dxa"/>
            <w:vAlign w:val="bottom"/>
          </w:tcPr>
          <w:p>
            <w:pPr>
              <w:spacing w:after="0"/>
              <w:rPr>
                <w:sz w:val="12"/>
                <w:szCs w:val="12"/>
                <w:color w:val="auto"/>
              </w:rPr>
            </w:pPr>
          </w:p>
        </w:tc>
        <w:tc>
          <w:tcPr>
            <w:tcW w:w="600" w:type="dxa"/>
            <w:vAlign w:val="bottom"/>
            <w:gridSpan w:val="2"/>
          </w:tcPr>
          <w:p>
            <w:pPr>
              <w:ind w:left="80"/>
              <w:spacing w:after="0"/>
              <w:rPr>
                <w:sz w:val="20"/>
                <w:szCs w:val="20"/>
                <w:color w:val="auto"/>
              </w:rPr>
            </w:pPr>
            <w:r>
              <w:rPr>
                <w:rFonts w:ascii="Arial" w:cs="Arial" w:eastAsia="Arial" w:hAnsi="Arial"/>
                <w:sz w:val="10"/>
                <w:szCs w:val="10"/>
                <w:color w:val="auto"/>
                <w:w w:val="99"/>
              </w:rPr>
              <w:t>$5,704,640</w:t>
            </w:r>
          </w:p>
        </w:tc>
        <w:tc>
          <w:tcPr>
            <w:tcW w:w="100" w:type="dxa"/>
            <w:vAlign w:val="bottom"/>
            <w:vMerge w:val="restart"/>
          </w:tcPr>
          <w:p>
            <w:pPr>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color w:val="auto"/>
              </w:rPr>
              <w:t>​</w:t>
            </w:r>
          </w:p>
        </w:tc>
        <w:tc>
          <w:tcPr>
            <w:tcW w:w="620" w:type="dxa"/>
            <w:vAlign w:val="bottom"/>
          </w:tcPr>
          <w:p>
            <w:pPr>
              <w:ind w:left="40"/>
              <w:spacing w:after="0"/>
              <w:rPr>
                <w:sz w:val="20"/>
                <w:szCs w:val="20"/>
                <w:color w:val="auto"/>
              </w:rPr>
            </w:pPr>
            <w:r>
              <w:rPr>
                <w:rFonts w:ascii="Arial" w:cs="Arial" w:eastAsia="Arial" w:hAnsi="Arial"/>
                <w:sz w:val="10"/>
                <w:szCs w:val="10"/>
                <w:color w:val="auto"/>
              </w:rPr>
              <w:t>$2,812,497</w:t>
            </w:r>
          </w:p>
        </w:tc>
        <w:tc>
          <w:tcPr>
            <w:tcW w:w="14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2,201,357</w:t>
            </w:r>
          </w:p>
        </w:tc>
        <w:tc>
          <w:tcPr>
            <w:tcW w:w="16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ind w:right="28"/>
              <w:spacing w:after="0"/>
              <w:rPr>
                <w:sz w:val="20"/>
                <w:szCs w:val="20"/>
                <w:color w:val="auto"/>
              </w:rPr>
            </w:pPr>
            <w:r>
              <w:rPr>
                <w:rFonts w:ascii="Arial" w:cs="Arial" w:eastAsia="Arial" w:hAnsi="Arial"/>
                <w:sz w:val="10"/>
                <w:szCs w:val="10"/>
                <w:color w:val="auto"/>
              </w:rPr>
              <w:t>82.1</w:t>
            </w:r>
          </w:p>
        </w:tc>
        <w:tc>
          <w:tcPr>
            <w:tcW w:w="2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48"/>
              <w:spacing w:after="0"/>
              <w:rPr>
                <w:sz w:val="20"/>
                <w:szCs w:val="20"/>
                <w:color w:val="auto"/>
              </w:rPr>
            </w:pPr>
            <w:r>
              <w:rPr>
                <w:rFonts w:ascii="Arial" w:cs="Arial" w:eastAsia="Arial" w:hAnsi="Arial"/>
                <w:sz w:val="10"/>
                <w:szCs w:val="10"/>
                <w:color w:val="auto"/>
              </w:rPr>
              <w:t>99.4</w:t>
            </w:r>
          </w:p>
        </w:tc>
        <w:tc>
          <w:tcPr>
            <w:tcW w:w="180" w:type="dxa"/>
            <w:vAlign w:val="bottom"/>
            <w:vMerge w:val="restart"/>
          </w:tcPr>
          <w:p>
            <w:pPr>
              <w:ind w:left="100"/>
              <w:spacing w:after="0"/>
              <w:rPr>
                <w:sz w:val="20"/>
                <w:szCs w:val="20"/>
                <w:color w:val="auto"/>
              </w:rPr>
            </w:pP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(949)</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8"/>
              <w:spacing w:after="0"/>
              <w:rPr>
                <w:sz w:val="20"/>
                <w:szCs w:val="20"/>
                <w:color w:val="auto"/>
              </w:rPr>
            </w:pPr>
            <w:r>
              <w:rPr>
                <w:rFonts w:ascii="Arial" w:cs="Arial" w:eastAsia="Arial" w:hAnsi="Arial"/>
                <w:sz w:val="10"/>
                <w:szCs w:val="10"/>
                <w:color w:val="auto"/>
              </w:rPr>
              <w:t>$ 1.17</w:t>
            </w:r>
          </w:p>
        </w:tc>
        <w:tc>
          <w:tcPr>
            <w:tcW w:w="100" w:type="dxa"/>
            <w:vAlign w:val="bottom"/>
            <w:vMerge w:val="restart"/>
          </w:tcPr>
          <w:p>
            <w:pPr>
              <w:ind w:lef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4"/>
        </w:trPr>
        <w:tc>
          <w:tcPr>
            <w:tcW w:w="60" w:type="dxa"/>
            <w:vAlign w:val="bottom"/>
            <w:tcBorders>
              <w:bottom w:val="single" w:sz="8" w:color="CCCCCC"/>
            </w:tcBorders>
            <w:vMerge w:val="continue"/>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vMerge w:val="continue"/>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color w:val="auto"/>
              </w:rPr>
              <w:t>​ ​</w:t>
            </w:r>
          </w:p>
        </w:tc>
        <w:tc>
          <w:tcPr>
            <w:tcW w:w="4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vMerge w:val="continue"/>
          </w:tcPr>
          <w:p>
            <w:pPr>
              <w:spacing w:after="0"/>
              <w:rPr>
                <w:sz w:val="8"/>
                <w:szCs w:val="8"/>
                <w:color w:val="auto"/>
              </w:rPr>
            </w:pPr>
          </w:p>
        </w:tc>
        <w:tc>
          <w:tcPr>
            <w:tcW w:w="56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line="95" w:lineRule="exact"/>
              <w:rPr>
                <w:sz w:val="20"/>
                <w:szCs w:val="20"/>
                <w:color w:val="auto"/>
              </w:rPr>
            </w:pPr>
            <w:r>
              <w:rPr>
                <w:rFonts w:ascii="Arial" w:cs="Arial" w:eastAsia="Arial" w:hAnsi="Arial"/>
                <w:sz w:val="10"/>
                <w:szCs w:val="10"/>
                <w:color w:val="auto"/>
              </w:rPr>
              <w:t>​ ​</w:t>
            </w:r>
          </w:p>
        </w:tc>
        <w:tc>
          <w:tcPr>
            <w:tcW w:w="5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620" w:type="dxa"/>
            <w:vAlign w:val="bottom"/>
            <w:tcBorders>
              <w:bottom w:val="single" w:sz="8" w:color="CCCCCC"/>
            </w:tcBorders>
          </w:tcPr>
          <w:p>
            <w:pPr>
              <w:ind w:left="40"/>
              <w:spacing w:after="0" w:line="95"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6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vMerge w:val="continue"/>
          </w:tcPr>
          <w:p>
            <w:pPr>
              <w:spacing w:after="0"/>
              <w:rPr>
                <w:sz w:val="8"/>
                <w:szCs w:val="8"/>
                <w:color w:val="auto"/>
              </w:rPr>
            </w:pPr>
          </w:p>
        </w:tc>
        <w:tc>
          <w:tcPr>
            <w:tcW w:w="140" w:type="dxa"/>
            <w:vAlign w:val="bottom"/>
            <w:tcBorders>
              <w:bottom w:val="single" w:sz="8" w:color="CCCCCC"/>
            </w:tcBorders>
          </w:tcPr>
          <w:p>
            <w:pPr>
              <w:ind w:left="80"/>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vMerge w:val="continue"/>
          </w:tcPr>
          <w:p>
            <w:pPr>
              <w:spacing w:after="0"/>
              <w:rPr>
                <w:sz w:val="8"/>
                <w:szCs w:val="8"/>
                <w:color w:val="auto"/>
              </w:rPr>
            </w:pPr>
          </w:p>
        </w:tc>
        <w:tc>
          <w:tcPr>
            <w:tcW w:w="10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420" w:type="dxa"/>
            <w:vAlign w:val="bottom"/>
            <w:tcBorders>
              <w:bottom w:val="single" w:sz="8" w:color="CCCCCC"/>
            </w:tcBorders>
          </w:tcPr>
          <w:p>
            <w:pPr>
              <w:jc w:val="right"/>
              <w:ind w:right="288"/>
              <w:spacing w:after="0" w:line="95"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-659765</wp:posOffset>
            </wp:positionV>
            <wp:extent cx="5880735"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80735" cy="16319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-334010</wp:posOffset>
            </wp:positionV>
            <wp:extent cx="5880735"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80735" cy="163195"/>
                    </a:xfrm>
                    <a:prstGeom prst="rect">
                      <a:avLst/>
                    </a:prstGeom>
                    <a:noFill/>
                  </pic:spPr>
                </pic:pic>
              </a:graphicData>
            </a:graphic>
          </wp:anchor>
        </w:drawing>
      </w:r>
    </w:p>
    <w:p>
      <w:pPr>
        <w:spacing w:after="0" w:line="138" w:lineRule="exact"/>
        <w:rPr>
          <w:sz w:val="20"/>
          <w:szCs w:val="20"/>
          <w:color w:val="auto"/>
        </w:rPr>
      </w:pPr>
    </w:p>
    <w:p>
      <w:pPr>
        <w:ind w:left="920" w:right="220" w:hanging="189"/>
        <w:spacing w:after="0" w:line="211" w:lineRule="auto"/>
        <w:tabs>
          <w:tab w:leader="none" w:pos="920" w:val="left"/>
        </w:tabs>
        <w:numPr>
          <w:ilvl w:val="0"/>
          <w:numId w:val="134"/>
        </w:numPr>
        <w:rPr>
          <w:rFonts w:ascii="Arial" w:cs="Arial" w:eastAsia="Arial" w:hAnsi="Arial"/>
          <w:sz w:val="19"/>
          <w:szCs w:val="19"/>
          <w:color w:val="auto"/>
          <w:vertAlign w:val="superscript"/>
        </w:rPr>
      </w:pPr>
      <w:r>
        <w:rPr>
          <w:rFonts w:ascii="Arial" w:cs="Arial" w:eastAsia="Arial" w:hAnsi="Arial"/>
          <w:sz w:val="12"/>
          <w:szCs w:val="12"/>
          <w:color w:val="auto"/>
        </w:rPr>
        <w:t>Our PEOs during the last five completed fiscal years were Scott Prochazka, John Somerhalder II, David Lesar, and Jason Wells. Messrs. Prochazka, Somerhalder and Lesar were each PEOs in 2020. Mr. Lesar was the only PEO for years 2021, 2022, and 2023. Messrs. Lesar and Wells were each PEOs in 2024.</w:t>
      </w:r>
    </w:p>
    <w:p>
      <w:pPr>
        <w:spacing w:after="0" w:line="1" w:lineRule="exact"/>
        <w:rPr>
          <w:rFonts w:ascii="Arial" w:cs="Arial" w:eastAsia="Arial" w:hAnsi="Arial"/>
          <w:sz w:val="19"/>
          <w:szCs w:val="19"/>
          <w:color w:val="auto"/>
          <w:vertAlign w:val="superscript"/>
        </w:rPr>
      </w:pPr>
    </w:p>
    <w:p>
      <w:pPr>
        <w:ind w:left="920" w:hanging="189"/>
        <w:spacing w:after="0"/>
        <w:tabs>
          <w:tab w:leader="none" w:pos="920" w:val="left"/>
        </w:tabs>
        <w:numPr>
          <w:ilvl w:val="0"/>
          <w:numId w:val="134"/>
        </w:numPr>
        <w:rPr>
          <w:rFonts w:ascii="Arial" w:cs="Arial" w:eastAsia="Arial" w:hAnsi="Arial"/>
          <w:sz w:val="20"/>
          <w:szCs w:val="20"/>
          <w:color w:val="auto"/>
          <w:vertAlign w:val="superscript"/>
        </w:rPr>
      </w:pPr>
      <w:r>
        <w:rPr>
          <w:rFonts w:ascii="Arial" w:cs="Arial" w:eastAsia="Arial" w:hAnsi="Arial"/>
          <w:sz w:val="13"/>
          <w:szCs w:val="13"/>
          <w:color w:val="auto"/>
        </w:rPr>
        <w:t>Our Non-PEO NEOs for the last five completed fiscal years are as follows:</w:t>
      </w:r>
    </w:p>
    <w:p>
      <w:pPr>
        <w:spacing w:after="0" w:line="90" w:lineRule="exact"/>
        <w:rPr>
          <w:rFonts w:ascii="Arial" w:cs="Arial" w:eastAsia="Arial" w:hAnsi="Arial"/>
          <w:sz w:val="20"/>
          <w:szCs w:val="20"/>
          <w:color w:val="auto"/>
          <w:vertAlign w:val="superscript"/>
        </w:rPr>
      </w:pPr>
    </w:p>
    <w:p>
      <w:pPr>
        <w:ind w:left="920"/>
        <w:spacing w:after="0"/>
        <w:rPr>
          <w:rFonts w:ascii="Arial" w:cs="Arial" w:eastAsia="Arial" w:hAnsi="Arial"/>
          <w:sz w:val="20"/>
          <w:szCs w:val="20"/>
          <w:color w:val="auto"/>
          <w:vertAlign w:val="superscript"/>
        </w:rPr>
      </w:pPr>
      <w:r>
        <w:rPr>
          <w:rFonts w:ascii="Arial" w:cs="Arial" w:eastAsia="Arial" w:hAnsi="Arial"/>
          <w:sz w:val="13"/>
          <w:szCs w:val="13"/>
          <w:color w:val="auto"/>
        </w:rPr>
        <w:t>For 2024, Christopher Foster, Monica Karuturi, Jason Ryan, Lynne Harkel-Rumford, and Lynnae K. Wilson;</w:t>
      </w:r>
    </w:p>
    <w:p>
      <w:pPr>
        <w:spacing w:after="0" w:line="93" w:lineRule="exact"/>
        <w:rPr>
          <w:rFonts w:ascii="Arial" w:cs="Arial" w:eastAsia="Arial" w:hAnsi="Arial"/>
          <w:sz w:val="20"/>
          <w:szCs w:val="20"/>
          <w:color w:val="auto"/>
          <w:vertAlign w:val="superscript"/>
        </w:rPr>
      </w:pPr>
    </w:p>
    <w:p>
      <w:pPr>
        <w:ind w:left="920" w:right="2840"/>
        <w:spacing w:after="0" w:line="411" w:lineRule="auto"/>
        <w:rPr>
          <w:rFonts w:ascii="Arial" w:cs="Arial" w:eastAsia="Arial" w:hAnsi="Arial"/>
          <w:sz w:val="20"/>
          <w:szCs w:val="20"/>
          <w:color w:val="auto"/>
          <w:vertAlign w:val="superscript"/>
        </w:rPr>
      </w:pPr>
      <w:r>
        <w:rPr>
          <w:rFonts w:ascii="Arial" w:cs="Arial" w:eastAsia="Arial" w:hAnsi="Arial"/>
          <w:sz w:val="13"/>
          <w:szCs w:val="13"/>
          <w:color w:val="auto"/>
        </w:rPr>
        <w:t>For 2023, Jason Wells, Scott Doyle, Christopher Foster, Monica Karuturi, Jason Ryan, and Lynne Harkel-Rumford; For 2022, Jason Wells, Scott Doyle, Monica Karuturi, and Gregory Knight;</w:t>
      </w:r>
    </w:p>
    <w:p>
      <w:pPr>
        <w:ind w:left="920"/>
        <w:spacing w:after="0"/>
        <w:rPr>
          <w:rFonts w:ascii="Arial" w:cs="Arial" w:eastAsia="Arial" w:hAnsi="Arial"/>
          <w:sz w:val="20"/>
          <w:szCs w:val="20"/>
          <w:color w:val="auto"/>
          <w:vertAlign w:val="superscript"/>
        </w:rPr>
      </w:pPr>
      <w:r>
        <w:rPr>
          <w:rFonts w:ascii="Arial" w:cs="Arial" w:eastAsia="Arial" w:hAnsi="Arial"/>
          <w:sz w:val="13"/>
          <w:szCs w:val="13"/>
          <w:color w:val="auto"/>
        </w:rPr>
        <w:t>For 2021, Jason Wells, Scott Doyle, Kenneth Mercado, Monica Karuturi, and Milton Carroll; and</w:t>
      </w:r>
    </w:p>
    <w:p>
      <w:pPr>
        <w:spacing w:after="0" w:line="107" w:lineRule="exact"/>
        <w:rPr>
          <w:rFonts w:ascii="Arial" w:cs="Arial" w:eastAsia="Arial" w:hAnsi="Arial"/>
          <w:sz w:val="20"/>
          <w:szCs w:val="20"/>
          <w:color w:val="auto"/>
          <w:vertAlign w:val="superscript"/>
        </w:rPr>
      </w:pPr>
    </w:p>
    <w:p>
      <w:pPr>
        <w:ind w:left="920"/>
        <w:spacing w:after="0"/>
        <w:rPr>
          <w:rFonts w:ascii="Arial" w:cs="Arial" w:eastAsia="Arial" w:hAnsi="Arial"/>
          <w:sz w:val="20"/>
          <w:szCs w:val="20"/>
          <w:color w:val="auto"/>
          <w:vertAlign w:val="superscript"/>
        </w:rPr>
      </w:pPr>
      <w:r>
        <w:rPr>
          <w:rFonts w:ascii="Arial" w:cs="Arial" w:eastAsia="Arial" w:hAnsi="Arial"/>
          <w:sz w:val="13"/>
          <w:szCs w:val="13"/>
          <w:color w:val="auto"/>
        </w:rPr>
        <w:t>For 2020, Jason Wells, Milton Carroll, Kristie Colvin, Scott Doyle, Gregory Knight, Xia Liu, and Joseph Vortherms.</w:t>
      </w:r>
    </w:p>
    <w:p>
      <w:pPr>
        <w:spacing w:after="0" w:line="80" w:lineRule="exact"/>
        <w:rPr>
          <w:rFonts w:ascii="Arial" w:cs="Arial" w:eastAsia="Arial" w:hAnsi="Arial"/>
          <w:sz w:val="20"/>
          <w:szCs w:val="20"/>
          <w:color w:val="auto"/>
          <w:vertAlign w:val="superscript"/>
        </w:rPr>
      </w:pPr>
    </w:p>
    <w:p>
      <w:pPr>
        <w:ind w:left="920" w:right="80" w:hanging="189"/>
        <w:spacing w:after="0" w:line="224" w:lineRule="auto"/>
        <w:tabs>
          <w:tab w:leader="none" w:pos="920" w:val="left"/>
        </w:tabs>
        <w:numPr>
          <w:ilvl w:val="0"/>
          <w:numId w:val="134"/>
        </w:numPr>
        <w:rPr>
          <w:rFonts w:ascii="Arial" w:cs="Arial" w:eastAsia="Arial" w:hAnsi="Arial"/>
          <w:sz w:val="20"/>
          <w:szCs w:val="20"/>
          <w:color w:val="auto"/>
          <w:vertAlign w:val="superscript"/>
        </w:rPr>
      </w:pPr>
      <w:r>
        <w:rPr>
          <w:rFonts w:ascii="Arial" w:cs="Arial" w:eastAsia="Arial" w:hAnsi="Arial"/>
          <w:sz w:val="13"/>
          <w:szCs w:val="13"/>
          <w:color w:val="auto"/>
        </w:rPr>
        <w:t>The amounts for the non-PEO NEOs are provided as averages. For purposes of these adjustments, PSUs based on a TSR performance objective, whether vested, unvested, or forfeited, were valued using Monte Carlo simulation. PSUs based on a non-TSR performance objective, whether vested, unvested, or forfeited, were valued using the closing trading price for CenterPoint Energy common stock on the applicable valuation date and assuming projected achievement as of the end of the fiscal year. Compensation “actually paid” for each fiscal year is the total compensation reported in the Summary Compensation Table for that year adjusted by the following amounts:</w:t>
      </w:r>
    </w:p>
    <w:p>
      <w:pPr>
        <w:spacing w:after="0" w:line="17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0" w:type="dxa"/>
            <w:vAlign w:val="bottom"/>
            <w:shd w:val="clear" w:color="auto" w:fill="003763"/>
          </w:tcPr>
          <w:p>
            <w:pPr>
              <w:spacing w:after="0"/>
              <w:rPr>
                <w:sz w:val="18"/>
                <w:szCs w:val="18"/>
                <w:color w:val="auto"/>
              </w:rPr>
            </w:pPr>
          </w:p>
        </w:tc>
        <w:tc>
          <w:tcPr>
            <w:tcW w:w="5980" w:type="dxa"/>
            <w:vAlign w:val="bottom"/>
            <w:shd w:val="clear" w:color="auto" w:fill="003763"/>
          </w:tcPr>
          <w:p>
            <w:pPr>
              <w:spacing w:after="0"/>
              <w:rPr>
                <w:sz w:val="18"/>
                <w:szCs w:val="18"/>
                <w:color w:val="auto"/>
              </w:rPr>
            </w:pPr>
          </w:p>
        </w:tc>
        <w:tc>
          <w:tcPr>
            <w:tcW w:w="380" w:type="dxa"/>
            <w:vAlign w:val="bottom"/>
            <w:shd w:val="clear" w:color="auto" w:fill="003763"/>
          </w:tcPr>
          <w:p>
            <w:pPr>
              <w:ind w:left="140"/>
              <w:spacing w:after="0"/>
              <w:rPr>
                <w:sz w:val="20"/>
                <w:szCs w:val="20"/>
                <w:color w:val="auto"/>
              </w:rPr>
            </w:pPr>
            <w:r>
              <w:rPr>
                <w:rFonts w:ascii="Arial" w:cs="Arial" w:eastAsia="Arial" w:hAnsi="Arial"/>
                <w:sz w:val="13"/>
                <w:szCs w:val="13"/>
                <w:b w:val="1"/>
                <w:bCs w:val="1"/>
                <w:color w:val="FFFFFF"/>
              </w:rPr>
              <w:t>​</w:t>
            </w:r>
          </w:p>
        </w:tc>
        <w:tc>
          <w:tcPr>
            <w:tcW w:w="580" w:type="dxa"/>
            <w:vAlign w:val="bottom"/>
            <w:shd w:val="clear" w:color="auto" w:fill="003763"/>
          </w:tcPr>
          <w:p>
            <w:pPr>
              <w:spacing w:after="0"/>
              <w:rPr>
                <w:sz w:val="18"/>
                <w:szCs w:val="18"/>
                <w:color w:val="auto"/>
              </w:rPr>
            </w:pPr>
          </w:p>
        </w:tc>
        <w:tc>
          <w:tcPr>
            <w:tcW w:w="100" w:type="dxa"/>
            <w:vAlign w:val="bottom"/>
            <w:shd w:val="clear" w:color="auto" w:fill="003763"/>
          </w:tcPr>
          <w:p>
            <w:pPr>
              <w:spacing w:after="0"/>
              <w:rPr>
                <w:sz w:val="18"/>
                <w:szCs w:val="18"/>
                <w:color w:val="auto"/>
              </w:rPr>
            </w:pPr>
          </w:p>
        </w:tc>
        <w:tc>
          <w:tcPr>
            <w:tcW w:w="180" w:type="dxa"/>
            <w:vAlign w:val="bottom"/>
            <w:shd w:val="clear" w:color="auto" w:fill="003763"/>
          </w:tcPr>
          <w:p>
            <w:pPr>
              <w:spacing w:after="0"/>
              <w:rPr>
                <w:sz w:val="18"/>
                <w:szCs w:val="18"/>
                <w:color w:val="auto"/>
              </w:rPr>
            </w:pPr>
          </w:p>
        </w:tc>
        <w:tc>
          <w:tcPr>
            <w:tcW w:w="40" w:type="dxa"/>
            <w:vAlign w:val="bottom"/>
            <w:shd w:val="clear" w:color="auto" w:fill="003763"/>
          </w:tcPr>
          <w:p>
            <w:pPr>
              <w:spacing w:after="0"/>
              <w:rPr>
                <w:sz w:val="18"/>
                <w:szCs w:val="18"/>
                <w:color w:val="auto"/>
              </w:rPr>
            </w:pPr>
          </w:p>
        </w:tc>
        <w:tc>
          <w:tcPr>
            <w:tcW w:w="52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rPr>
              <w:t>2024</w:t>
            </w:r>
          </w:p>
        </w:tc>
        <w:tc>
          <w:tcPr>
            <w:tcW w:w="100" w:type="dxa"/>
            <w:vAlign w:val="bottom"/>
            <w:shd w:val="clear" w:color="auto" w:fill="003763"/>
          </w:tcPr>
          <w:p>
            <w:pPr>
              <w:spacing w:after="0"/>
              <w:rPr>
                <w:sz w:val="18"/>
                <w:szCs w:val="18"/>
                <w:color w:val="auto"/>
              </w:rPr>
            </w:pPr>
          </w:p>
        </w:tc>
        <w:tc>
          <w:tcPr>
            <w:tcW w:w="160" w:type="dxa"/>
            <w:vAlign w:val="bottom"/>
            <w:shd w:val="clear" w:color="auto" w:fill="003763"/>
          </w:tcPr>
          <w:p>
            <w:pPr>
              <w:spacing w:after="0"/>
              <w:rPr>
                <w:sz w:val="18"/>
                <w:szCs w:val="18"/>
                <w:color w:val="auto"/>
              </w:rPr>
            </w:pPr>
          </w:p>
        </w:tc>
        <w:tc>
          <w:tcPr>
            <w:tcW w:w="240" w:type="dxa"/>
            <w:vAlign w:val="bottom"/>
            <w:shd w:val="clear" w:color="auto" w:fill="003763"/>
          </w:tcPr>
          <w:p>
            <w:pPr>
              <w:spacing w:after="0"/>
              <w:rPr>
                <w:sz w:val="18"/>
                <w:szCs w:val="18"/>
                <w:color w:val="auto"/>
              </w:rPr>
            </w:pPr>
          </w:p>
        </w:tc>
        <w:tc>
          <w:tcPr>
            <w:tcW w:w="620" w:type="dxa"/>
            <w:vAlign w:val="bottom"/>
            <w:shd w:val="clear" w:color="auto" w:fill="003763"/>
          </w:tcPr>
          <w:p>
            <w:pPr>
              <w:spacing w:after="0"/>
              <w:rPr>
                <w:sz w:val="18"/>
                <w:szCs w:val="18"/>
                <w:color w:val="auto"/>
              </w:rPr>
            </w:pPr>
          </w:p>
        </w:tc>
        <w:tc>
          <w:tcPr>
            <w:tcW w:w="40" w:type="dxa"/>
            <w:vAlign w:val="bottom"/>
            <w:shd w:val="clear" w:color="auto" w:fill="003763"/>
          </w:tcPr>
          <w:p>
            <w:pPr>
              <w:spacing w:after="0"/>
              <w:rPr>
                <w:sz w:val="18"/>
                <w:szCs w:val="18"/>
                <w:color w:val="auto"/>
              </w:rPr>
            </w:pP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7"/>
        </w:trPr>
        <w:tc>
          <w:tcPr>
            <w:tcW w:w="80" w:type="dxa"/>
            <w:vAlign w:val="bottom"/>
            <w:shd w:val="clear" w:color="auto" w:fill="003763"/>
          </w:tcPr>
          <w:p>
            <w:pPr>
              <w:spacing w:after="0"/>
              <w:rPr>
                <w:sz w:val="22"/>
                <w:szCs w:val="22"/>
                <w:color w:val="auto"/>
              </w:rPr>
            </w:pPr>
          </w:p>
        </w:tc>
        <w:tc>
          <w:tcPr>
            <w:tcW w:w="5980" w:type="dxa"/>
            <w:vAlign w:val="bottom"/>
            <w:shd w:val="clear" w:color="auto" w:fill="003763"/>
          </w:tcPr>
          <w:p>
            <w:pPr>
              <w:spacing w:after="0"/>
              <w:rPr>
                <w:sz w:val="22"/>
                <w:szCs w:val="22"/>
                <w:color w:val="auto"/>
              </w:rPr>
            </w:pPr>
          </w:p>
        </w:tc>
        <w:tc>
          <w:tcPr>
            <w:tcW w:w="380" w:type="dxa"/>
            <w:vAlign w:val="bottom"/>
            <w:shd w:val="clear" w:color="auto" w:fill="003763"/>
          </w:tcPr>
          <w:p>
            <w:pPr>
              <w:jc w:val="right"/>
              <w:ind w:right="100"/>
              <w:spacing w:after="0"/>
              <w:rPr>
                <w:sz w:val="20"/>
                <w:szCs w:val="20"/>
                <w:color w:val="auto"/>
              </w:rPr>
            </w:pPr>
            <w:r>
              <w:rPr>
                <w:rFonts w:ascii="Arial" w:cs="Arial" w:eastAsia="Arial" w:hAnsi="Arial"/>
                <w:sz w:val="13"/>
                <w:szCs w:val="13"/>
                <w:b w:val="1"/>
                <w:bCs w:val="1"/>
                <w:color w:val="FFFFFF"/>
              </w:rPr>
              <w:t>​</w:t>
            </w:r>
          </w:p>
        </w:tc>
        <w:tc>
          <w:tcPr>
            <w:tcW w:w="860" w:type="dxa"/>
            <w:vAlign w:val="bottom"/>
            <w:gridSpan w:val="3"/>
            <w:shd w:val="clear" w:color="auto" w:fill="003763"/>
          </w:tcPr>
          <w:p>
            <w:pPr>
              <w:ind w:left="500"/>
              <w:spacing w:after="0"/>
              <w:rPr>
                <w:sz w:val="20"/>
                <w:szCs w:val="20"/>
                <w:color w:val="auto"/>
              </w:rPr>
            </w:pPr>
            <w:r>
              <w:rPr>
                <w:rFonts w:ascii="Arial" w:cs="Arial" w:eastAsia="Arial" w:hAnsi="Arial"/>
                <w:sz w:val="13"/>
                <w:szCs w:val="13"/>
                <w:b w:val="1"/>
                <w:bCs w:val="1"/>
                <w:color w:val="FFFFFF"/>
              </w:rPr>
              <w:t>PEO</w:t>
            </w:r>
          </w:p>
        </w:tc>
        <w:tc>
          <w:tcPr>
            <w:tcW w:w="40" w:type="dxa"/>
            <w:vAlign w:val="bottom"/>
            <w:shd w:val="clear" w:color="auto" w:fill="003763"/>
          </w:tcPr>
          <w:p>
            <w:pPr>
              <w:spacing w:after="0"/>
              <w:rPr>
                <w:sz w:val="22"/>
                <w:szCs w:val="22"/>
                <w:color w:val="auto"/>
              </w:rPr>
            </w:pPr>
          </w:p>
        </w:tc>
        <w:tc>
          <w:tcPr>
            <w:tcW w:w="380" w:type="dxa"/>
            <w:vAlign w:val="bottom"/>
            <w:shd w:val="clear" w:color="auto" w:fill="003763"/>
          </w:tcPr>
          <w:p>
            <w:pPr>
              <w:spacing w:after="0"/>
              <w:rPr>
                <w:sz w:val="22"/>
                <w:szCs w:val="22"/>
                <w:color w:val="auto"/>
              </w:rPr>
            </w:pPr>
          </w:p>
        </w:tc>
        <w:tc>
          <w:tcPr>
            <w:tcW w:w="140" w:type="dxa"/>
            <w:vAlign w:val="bottom"/>
            <w:shd w:val="clear" w:color="auto" w:fill="003763"/>
          </w:tcPr>
          <w:p>
            <w:pPr>
              <w:spacing w:after="0"/>
              <w:rPr>
                <w:sz w:val="22"/>
                <w:szCs w:val="22"/>
                <w:color w:val="auto"/>
              </w:rPr>
            </w:pP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3763"/>
          </w:tcPr>
          <w:p>
            <w:pPr>
              <w:spacing w:after="0"/>
              <w:rPr>
                <w:sz w:val="22"/>
                <w:szCs w:val="22"/>
                <w:color w:val="auto"/>
              </w:rPr>
            </w:pPr>
          </w:p>
        </w:tc>
        <w:tc>
          <w:tcPr>
            <w:tcW w:w="860" w:type="dxa"/>
            <w:vAlign w:val="bottom"/>
            <w:gridSpan w:val="2"/>
            <w:shd w:val="clear" w:color="auto" w:fill="003763"/>
          </w:tcPr>
          <w:p>
            <w:pPr>
              <w:jc w:val="right"/>
              <w:ind w:right="137"/>
              <w:spacing w:after="0"/>
              <w:rPr>
                <w:sz w:val="20"/>
                <w:szCs w:val="20"/>
                <w:color w:val="auto"/>
              </w:rPr>
            </w:pPr>
            <w:r>
              <w:rPr>
                <w:rFonts w:ascii="Arial" w:cs="Arial" w:eastAsia="Arial" w:hAnsi="Arial"/>
                <w:sz w:val="13"/>
                <w:szCs w:val="13"/>
                <w:b w:val="1"/>
                <w:bCs w:val="1"/>
                <w:color w:val="FFFFFF"/>
              </w:rPr>
              <w:t>Average</w:t>
            </w:r>
          </w:p>
        </w:tc>
        <w:tc>
          <w:tcPr>
            <w:tcW w:w="40" w:type="dxa"/>
            <w:vAlign w:val="bottom"/>
            <w:shd w:val="clear" w:color="auto" w:fill="003763"/>
          </w:tcPr>
          <w:p>
            <w:pPr>
              <w:spacing w:after="0"/>
              <w:rPr>
                <w:sz w:val="22"/>
                <w:szCs w:val="22"/>
                <w:color w:val="auto"/>
              </w:rPr>
            </w:pPr>
          </w:p>
        </w:tc>
        <w:tc>
          <w:tcPr>
            <w:tcW w:w="80" w:type="dxa"/>
            <w:vAlign w:val="bottom"/>
            <w:shd w:val="clear" w:color="auto" w:fill="003763"/>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003763"/>
          </w:tcPr>
          <w:p>
            <w:pPr>
              <w:ind w:left="20"/>
              <w:spacing w:after="0" w:line="229"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Actually Paid Adjustments</w:t>
            </w:r>
          </w:p>
        </w:tc>
        <w:tc>
          <w:tcPr>
            <w:tcW w:w="380" w:type="dxa"/>
            <w:vAlign w:val="bottom"/>
            <w:shd w:val="clear" w:color="auto" w:fill="003763"/>
          </w:tcPr>
          <w:p>
            <w:pPr>
              <w:jc w:val="right"/>
              <w:ind w:right="100"/>
              <w:spacing w:after="0"/>
              <w:rPr>
                <w:sz w:val="20"/>
                <w:szCs w:val="20"/>
                <w:color w:val="auto"/>
              </w:rPr>
            </w:pPr>
            <w:r>
              <w:rPr>
                <w:rFonts w:ascii="Arial" w:cs="Arial" w:eastAsia="Arial" w:hAnsi="Arial"/>
                <w:sz w:val="13"/>
                <w:szCs w:val="13"/>
                <w:b w:val="1"/>
                <w:bCs w:val="1"/>
                <w:color w:val="FFFFFF"/>
              </w:rPr>
              <w:t>​  ​</w:t>
            </w:r>
          </w:p>
        </w:tc>
        <w:tc>
          <w:tcPr>
            <w:tcW w:w="5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Wells</w:t>
            </w:r>
          </w:p>
        </w:tc>
        <w:tc>
          <w:tcPr>
            <w:tcW w:w="280" w:type="dxa"/>
            <w:vAlign w:val="bottom"/>
            <w:gridSpan w:val="2"/>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40" w:type="dxa"/>
            <w:vAlign w:val="bottom"/>
            <w:shd w:val="clear" w:color="auto" w:fill="003763"/>
          </w:tcPr>
          <w:p>
            <w:pPr>
              <w:spacing w:after="0"/>
              <w:rPr>
                <w:sz w:val="19"/>
                <w:szCs w:val="19"/>
                <w:color w:val="auto"/>
              </w:rPr>
            </w:pPr>
          </w:p>
        </w:tc>
        <w:tc>
          <w:tcPr>
            <w:tcW w:w="38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w w:val="97"/>
              </w:rPr>
              <w:t>Lesar</w:t>
            </w:r>
          </w:p>
        </w:tc>
        <w:tc>
          <w:tcPr>
            <w:tcW w:w="140" w:type="dxa"/>
            <w:vAlign w:val="bottom"/>
            <w:shd w:val="clear" w:color="auto" w:fill="003763"/>
          </w:tcPr>
          <w:p>
            <w:pPr>
              <w:spacing w:after="0"/>
              <w:rPr>
                <w:sz w:val="19"/>
                <w:szCs w:val="19"/>
                <w:color w:val="auto"/>
              </w:rPr>
            </w:pP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40" w:type="dxa"/>
            <w:vAlign w:val="bottom"/>
            <w:gridSpan w:val="5"/>
            <w:shd w:val="clear" w:color="auto" w:fill="003763"/>
          </w:tcPr>
          <w:p>
            <w:pPr>
              <w:ind w:left="60"/>
              <w:spacing w:after="0" w:line="229"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Non-PEO NEOs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CCCC"/>
            </w:tcBorders>
            <w:gridSpan w:val="2"/>
          </w:tcPr>
          <w:p>
            <w:pPr>
              <w:ind w:left="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Summary Compensation Table (SCT) Total</w:t>
            </w:r>
          </w:p>
        </w:tc>
        <w:tc>
          <w:tcPr>
            <w:tcW w:w="380" w:type="dxa"/>
            <w:vAlign w:val="bottom"/>
            <w:tcBorders>
              <w:bottom w:val="single" w:sz="8" w:color="CCCCCC"/>
            </w:tcBorders>
          </w:tcPr>
          <w:p>
            <w:pPr>
              <w:ind w:left="80"/>
              <w:spacing w:after="0" w:line="229" w:lineRule="exact"/>
              <w:rPr>
                <w:sz w:val="20"/>
                <w:szCs w:val="20"/>
                <w:color w:val="auto"/>
              </w:rPr>
            </w:pPr>
            <w:r>
              <w:rPr>
                <w:rFonts w:ascii="Arial" w:cs="Arial" w:eastAsia="Arial" w:hAnsi="Arial"/>
                <w:sz w:val="13"/>
                <w:szCs w:val="13"/>
                <w:color w:val="auto"/>
              </w:rPr>
              <w:t>​ ​ ​</w:t>
            </w:r>
            <w:r>
              <w:rPr>
                <w:rFonts w:ascii="Arial" w:cs="Arial" w:eastAsia="Arial" w:hAnsi="Arial"/>
                <w:sz w:val="25"/>
                <w:szCs w:val="25"/>
                <w:color w:val="auto"/>
                <w:vertAlign w:val="superscript"/>
              </w:rPr>
              <w:t>$</w:t>
            </w:r>
          </w:p>
        </w:tc>
        <w:tc>
          <w:tcPr>
            <w:tcW w:w="680" w:type="dxa"/>
            <w:vAlign w:val="bottom"/>
            <w:tcBorders>
              <w:bottom w:val="single" w:sz="8" w:color="CCCCCC"/>
            </w:tcBorders>
            <w:gridSpan w:val="2"/>
          </w:tcPr>
          <w:p>
            <w:pPr>
              <w:jc w:val="right"/>
              <w:spacing w:after="0" w:line="229" w:lineRule="exact"/>
              <w:rPr>
                <w:sz w:val="20"/>
                <w:szCs w:val="20"/>
                <w:color w:val="auto"/>
              </w:rPr>
            </w:pPr>
            <w:r>
              <w:rPr>
                <w:rFonts w:ascii="Arial" w:cs="Arial" w:eastAsia="Arial" w:hAnsi="Arial"/>
                <w:sz w:val="13"/>
                <w:szCs w:val="13"/>
                <w:color w:val="auto"/>
              </w:rPr>
              <w:t>9,231,166</w:t>
            </w:r>
            <w:r>
              <w:rPr>
                <w:rFonts w:ascii="Arial" w:cs="Arial" w:eastAsia="Arial" w:hAnsi="Arial"/>
                <w:sz w:val="25"/>
                <w:szCs w:val="25"/>
                <w:color w:val="auto"/>
                <w:vertAlign w:val="subscript"/>
              </w:rPr>
              <w:t>​​</w:t>
            </w:r>
          </w:p>
        </w:tc>
        <w:tc>
          <w:tcPr>
            <w:tcW w:w="180" w:type="dxa"/>
            <w:vAlign w:val="bottom"/>
            <w:tcBorders>
              <w:bottom w:val="single" w:sz="8" w:color="CCCCCC"/>
            </w:tcBorders>
          </w:tcPr>
          <w:p>
            <w:pPr>
              <w:ind w:left="40"/>
              <w:spacing w:after="0" w:line="229"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tcPr>
          <w:p>
            <w:pPr>
              <w:spacing w:after="0"/>
              <w:rPr>
                <w:sz w:val="19"/>
                <w:szCs w:val="19"/>
                <w:color w:val="auto"/>
              </w:rPr>
            </w:pPr>
          </w:p>
        </w:tc>
        <w:tc>
          <w:tcPr>
            <w:tcW w:w="620" w:type="dxa"/>
            <w:vAlign w:val="bottom"/>
            <w:tcBorders>
              <w:bottom w:val="single" w:sz="8" w:color="CCCCCC"/>
            </w:tcBorders>
            <w:gridSpan w:val="3"/>
          </w:tcPr>
          <w:p>
            <w:pPr>
              <w:jc w:val="right"/>
              <w:spacing w:after="0" w:line="229" w:lineRule="exact"/>
              <w:rPr>
                <w:sz w:val="20"/>
                <w:szCs w:val="20"/>
                <w:color w:val="auto"/>
              </w:rPr>
            </w:pPr>
            <w:r>
              <w:rPr>
                <w:rFonts w:ascii="Arial" w:cs="Arial" w:eastAsia="Arial" w:hAnsi="Arial"/>
                <w:sz w:val="13"/>
                <w:szCs w:val="13"/>
                <w:color w:val="auto"/>
              </w:rPr>
              <w:t>360,798</w:t>
            </w:r>
            <w:r>
              <w:rPr>
                <w:rFonts w:ascii="Arial" w:cs="Arial" w:eastAsia="Arial" w:hAnsi="Arial"/>
                <w:sz w:val="25"/>
                <w:szCs w:val="25"/>
                <w:color w:val="auto"/>
                <w:vertAlign w:val="subscript"/>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CCCC"/>
            </w:tcBorders>
            <w:gridSpan w:val="2"/>
          </w:tcPr>
          <w:p>
            <w:pPr>
              <w:jc w:val="right"/>
              <w:ind w:right="17"/>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$ 2,726,754</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shd w:val="clear" w:color="auto" w:fill="F2F2F2"/>
          </w:tcPr>
          <w:p>
            <w:pPr>
              <w:ind w:left="20"/>
              <w:spacing w:after="0" w:line="142" w:lineRule="exact"/>
              <w:rPr>
                <w:sz w:val="20"/>
                <w:szCs w:val="20"/>
                <w:color w:val="auto"/>
              </w:rPr>
            </w:pPr>
            <w:r>
              <w:rPr>
                <w:rFonts w:ascii="Arial" w:cs="Arial" w:eastAsia="Arial" w:hAnsi="Arial"/>
                <w:sz w:val="13"/>
                <w:szCs w:val="13"/>
                <w:color w:val="auto"/>
              </w:rPr>
              <w:t>Deduction for Amounts Reported under the Stock Awards and Options Awards columns in the SCT</w:t>
            </w:r>
          </w:p>
        </w:tc>
        <w:tc>
          <w:tcPr>
            <w:tcW w:w="1060" w:type="dxa"/>
            <w:vAlign w:val="bottom"/>
            <w:gridSpan w:val="3"/>
            <w:shd w:val="clear" w:color="auto" w:fill="F2F2F2"/>
          </w:tcPr>
          <w:p>
            <w:pPr>
              <w:jc w:val="right"/>
              <w:ind w:right="1"/>
              <w:spacing w:after="0" w:line="142" w:lineRule="exact"/>
              <w:rPr>
                <w:sz w:val="20"/>
                <w:szCs w:val="20"/>
                <w:color w:val="auto"/>
              </w:rPr>
            </w:pPr>
            <w:r>
              <w:rPr>
                <w:rFonts w:ascii="Arial" w:cs="Arial" w:eastAsia="Arial" w:hAnsi="Arial"/>
                <w:sz w:val="13"/>
                <w:szCs w:val="13"/>
                <w:color w:val="auto"/>
              </w:rPr>
              <w:t>$ (5,749,999)</w:t>
            </w:r>
          </w:p>
        </w:tc>
        <w:tc>
          <w:tcPr>
            <w:tcW w:w="180" w:type="dxa"/>
            <w:vAlign w:val="bottom"/>
            <w:vMerge w:val="restart"/>
            <w:shd w:val="clear" w:color="auto" w:fill="F2F2F2"/>
          </w:tcPr>
          <w:p>
            <w:pPr>
              <w:ind w:left="40"/>
              <w:spacing w:after="0"/>
              <w:rPr>
                <w:sz w:val="20"/>
                <w:szCs w:val="20"/>
                <w:color w:val="auto"/>
              </w:rPr>
            </w:pPr>
            <w:r>
              <w:rPr>
                <w:rFonts w:ascii="Arial" w:cs="Arial" w:eastAsia="Arial" w:hAnsi="Arial"/>
                <w:sz w:val="13"/>
                <w:szCs w:val="13"/>
                <w:color w:val="auto"/>
              </w:rPr>
              <w:t>​ ​</w:t>
            </w:r>
          </w:p>
        </w:tc>
        <w:tc>
          <w:tcPr>
            <w:tcW w:w="40" w:type="dxa"/>
            <w:vAlign w:val="bottom"/>
            <w:shd w:val="clear" w:color="auto" w:fill="F2F2F2"/>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shd w:val="clear" w:color="auto" w:fill="F2F2F2"/>
          </w:tcPr>
          <w:p>
            <w:pPr>
              <w:spacing w:after="0"/>
              <w:rPr>
                <w:sz w:val="12"/>
                <w:szCs w:val="12"/>
                <w:color w:val="auto"/>
              </w:rPr>
            </w:pPr>
          </w:p>
        </w:tc>
        <w:tc>
          <w:tcPr>
            <w:tcW w:w="240" w:type="dxa"/>
            <w:vAlign w:val="bottom"/>
            <w:gridSpan w:val="2"/>
            <w:shd w:val="clear" w:color="auto" w:fill="F2F2F2"/>
          </w:tcPr>
          <w:p>
            <w:pPr>
              <w:jc w:val="right"/>
              <w:ind w:right="44"/>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F2F2F2"/>
          </w:tcPr>
          <w:p>
            <w:pPr>
              <w:jc w:val="right"/>
              <w:spacing w:after="0" w:line="142" w:lineRule="exact"/>
              <w:rPr>
                <w:sz w:val="20"/>
                <w:szCs w:val="20"/>
                <w:color w:val="auto"/>
              </w:rPr>
            </w:pPr>
            <w:r>
              <w:rPr>
                <w:rFonts w:ascii="Arial" w:cs="Arial" w:eastAsia="Arial" w:hAnsi="Arial"/>
                <w:sz w:val="13"/>
                <w:szCs w:val="13"/>
                <w:color w:val="auto"/>
              </w:rPr>
              <w:t>$(1,302,789)</w:t>
            </w:r>
          </w:p>
        </w:tc>
        <w:tc>
          <w:tcPr>
            <w:tcW w:w="1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CCCCCC"/>
            </w:tcBorders>
            <w:vMerge w:val="continue"/>
            <w:shd w:val="clear" w:color="auto" w:fill="F2F2F2"/>
          </w:tcPr>
          <w:p>
            <w:pPr>
              <w:spacing w:after="0"/>
              <w:rPr>
                <w:sz w:val="5"/>
                <w:szCs w:val="5"/>
                <w:color w:val="auto"/>
              </w:rPr>
            </w:pPr>
          </w:p>
        </w:tc>
        <w:tc>
          <w:tcPr>
            <w:tcW w:w="5980" w:type="dxa"/>
            <w:vAlign w:val="bottom"/>
            <w:tcBorders>
              <w:bottom w:val="single" w:sz="8" w:color="CCCCCC"/>
            </w:tcBorders>
            <w:shd w:val="clear" w:color="auto" w:fill="F2F2F2"/>
          </w:tcPr>
          <w:p>
            <w:pPr>
              <w:spacing w:after="0"/>
              <w:rPr>
                <w:sz w:val="5"/>
                <w:szCs w:val="5"/>
                <w:color w:val="auto"/>
              </w:rPr>
            </w:pPr>
          </w:p>
        </w:tc>
        <w:tc>
          <w:tcPr>
            <w:tcW w:w="380" w:type="dxa"/>
            <w:vAlign w:val="bottom"/>
            <w:tcBorders>
              <w:bottom w:val="single" w:sz="8" w:color="CCCCCC"/>
            </w:tcBorders>
            <w:shd w:val="clear" w:color="auto" w:fill="F2F2F2"/>
          </w:tcPr>
          <w:p>
            <w:pPr>
              <w:ind w:left="80"/>
              <w:spacing w:after="0" w:line="68" w:lineRule="exact"/>
              <w:rPr>
                <w:sz w:val="20"/>
                <w:szCs w:val="20"/>
                <w:color w:val="auto"/>
              </w:rPr>
            </w:pPr>
            <w:r>
              <w:rPr>
                <w:rFonts w:ascii="Arial" w:cs="Arial" w:eastAsia="Arial" w:hAnsi="Arial"/>
                <w:sz w:val="7"/>
                <w:szCs w:val="7"/>
                <w:color w:val="auto"/>
              </w:rPr>
              <w:t>​ ​ ​</w:t>
            </w:r>
          </w:p>
        </w:tc>
        <w:tc>
          <w:tcPr>
            <w:tcW w:w="580" w:type="dxa"/>
            <w:vAlign w:val="bottom"/>
            <w:tcBorders>
              <w:bottom w:val="single" w:sz="8" w:color="CCCCCC"/>
            </w:tcBorders>
            <w:shd w:val="clear" w:color="auto" w:fill="F2F2F2"/>
          </w:tcPr>
          <w:p>
            <w:pPr>
              <w:spacing w:after="0"/>
              <w:rPr>
                <w:sz w:val="5"/>
                <w:szCs w:val="5"/>
                <w:color w:val="auto"/>
              </w:rPr>
            </w:pPr>
          </w:p>
        </w:tc>
        <w:tc>
          <w:tcPr>
            <w:tcW w:w="100" w:type="dxa"/>
            <w:vAlign w:val="bottom"/>
            <w:tcBorders>
              <w:bottom w:val="single" w:sz="8" w:color="CCCCCC"/>
            </w:tcBorders>
            <w:shd w:val="clear" w:color="auto" w:fill="F2F2F2"/>
          </w:tcPr>
          <w:p>
            <w:pPr>
              <w:jc w:val="right"/>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CCCCCC"/>
            </w:tcBorders>
            <w:vMerge w:val="continue"/>
            <w:shd w:val="clear" w:color="auto" w:fill="F2F2F2"/>
          </w:tcPr>
          <w:p>
            <w:pPr>
              <w:spacing w:after="0"/>
              <w:rPr>
                <w:sz w:val="5"/>
                <w:szCs w:val="5"/>
                <w:color w:val="auto"/>
              </w:rPr>
            </w:pPr>
          </w:p>
        </w:tc>
        <w:tc>
          <w:tcPr>
            <w:tcW w:w="40" w:type="dxa"/>
            <w:vAlign w:val="bottom"/>
            <w:tcBorders>
              <w:bottom w:val="single" w:sz="8" w:color="CCCCCC"/>
            </w:tcBorders>
            <w:shd w:val="clear" w:color="auto" w:fill="F2F2F2"/>
          </w:tcPr>
          <w:p>
            <w:pPr>
              <w:spacing w:after="0"/>
              <w:rPr>
                <w:sz w:val="5"/>
                <w:szCs w:val="5"/>
                <w:color w:val="auto"/>
              </w:rPr>
            </w:pPr>
          </w:p>
        </w:tc>
        <w:tc>
          <w:tcPr>
            <w:tcW w:w="380" w:type="dxa"/>
            <w:vAlign w:val="bottom"/>
            <w:tcBorders>
              <w:bottom w:val="single" w:sz="8" w:color="CCCCCC"/>
            </w:tcBorders>
            <w:shd w:val="clear" w:color="auto" w:fill="F2F2F2"/>
          </w:tcPr>
          <w:p>
            <w:pPr>
              <w:spacing w:after="0"/>
              <w:rPr>
                <w:sz w:val="5"/>
                <w:szCs w:val="5"/>
                <w:color w:val="auto"/>
              </w:rPr>
            </w:pPr>
          </w:p>
        </w:tc>
        <w:tc>
          <w:tcPr>
            <w:tcW w:w="140" w:type="dxa"/>
            <w:vAlign w:val="bottom"/>
            <w:tcBorders>
              <w:bottom w:val="single" w:sz="8" w:color="CCCCCC"/>
            </w:tcBorders>
            <w:shd w:val="clear" w:color="auto" w:fill="F2F2F2"/>
          </w:tcPr>
          <w:p>
            <w:pPr>
              <w:spacing w:after="0"/>
              <w:rPr>
                <w:sz w:val="5"/>
                <w:szCs w:val="5"/>
                <w:color w:val="auto"/>
              </w:rPr>
            </w:pPr>
          </w:p>
        </w:tc>
        <w:tc>
          <w:tcPr>
            <w:tcW w:w="100" w:type="dxa"/>
            <w:vAlign w:val="bottom"/>
            <w:tcBorders>
              <w:bottom w:val="single" w:sz="8" w:color="CCCCCC"/>
            </w:tcBorders>
            <w:shd w:val="clear" w:color="auto" w:fill="F2F2F2"/>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CCCCCC"/>
            </w:tcBorders>
            <w:vMerge w:val="continue"/>
            <w:shd w:val="clear" w:color="auto" w:fill="F2F2F2"/>
          </w:tcPr>
          <w:p>
            <w:pPr>
              <w:spacing w:after="0"/>
              <w:rPr>
                <w:sz w:val="5"/>
                <w:szCs w:val="5"/>
                <w:color w:val="auto"/>
              </w:rPr>
            </w:pPr>
          </w:p>
        </w:tc>
        <w:tc>
          <w:tcPr>
            <w:tcW w:w="240" w:type="dxa"/>
            <w:vAlign w:val="bottom"/>
            <w:tcBorders>
              <w:bottom w:val="single" w:sz="8" w:color="CCCCCC"/>
            </w:tcBorders>
            <w:shd w:val="clear" w:color="auto" w:fill="F2F2F2"/>
          </w:tcPr>
          <w:p>
            <w:pPr>
              <w:ind w:left="80"/>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CCCCCC"/>
            </w:tcBorders>
            <w:shd w:val="clear" w:color="auto" w:fill="F2F2F2"/>
          </w:tcPr>
          <w:p>
            <w:pPr>
              <w:spacing w:after="0"/>
              <w:rPr>
                <w:sz w:val="5"/>
                <w:szCs w:val="5"/>
                <w:color w:val="auto"/>
              </w:rPr>
            </w:pPr>
          </w:p>
        </w:tc>
        <w:tc>
          <w:tcPr>
            <w:tcW w:w="120" w:type="dxa"/>
            <w:vAlign w:val="bottom"/>
            <w:tcBorders>
              <w:bottom w:val="single" w:sz="8" w:color="CCCCCC"/>
            </w:tcBorders>
            <w:gridSpan w:val="2"/>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980" w:type="dxa"/>
            <w:vAlign w:val="bottom"/>
          </w:tcPr>
          <w:p>
            <w:pPr>
              <w:ind w:left="20"/>
              <w:spacing w:after="0"/>
              <w:rPr>
                <w:sz w:val="20"/>
                <w:szCs w:val="20"/>
                <w:color w:val="auto"/>
              </w:rPr>
            </w:pPr>
            <w:r>
              <w:rPr>
                <w:rFonts w:ascii="Arial" w:cs="Arial" w:eastAsia="Arial" w:hAnsi="Arial"/>
                <w:sz w:val="13"/>
                <w:szCs w:val="13"/>
                <w:color w:val="auto"/>
              </w:rPr>
              <w:t>Deduction for Amounts Reported under the “Change in Pension Value and Nonqualified Deferred</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Compensation Earnings” column in the SCT</w:t>
            </w:r>
          </w:p>
        </w:tc>
        <w:tc>
          <w:tcPr>
            <w:tcW w:w="380" w:type="dxa"/>
            <w:vAlign w:val="bottom"/>
            <w:tcBorders>
              <w:bottom w:val="single" w:sz="8" w:color="CCCCCC"/>
            </w:tcBorders>
          </w:tcPr>
          <w:p>
            <w:pPr>
              <w:ind w:left="80"/>
              <w:spacing w:after="0" w:line="207"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tcPr>
          <w:p>
            <w:pPr>
              <w:jc w:val="right"/>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220" w:type="dxa"/>
            <w:vAlign w:val="bottom"/>
            <w:tcBorders>
              <w:bottom w:val="single" w:sz="8" w:color="CCCCCC"/>
            </w:tcBorders>
            <w:gridSpan w:val="2"/>
          </w:tcPr>
          <w:p>
            <w:pPr>
              <w:ind w:left="40"/>
              <w:spacing w:after="0" w:line="207"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380" w:type="dxa"/>
            <w:vAlign w:val="bottom"/>
            <w:tcBorders>
              <w:bottom w:val="single" w:sz="8" w:color="CCCCCC"/>
            </w:tcBorders>
          </w:tcPr>
          <w:p>
            <w:pPr>
              <w:spacing w:after="0"/>
              <w:rPr>
                <w:sz w:val="18"/>
                <w:szCs w:val="18"/>
                <w:color w:val="auto"/>
              </w:rPr>
            </w:pPr>
          </w:p>
        </w:tc>
        <w:tc>
          <w:tcPr>
            <w:tcW w:w="240" w:type="dxa"/>
            <w:vAlign w:val="bottom"/>
            <w:tcBorders>
              <w:bottom w:val="single" w:sz="8" w:color="CCCCCC"/>
            </w:tcBorders>
            <w:gridSpan w:val="2"/>
          </w:tcPr>
          <w:p>
            <w:pPr>
              <w:jc w:val="right"/>
              <w:spacing w:after="0" w:line="20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tcPr>
          <w:p>
            <w:pPr>
              <w:ind w:left="8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perscript"/>
              </w:rPr>
              <w:t>$</w:t>
            </w:r>
          </w:p>
        </w:tc>
        <w:tc>
          <w:tcPr>
            <w:tcW w:w="6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(20,966)</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CCCC"/>
            </w:tcBorders>
            <w:gridSpan w:val="2"/>
            <w:shd w:val="clear" w:color="auto" w:fill="F2F2F2"/>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Increase for Service Cost and Prior Service Cost for Pension Plans</w:t>
            </w:r>
          </w:p>
        </w:tc>
        <w:tc>
          <w:tcPr>
            <w:tcW w:w="38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220" w:type="dxa"/>
            <w:vAlign w:val="bottom"/>
            <w:tcBorders>
              <w:bottom w:val="single" w:sz="8" w:color="CCCCCC"/>
            </w:tcBorders>
            <w:gridSpan w:val="2"/>
            <w:shd w:val="clear" w:color="auto" w:fill="F2F2F2"/>
          </w:tcPr>
          <w:p>
            <w:pPr>
              <w:ind w:left="40"/>
              <w:spacing w:after="0" w:line="210"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380" w:type="dxa"/>
            <w:vAlign w:val="bottom"/>
            <w:tcBorders>
              <w:bottom w:val="single" w:sz="8" w:color="CCCCCC"/>
            </w:tcBorders>
            <w:shd w:val="clear" w:color="auto" w:fill="F2F2F2"/>
          </w:tcPr>
          <w:p>
            <w:pPr>
              <w:spacing w:after="0"/>
              <w:rPr>
                <w:sz w:val="18"/>
                <w:szCs w:val="18"/>
                <w:color w:val="auto"/>
              </w:rPr>
            </w:pPr>
          </w:p>
        </w:tc>
        <w:tc>
          <w:tcPr>
            <w:tcW w:w="24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perscript"/>
              </w:rPr>
              <w:t>$</w:t>
            </w:r>
          </w:p>
        </w:tc>
        <w:tc>
          <w:tcPr>
            <w:tcW w:w="62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20,481</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CCCC"/>
            </w:tcBorders>
            <w:gridSpan w:val="2"/>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Increase for Fair Value of Awards Granted During Year that Remain Unvested as of Year-End</w:t>
            </w:r>
          </w:p>
        </w:tc>
        <w:tc>
          <w:tcPr>
            <w:tcW w:w="380" w:type="dxa"/>
            <w:vAlign w:val="bottom"/>
            <w:tcBorders>
              <w:bottom w:val="single" w:sz="8" w:color="CCCCCC"/>
            </w:tcBorders>
          </w:tcPr>
          <w:p>
            <w:pPr>
              <w:ind w:left="80"/>
              <w:spacing w:after="0" w:line="210" w:lineRule="exact"/>
              <w:rPr>
                <w:sz w:val="20"/>
                <w:szCs w:val="20"/>
                <w:color w:val="auto"/>
              </w:rPr>
            </w:pPr>
            <w:r>
              <w:rPr>
                <w:rFonts w:ascii="Arial" w:cs="Arial" w:eastAsia="Arial" w:hAnsi="Arial"/>
                <w:sz w:val="12"/>
                <w:szCs w:val="12"/>
                <w:color w:val="auto"/>
              </w:rPr>
              <w:t>​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tcPr>
          <w:p>
            <w:pPr>
              <w:jc w:val="right"/>
              <w:spacing w:after="0" w:line="210" w:lineRule="exact"/>
              <w:rPr>
                <w:sz w:val="20"/>
                <w:szCs w:val="20"/>
                <w:color w:val="auto"/>
              </w:rPr>
            </w:pPr>
            <w:r>
              <w:rPr>
                <w:rFonts w:ascii="Arial" w:cs="Arial" w:eastAsia="Arial" w:hAnsi="Arial"/>
                <w:sz w:val="12"/>
                <w:szCs w:val="12"/>
                <w:color w:val="auto"/>
              </w:rPr>
              <w:t>7,916,360</w:t>
            </w:r>
            <w:r>
              <w:rPr>
                <w:rFonts w:ascii="Arial" w:cs="Arial" w:eastAsia="Arial" w:hAnsi="Arial"/>
                <w:sz w:val="24"/>
                <w:szCs w:val="24"/>
                <w:color w:val="auto"/>
                <w:vertAlign w:val="subscript"/>
              </w:rPr>
              <w:t>​​</w:t>
            </w:r>
          </w:p>
        </w:tc>
        <w:tc>
          <w:tcPr>
            <w:tcW w:w="220" w:type="dxa"/>
            <w:vAlign w:val="bottom"/>
            <w:tcBorders>
              <w:bottom w:val="single" w:sz="8" w:color="CCCCCC"/>
            </w:tcBorders>
            <w:gridSpan w:val="2"/>
          </w:tcPr>
          <w:p>
            <w:pPr>
              <w:ind w:left="40"/>
              <w:spacing w:after="0" w:line="210"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380" w:type="dxa"/>
            <w:vAlign w:val="bottom"/>
            <w:tcBorders>
              <w:bottom w:val="single" w:sz="8" w:color="CCCCCC"/>
            </w:tcBorders>
          </w:tcPr>
          <w:p>
            <w:pPr>
              <w:spacing w:after="0"/>
              <w:rPr>
                <w:sz w:val="18"/>
                <w:szCs w:val="18"/>
                <w:color w:val="auto"/>
              </w:rPr>
            </w:pPr>
          </w:p>
        </w:tc>
        <w:tc>
          <w:tcPr>
            <w:tcW w:w="240" w:type="dxa"/>
            <w:vAlign w:val="bottom"/>
            <w:tcBorders>
              <w:bottom w:val="single" w:sz="8" w:color="CCCCCC"/>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CCCC"/>
            </w:tcBorders>
            <w:gridSpan w:val="2"/>
          </w:tcPr>
          <w:p>
            <w:pPr>
              <w:jc w:val="right"/>
              <w:ind w:right="17"/>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$ 1,588,780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CCCC"/>
            </w:tcBorders>
            <w:gridSpan w:val="2"/>
            <w:shd w:val="clear" w:color="auto" w:fill="F2F2F2"/>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Increase for Fair Value of Awards Granted During Year that Vest During Year</w:t>
            </w:r>
          </w:p>
        </w:tc>
        <w:tc>
          <w:tcPr>
            <w:tcW w:w="38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220" w:type="dxa"/>
            <w:vAlign w:val="bottom"/>
            <w:tcBorders>
              <w:bottom w:val="single" w:sz="8" w:color="CCCCCC"/>
            </w:tcBorders>
            <w:gridSpan w:val="2"/>
            <w:shd w:val="clear" w:color="auto" w:fill="F2F2F2"/>
          </w:tcPr>
          <w:p>
            <w:pPr>
              <w:ind w:left="40"/>
              <w:spacing w:after="0" w:line="210"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380" w:type="dxa"/>
            <w:vAlign w:val="bottom"/>
            <w:tcBorders>
              <w:bottom w:val="single" w:sz="8" w:color="CCCCCC"/>
            </w:tcBorders>
            <w:shd w:val="clear" w:color="auto" w:fill="F2F2F2"/>
          </w:tcPr>
          <w:p>
            <w:pPr>
              <w:spacing w:after="0"/>
              <w:rPr>
                <w:sz w:val="18"/>
                <w:szCs w:val="18"/>
                <w:color w:val="auto"/>
              </w:rPr>
            </w:pPr>
          </w:p>
        </w:tc>
        <w:tc>
          <w:tcPr>
            <w:tcW w:w="24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w:t>
            </w:r>
          </w:p>
        </w:tc>
        <w:tc>
          <w:tcPr>
            <w:tcW w:w="62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CCCC"/>
            </w:tcBorders>
            <w:gridSpan w:val="2"/>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Increase for Dividends Paid on Unvested Shares/Share Units &amp; Stock Options</w:t>
            </w:r>
          </w:p>
        </w:tc>
        <w:tc>
          <w:tcPr>
            <w:tcW w:w="380" w:type="dxa"/>
            <w:vAlign w:val="bottom"/>
            <w:tcBorders>
              <w:bottom w:val="single" w:sz="8" w:color="CCCCCC"/>
            </w:tcBorders>
          </w:tcPr>
          <w:p>
            <w:pPr>
              <w:ind w:left="80"/>
              <w:spacing w:after="0" w:line="210" w:lineRule="exact"/>
              <w:rPr>
                <w:sz w:val="20"/>
                <w:szCs w:val="20"/>
                <w:color w:val="auto"/>
              </w:rPr>
            </w:pPr>
            <w:r>
              <w:rPr>
                <w:rFonts w:ascii="Arial" w:cs="Arial" w:eastAsia="Arial" w:hAnsi="Arial"/>
                <w:sz w:val="12"/>
                <w:szCs w:val="12"/>
                <w:color w:val="auto"/>
              </w:rPr>
              <w:t>​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tcPr>
          <w:p>
            <w:pPr>
              <w:jc w:val="right"/>
              <w:spacing w:after="0" w:line="210" w:lineRule="exact"/>
              <w:rPr>
                <w:sz w:val="20"/>
                <w:szCs w:val="20"/>
                <w:color w:val="auto"/>
              </w:rPr>
            </w:pPr>
            <w:r>
              <w:rPr>
                <w:rFonts w:ascii="Arial" w:cs="Arial" w:eastAsia="Arial" w:hAnsi="Arial"/>
                <w:sz w:val="12"/>
                <w:szCs w:val="12"/>
                <w:color w:val="auto"/>
              </w:rPr>
              <w:t>416,564</w:t>
            </w:r>
            <w:r>
              <w:rPr>
                <w:rFonts w:ascii="Arial" w:cs="Arial" w:eastAsia="Arial" w:hAnsi="Arial"/>
                <w:sz w:val="24"/>
                <w:szCs w:val="24"/>
                <w:color w:val="auto"/>
                <w:vertAlign w:val="subscript"/>
              </w:rPr>
              <w:t>​​</w:t>
            </w:r>
          </w:p>
        </w:tc>
        <w:tc>
          <w:tcPr>
            <w:tcW w:w="180" w:type="dxa"/>
            <w:vAlign w:val="bottom"/>
            <w:tcBorders>
              <w:bottom w:val="single" w:sz="8" w:color="CCCCCC"/>
            </w:tcBorders>
          </w:tcPr>
          <w:p>
            <w:pPr>
              <w:ind w:left="40"/>
              <w:spacing w:after="0" w:line="210" w:lineRule="exact"/>
              <w:rPr>
                <w:sz w:val="20"/>
                <w:szCs w:val="20"/>
                <w:color w:val="auto"/>
              </w:rPr>
            </w:pPr>
            <w:r>
              <w:rPr>
                <w:rFonts w:ascii="Arial" w:cs="Arial" w:eastAsia="Arial" w:hAnsi="Arial"/>
                <w:sz w:val="12"/>
                <w:szCs w:val="12"/>
                <w:color w:val="auto"/>
                <w:w w:val="97"/>
              </w:rPr>
              <w:t>​ ​</w:t>
            </w:r>
            <w:r>
              <w:rPr>
                <w:rFonts w:ascii="Arial" w:cs="Arial" w:eastAsia="Arial" w:hAnsi="Arial"/>
                <w:sz w:val="24"/>
                <w:szCs w:val="24"/>
                <w:color w:val="auto"/>
                <w:w w:val="97"/>
                <w:vertAlign w:val="superscript"/>
              </w:rPr>
              <w:t>$</w:t>
            </w:r>
          </w:p>
        </w:tc>
        <w:tc>
          <w:tcPr>
            <w:tcW w:w="40" w:type="dxa"/>
            <w:vAlign w:val="bottom"/>
            <w:tcBorders>
              <w:bottom w:val="single" w:sz="8" w:color="CCCCCC"/>
            </w:tcBorders>
          </w:tcPr>
          <w:p>
            <w:pPr>
              <w:spacing w:after="0"/>
              <w:rPr>
                <w:sz w:val="18"/>
                <w:szCs w:val="18"/>
                <w:color w:val="auto"/>
              </w:rPr>
            </w:pPr>
          </w:p>
        </w:tc>
        <w:tc>
          <w:tcPr>
            <w:tcW w:w="620" w:type="dxa"/>
            <w:vAlign w:val="bottom"/>
            <w:tcBorders>
              <w:bottom w:val="single" w:sz="8" w:color="CCCCCC"/>
            </w:tcBorders>
            <w:gridSpan w:val="3"/>
          </w:tcPr>
          <w:p>
            <w:pPr>
              <w:jc w:val="right"/>
              <w:spacing w:after="0" w:line="210" w:lineRule="exact"/>
              <w:rPr>
                <w:sz w:val="20"/>
                <w:szCs w:val="20"/>
                <w:color w:val="auto"/>
              </w:rPr>
            </w:pPr>
            <w:r>
              <w:rPr>
                <w:rFonts w:ascii="Arial" w:cs="Arial" w:eastAsia="Arial" w:hAnsi="Arial"/>
                <w:sz w:val="12"/>
                <w:szCs w:val="12"/>
                <w:color w:val="auto"/>
              </w:rPr>
              <w:t>716,754</w:t>
            </w:r>
            <w:r>
              <w:rPr>
                <w:rFonts w:ascii="Arial" w:cs="Arial" w:eastAsia="Arial" w:hAnsi="Arial"/>
                <w:sz w:val="24"/>
                <w:szCs w:val="24"/>
                <w:color w:val="auto"/>
                <w:vertAlign w:val="subscript"/>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tcPr>
          <w:p>
            <w:pPr>
              <w:ind w:left="80"/>
              <w:spacing w:after="0" w:line="210"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perscript"/>
              </w:rPr>
              <w:t>$</w:t>
            </w:r>
          </w:p>
        </w:tc>
        <w:tc>
          <w:tcPr>
            <w:tcW w:w="62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126,985</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80" w:type="dxa"/>
            <w:vAlign w:val="bottom"/>
            <w:shd w:val="clear" w:color="auto" w:fill="F2F2F2"/>
          </w:tcPr>
          <w:p>
            <w:pPr>
              <w:spacing w:after="0"/>
              <w:rPr>
                <w:sz w:val="14"/>
                <w:szCs w:val="14"/>
                <w:color w:val="auto"/>
              </w:rPr>
            </w:pPr>
          </w:p>
        </w:tc>
        <w:tc>
          <w:tcPr>
            <w:tcW w:w="5980" w:type="dxa"/>
            <w:vAlign w:val="bottom"/>
            <w:shd w:val="clear" w:color="auto" w:fill="F2F2F2"/>
          </w:tcPr>
          <w:p>
            <w:pPr>
              <w:ind w:left="20"/>
              <w:spacing w:after="0"/>
              <w:rPr>
                <w:sz w:val="20"/>
                <w:szCs w:val="20"/>
                <w:color w:val="auto"/>
              </w:rPr>
            </w:pPr>
            <w:r>
              <w:rPr>
                <w:rFonts w:ascii="Arial" w:cs="Arial" w:eastAsia="Arial" w:hAnsi="Arial"/>
                <w:sz w:val="13"/>
                <w:szCs w:val="13"/>
                <w:color w:val="auto"/>
                <w:w w:val="94"/>
              </w:rPr>
              <w:t>Increase/Deduction for Change in Fair Value from Prior Year-End to Vesting Date of Awards Granted Prior to</w:t>
            </w:r>
          </w:p>
        </w:tc>
        <w:tc>
          <w:tcPr>
            <w:tcW w:w="380" w:type="dxa"/>
            <w:vAlign w:val="bottom"/>
            <w:shd w:val="clear" w:color="auto" w:fill="F2F2F2"/>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62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3"/>
                <w:szCs w:val="13"/>
                <w:color w:val="auto"/>
              </w:rPr>
              <w:t>Year that Vest During Year</w:t>
            </w:r>
          </w:p>
        </w:tc>
        <w:tc>
          <w:tcPr>
            <w:tcW w:w="380" w:type="dxa"/>
            <w:vAlign w:val="bottom"/>
            <w:tcBorders>
              <w:bottom w:val="single" w:sz="8" w:color="CCCCCC"/>
            </w:tcBorders>
            <w:shd w:val="clear" w:color="auto" w:fill="F2F2F2"/>
          </w:tcPr>
          <w:p>
            <w:pPr>
              <w:ind w:left="80"/>
              <w:spacing w:after="0" w:line="207" w:lineRule="exact"/>
              <w:rPr>
                <w:sz w:val="20"/>
                <w:szCs w:val="20"/>
                <w:color w:val="auto"/>
              </w:rPr>
            </w:pPr>
            <w:r>
              <w:rPr>
                <w:rFonts w:ascii="Arial" w:cs="Arial" w:eastAsia="Arial" w:hAnsi="Arial"/>
                <w:sz w:val="12"/>
                <w:szCs w:val="12"/>
                <w:color w:val="auto"/>
              </w:rPr>
              <w:t>​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shd w:val="clear" w:color="auto" w:fill="F2F2F2"/>
          </w:tcPr>
          <w:p>
            <w:pPr>
              <w:jc w:val="right"/>
              <w:spacing w:after="0" w:line="207" w:lineRule="exact"/>
              <w:rPr>
                <w:sz w:val="20"/>
                <w:szCs w:val="20"/>
                <w:color w:val="auto"/>
              </w:rPr>
            </w:pPr>
            <w:r>
              <w:rPr>
                <w:rFonts w:ascii="Arial" w:cs="Arial" w:eastAsia="Arial" w:hAnsi="Arial"/>
                <w:sz w:val="12"/>
                <w:szCs w:val="12"/>
                <w:color w:val="auto"/>
              </w:rPr>
              <w:t>45,162</w:t>
            </w:r>
            <w:r>
              <w:rPr>
                <w:rFonts w:ascii="Arial" w:cs="Arial" w:eastAsia="Arial" w:hAnsi="Arial"/>
                <w:sz w:val="24"/>
                <w:szCs w:val="24"/>
                <w:color w:val="auto"/>
                <w:vertAlign w:val="subscript"/>
              </w:rPr>
              <w:t>​​</w:t>
            </w:r>
          </w:p>
        </w:tc>
        <w:tc>
          <w:tcPr>
            <w:tcW w:w="180" w:type="dxa"/>
            <w:vAlign w:val="bottom"/>
            <w:tcBorders>
              <w:bottom w:val="single" w:sz="8" w:color="CCCCCC"/>
            </w:tcBorders>
            <w:shd w:val="clear" w:color="auto" w:fill="F2F2F2"/>
          </w:tcPr>
          <w:p>
            <w:pPr>
              <w:ind w:left="40"/>
              <w:spacing w:after="0" w:line="207" w:lineRule="exact"/>
              <w:rPr>
                <w:sz w:val="20"/>
                <w:szCs w:val="20"/>
                <w:color w:val="auto"/>
              </w:rPr>
            </w:pPr>
            <w:r>
              <w:rPr>
                <w:rFonts w:ascii="Arial" w:cs="Arial" w:eastAsia="Arial" w:hAnsi="Arial"/>
                <w:sz w:val="12"/>
                <w:szCs w:val="12"/>
                <w:color w:val="auto"/>
                <w:w w:val="97"/>
              </w:rPr>
              <w:t>​ ​</w:t>
            </w:r>
            <w:r>
              <w:rPr>
                <w:rFonts w:ascii="Arial" w:cs="Arial" w:eastAsia="Arial" w:hAnsi="Arial"/>
                <w:sz w:val="24"/>
                <w:szCs w:val="24"/>
                <w:color w:val="auto"/>
                <w:w w:val="97"/>
                <w:vertAlign w:val="superscript"/>
              </w:rPr>
              <w:t>$</w:t>
            </w:r>
          </w:p>
        </w:tc>
        <w:tc>
          <w:tcPr>
            <w:tcW w:w="40" w:type="dxa"/>
            <w:vAlign w:val="bottom"/>
            <w:tcBorders>
              <w:bottom w:val="single" w:sz="8" w:color="CCCCCC"/>
            </w:tcBorders>
            <w:shd w:val="clear" w:color="auto" w:fill="F2F2F2"/>
          </w:tcPr>
          <w:p>
            <w:pPr>
              <w:spacing w:after="0"/>
              <w:rPr>
                <w:sz w:val="18"/>
                <w:szCs w:val="18"/>
                <w:color w:val="auto"/>
              </w:rPr>
            </w:pPr>
          </w:p>
        </w:tc>
        <w:tc>
          <w:tcPr>
            <w:tcW w:w="620" w:type="dxa"/>
            <w:vAlign w:val="bottom"/>
            <w:tcBorders>
              <w:bottom w:val="single" w:sz="8" w:color="CCCCCC"/>
            </w:tcBorders>
            <w:gridSpan w:val="3"/>
            <w:shd w:val="clear" w:color="auto" w:fill="F2F2F2"/>
          </w:tcPr>
          <w:p>
            <w:pPr>
              <w:jc w:val="right"/>
              <w:spacing w:after="0" w:line="207" w:lineRule="exact"/>
              <w:rPr>
                <w:sz w:val="20"/>
                <w:szCs w:val="20"/>
                <w:color w:val="auto"/>
              </w:rPr>
            </w:pPr>
            <w:r>
              <w:rPr>
                <w:rFonts w:ascii="Arial" w:cs="Arial" w:eastAsia="Arial" w:hAnsi="Arial"/>
                <w:sz w:val="12"/>
                <w:szCs w:val="12"/>
                <w:color w:val="auto"/>
              </w:rPr>
              <w:t>220,853</w:t>
            </w:r>
            <w:r>
              <w:rPr>
                <w:rFonts w:ascii="Arial" w:cs="Arial" w:eastAsia="Arial" w:hAnsi="Arial"/>
                <w:sz w:val="24"/>
                <w:szCs w:val="24"/>
                <w:color w:val="auto"/>
                <w:vertAlign w:val="subscript"/>
              </w:rPr>
              <w:t>​​</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shd w:val="clear" w:color="auto" w:fill="F2F2F2"/>
          </w:tcPr>
          <w:p>
            <w:pPr>
              <w:ind w:left="80"/>
              <w:spacing w:after="0" w:line="20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w:t>
            </w:r>
          </w:p>
        </w:tc>
        <w:tc>
          <w:tcPr>
            <w:tcW w:w="62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24,605</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980" w:type="dxa"/>
            <w:vAlign w:val="bottom"/>
          </w:tcPr>
          <w:p>
            <w:pPr>
              <w:ind w:left="20"/>
              <w:spacing w:after="0"/>
              <w:rPr>
                <w:sz w:val="20"/>
                <w:szCs w:val="20"/>
                <w:color w:val="auto"/>
              </w:rPr>
            </w:pPr>
            <w:r>
              <w:rPr>
                <w:rFonts w:ascii="Arial" w:cs="Arial" w:eastAsia="Arial" w:hAnsi="Arial"/>
                <w:sz w:val="13"/>
                <w:szCs w:val="13"/>
                <w:color w:val="auto"/>
                <w:w w:val="97"/>
              </w:rPr>
              <w:t>Increase/Deduction for Change in Fair Value from Prior Year-End to Current Year-End of Awards Granted</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Prior to Year that were Outstanding and Unvested as of Year-End</w:t>
            </w:r>
          </w:p>
        </w:tc>
        <w:tc>
          <w:tcPr>
            <w:tcW w:w="380" w:type="dxa"/>
            <w:vAlign w:val="bottom"/>
            <w:tcBorders>
              <w:bottom w:val="single" w:sz="8" w:color="CCCCCC"/>
            </w:tcBorders>
          </w:tcPr>
          <w:p>
            <w:pPr>
              <w:ind w:left="80"/>
              <w:spacing w:after="0" w:line="207" w:lineRule="exact"/>
              <w:rPr>
                <w:sz w:val="20"/>
                <w:szCs w:val="20"/>
                <w:color w:val="auto"/>
              </w:rPr>
            </w:pPr>
            <w:r>
              <w:rPr>
                <w:rFonts w:ascii="Arial" w:cs="Arial" w:eastAsia="Arial" w:hAnsi="Arial"/>
                <w:sz w:val="12"/>
                <w:szCs w:val="12"/>
                <w:color w:val="auto"/>
              </w:rPr>
              <w:t>​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tcPr>
          <w:p>
            <w:pPr>
              <w:jc w:val="right"/>
              <w:spacing w:after="0" w:line="207" w:lineRule="exact"/>
              <w:rPr>
                <w:sz w:val="20"/>
                <w:szCs w:val="20"/>
                <w:color w:val="auto"/>
              </w:rPr>
            </w:pPr>
            <w:r>
              <w:rPr>
                <w:rFonts w:ascii="Arial" w:cs="Arial" w:eastAsia="Arial" w:hAnsi="Arial"/>
                <w:sz w:val="12"/>
                <w:szCs w:val="12"/>
                <w:color w:val="auto"/>
              </w:rPr>
              <w:t>816,696</w:t>
            </w:r>
            <w:r>
              <w:rPr>
                <w:rFonts w:ascii="Arial" w:cs="Arial" w:eastAsia="Arial" w:hAnsi="Arial"/>
                <w:sz w:val="24"/>
                <w:szCs w:val="24"/>
                <w:color w:val="auto"/>
                <w:vertAlign w:val="subscript"/>
              </w:rPr>
              <w:t>​​</w:t>
            </w:r>
          </w:p>
        </w:tc>
        <w:tc>
          <w:tcPr>
            <w:tcW w:w="840" w:type="dxa"/>
            <w:vAlign w:val="bottom"/>
            <w:tcBorders>
              <w:bottom w:val="single" w:sz="8" w:color="CCCCCC"/>
            </w:tcBorders>
            <w:gridSpan w:val="5"/>
          </w:tcPr>
          <w:p>
            <w:pPr>
              <w:jc w:val="right"/>
              <w:spacing w:after="0" w:line="207"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2"/>
                <w:szCs w:val="12"/>
                <w:color w:val="auto"/>
              </w:rPr>
              <w:t>$2,182,888</w:t>
            </w:r>
            <w:r>
              <w:rPr>
                <w:rFonts w:ascii="Arial" w:cs="Arial" w:eastAsia="Arial" w:hAnsi="Arial"/>
                <w:sz w:val="24"/>
                <w:szCs w:val="24"/>
                <w:color w:val="auto"/>
                <w:vertAlign w:val="subscript"/>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tcPr>
          <w:p>
            <w:pPr>
              <w:ind w:left="8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perscript"/>
              </w:rPr>
              <w:t>$</w:t>
            </w:r>
          </w:p>
        </w:tc>
        <w:tc>
          <w:tcPr>
            <w:tcW w:w="62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291,710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CCCC"/>
            </w:tcBorders>
            <w:gridSpan w:val="2"/>
            <w:shd w:val="clear" w:color="auto" w:fill="F2F2F2"/>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Deduction of Fair Value of Prior Year Awards Forfeited During the Year</w:t>
            </w:r>
          </w:p>
        </w:tc>
        <w:tc>
          <w:tcPr>
            <w:tcW w:w="38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12"/>
                <w:szCs w:val="12"/>
                <w:color w:val="auto"/>
              </w:rPr>
              <w:t xml:space="preserve">​ ​ ​ </w:t>
            </w:r>
            <w:r>
              <w:rPr>
                <w:rFonts w:ascii="Arial" w:cs="Arial" w:eastAsia="Arial" w:hAnsi="Arial"/>
                <w:sz w:val="24"/>
                <w:szCs w:val="24"/>
                <w:color w:val="auto"/>
                <w:vertAlign w:val="superscript"/>
              </w:rPr>
              <w:t>​</w:t>
            </w:r>
          </w:p>
        </w:tc>
        <w:tc>
          <w:tcPr>
            <w:tcW w:w="68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220" w:type="dxa"/>
            <w:vAlign w:val="bottom"/>
            <w:tcBorders>
              <w:bottom w:val="single" w:sz="8" w:color="CCCCCC"/>
            </w:tcBorders>
            <w:gridSpan w:val="2"/>
            <w:shd w:val="clear" w:color="auto" w:fill="F2F2F2"/>
          </w:tcPr>
          <w:p>
            <w:pPr>
              <w:ind w:left="40"/>
              <w:spacing w:after="0" w:line="210"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4"/>
                <w:szCs w:val="24"/>
                <w:color w:val="auto"/>
                <w:vertAlign w:val="superscript"/>
              </w:rPr>
              <w:t>​</w:t>
            </w:r>
          </w:p>
        </w:tc>
        <w:tc>
          <w:tcPr>
            <w:tcW w:w="380" w:type="dxa"/>
            <w:vAlign w:val="bottom"/>
            <w:tcBorders>
              <w:bottom w:val="single" w:sz="8" w:color="CCCCCC"/>
            </w:tcBorders>
            <w:shd w:val="clear" w:color="auto" w:fill="F2F2F2"/>
          </w:tcPr>
          <w:p>
            <w:pPr>
              <w:spacing w:after="0"/>
              <w:rPr>
                <w:sz w:val="18"/>
                <w:szCs w:val="18"/>
                <w:color w:val="auto"/>
              </w:rPr>
            </w:pPr>
          </w:p>
        </w:tc>
        <w:tc>
          <w:tcPr>
            <w:tcW w:w="240" w:type="dxa"/>
            <w:vAlign w:val="bottom"/>
            <w:tcBorders>
              <w:bottom w:val="single" w:sz="8" w:color="CCCCCC"/>
            </w:tcBorders>
            <w:gridSpan w:val="2"/>
            <w:shd w:val="clear" w:color="auto" w:fill="F2F2F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shd w:val="clear" w:color="auto" w:fill="F2F2F2"/>
          </w:tcPr>
          <w:p>
            <w:pPr>
              <w:ind w:left="80"/>
              <w:spacing w:after="0" w:line="210" w:lineRule="exact"/>
              <w:rPr>
                <w:sz w:val="20"/>
                <w:szCs w:val="20"/>
                <w:color w:val="auto"/>
              </w:rPr>
            </w:pPr>
            <w:r>
              <w:rPr>
                <w:rFonts w:ascii="Arial" w:cs="Arial" w:eastAsia="Arial" w:hAnsi="Arial"/>
                <w:sz w:val="12"/>
                <w:szCs w:val="12"/>
                <w:color w:val="auto"/>
              </w:rPr>
              <w:t>​</w:t>
            </w:r>
            <w:r>
              <w:rPr>
                <w:rFonts w:ascii="Arial" w:cs="Arial" w:eastAsia="Arial" w:hAnsi="Arial"/>
                <w:sz w:val="24"/>
                <w:szCs w:val="24"/>
                <w:color w:val="auto"/>
                <w:vertAlign w:val="superscript"/>
              </w:rPr>
              <w:t>$</w:t>
            </w:r>
          </w:p>
        </w:tc>
        <w:tc>
          <w:tcPr>
            <w:tcW w:w="6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(246,162)</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Total Compensation Actually Paid</w:t>
            </w:r>
          </w:p>
        </w:tc>
        <w:tc>
          <w:tcPr>
            <w:tcW w:w="1060" w:type="dxa"/>
            <w:vAlign w:val="bottom"/>
            <w:tcBorders>
              <w:bottom w:val="single" w:sz="8" w:color="CCCCCC"/>
            </w:tcBorders>
            <w:gridSpan w:val="3"/>
          </w:tcPr>
          <w:p>
            <w:pPr>
              <w:jc w:val="right"/>
              <w:spacing w:after="0" w:line="210" w:lineRule="exact"/>
              <w:rPr>
                <w:sz w:val="20"/>
                <w:szCs w:val="20"/>
                <w:color w:val="auto"/>
              </w:rPr>
            </w:pPr>
            <w:r>
              <w:rPr>
                <w:rFonts w:ascii="Arial" w:cs="Arial" w:eastAsia="Arial" w:hAnsi="Arial"/>
                <w:sz w:val="24"/>
                <w:szCs w:val="24"/>
                <w:color w:val="auto"/>
                <w:vertAlign w:val="subscript"/>
              </w:rPr>
              <w:t>​ ​ ​</w:t>
            </w:r>
            <w:r>
              <w:rPr>
                <w:rFonts w:ascii="Arial" w:cs="Arial" w:eastAsia="Arial" w:hAnsi="Arial"/>
                <w:sz w:val="12"/>
                <w:szCs w:val="12"/>
                <w:color w:val="auto"/>
              </w:rPr>
              <w:t>$12,675,948</w:t>
            </w:r>
            <w:r>
              <w:rPr>
                <w:rFonts w:ascii="Arial" w:cs="Arial" w:eastAsia="Arial" w:hAnsi="Arial"/>
                <w:sz w:val="24"/>
                <w:szCs w:val="24"/>
                <w:color w:val="auto"/>
                <w:vertAlign w:val="subscript"/>
              </w:rPr>
              <w:t>​​</w:t>
            </w:r>
          </w:p>
        </w:tc>
        <w:tc>
          <w:tcPr>
            <w:tcW w:w="840" w:type="dxa"/>
            <w:vAlign w:val="bottom"/>
            <w:tcBorders>
              <w:bottom w:val="single" w:sz="8" w:color="CCCCCC"/>
            </w:tcBorders>
            <w:gridSpan w:val="5"/>
          </w:tcPr>
          <w:p>
            <w:pPr>
              <w:jc w:val="right"/>
              <w:spacing w:after="0" w:line="210"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2"/>
                <w:szCs w:val="12"/>
                <w:color w:val="auto"/>
              </w:rPr>
              <w:t>$3,481,293</w:t>
            </w:r>
            <w:r>
              <w:rPr>
                <w:rFonts w:ascii="Arial" w:cs="Arial" w:eastAsia="Arial" w:hAnsi="Arial"/>
                <w:sz w:val="24"/>
                <w:szCs w:val="24"/>
                <w:color w:val="auto"/>
                <w:vertAlign w:val="subscript"/>
              </w:rPr>
              <w: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CCCC"/>
            </w:tcBorders>
            <w:gridSpan w:val="2"/>
          </w:tcPr>
          <w:p>
            <w:pPr>
              <w:jc w:val="right"/>
              <w:ind w:right="17"/>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$ 3,209,399</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4"/>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0" w:type="dxa"/>
            <w:vAlign w:val="bottom"/>
            <w:shd w:val="clear" w:color="auto" w:fill="003763"/>
          </w:tcPr>
          <w:p>
            <w:pPr>
              <w:spacing w:after="0"/>
              <w:rPr>
                <w:sz w:val="16"/>
                <w:szCs w:val="16"/>
                <w:color w:val="auto"/>
              </w:rPr>
            </w:pPr>
          </w:p>
        </w:tc>
        <w:tc>
          <w:tcPr>
            <w:tcW w:w="5980" w:type="dxa"/>
            <w:vAlign w:val="bottom"/>
            <w:shd w:val="clear" w:color="auto" w:fill="003763"/>
          </w:tcPr>
          <w:p>
            <w:pPr>
              <w:spacing w:after="0"/>
              <w:rPr>
                <w:sz w:val="16"/>
                <w:szCs w:val="16"/>
                <w:color w:val="auto"/>
              </w:rPr>
            </w:pPr>
          </w:p>
        </w:tc>
        <w:tc>
          <w:tcPr>
            <w:tcW w:w="380" w:type="dxa"/>
            <w:vAlign w:val="bottom"/>
            <w:shd w:val="clear" w:color="auto" w:fill="003763"/>
          </w:tcPr>
          <w:p>
            <w:pPr>
              <w:spacing w:after="0"/>
              <w:rPr>
                <w:sz w:val="16"/>
                <w:szCs w:val="16"/>
                <w:color w:val="auto"/>
              </w:rPr>
            </w:pPr>
          </w:p>
        </w:tc>
        <w:tc>
          <w:tcPr>
            <w:tcW w:w="580" w:type="dxa"/>
            <w:vAlign w:val="bottom"/>
            <w:shd w:val="clear" w:color="auto" w:fill="003763"/>
          </w:tcPr>
          <w:p>
            <w:pPr>
              <w:spacing w:after="0"/>
              <w:rPr>
                <w:sz w:val="16"/>
                <w:szCs w:val="16"/>
                <w:color w:val="auto"/>
              </w:rPr>
            </w:pPr>
          </w:p>
        </w:tc>
        <w:tc>
          <w:tcPr>
            <w:tcW w:w="100" w:type="dxa"/>
            <w:vAlign w:val="bottom"/>
            <w:vMerge w:val="restart"/>
            <w:shd w:val="clear" w:color="auto" w:fill="003763"/>
          </w:tcPr>
          <w:p>
            <w:pPr>
              <w:jc w:val="right"/>
              <w:ind w:right="1"/>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380" w:type="dxa"/>
            <w:vAlign w:val="bottom"/>
            <w:shd w:val="clear" w:color="auto" w:fill="003763"/>
          </w:tcPr>
          <w:p>
            <w:pPr>
              <w:spacing w:after="0"/>
              <w:rPr>
                <w:sz w:val="16"/>
                <w:szCs w:val="16"/>
                <w:color w:val="auto"/>
              </w:rPr>
            </w:pPr>
          </w:p>
        </w:tc>
        <w:tc>
          <w:tcPr>
            <w:tcW w:w="640" w:type="dxa"/>
            <w:vAlign w:val="bottom"/>
            <w:gridSpan w:val="4"/>
            <w:shd w:val="clear" w:color="auto" w:fill="003763"/>
          </w:tcPr>
          <w:p>
            <w:pPr>
              <w:jc w:val="right"/>
              <w:ind w:right="80"/>
              <w:spacing w:after="0"/>
              <w:rPr>
                <w:sz w:val="20"/>
                <w:szCs w:val="20"/>
                <w:color w:val="auto"/>
              </w:rPr>
            </w:pPr>
            <w:r>
              <w:rPr>
                <w:rFonts w:ascii="Arial" w:cs="Arial" w:eastAsia="Arial" w:hAnsi="Arial"/>
                <w:sz w:val="13"/>
                <w:szCs w:val="13"/>
                <w:b w:val="1"/>
                <w:bCs w:val="1"/>
                <w:color w:val="FFFFFF"/>
              </w:rPr>
              <w:t>2023</w:t>
            </w:r>
          </w:p>
        </w:tc>
        <w:tc>
          <w:tcPr>
            <w:tcW w:w="62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8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80" w:type="dxa"/>
            <w:vAlign w:val="bottom"/>
            <w:shd w:val="clear" w:color="auto" w:fill="003763"/>
          </w:tcPr>
          <w:p>
            <w:pPr>
              <w:spacing w:after="0"/>
              <w:rPr>
                <w:sz w:val="4"/>
                <w:szCs w:val="4"/>
                <w:color w:val="auto"/>
              </w:rPr>
            </w:pPr>
          </w:p>
        </w:tc>
        <w:tc>
          <w:tcPr>
            <w:tcW w:w="5980" w:type="dxa"/>
            <w:vAlign w:val="bottom"/>
            <w:shd w:val="clear" w:color="auto" w:fill="003763"/>
          </w:tcPr>
          <w:p>
            <w:pPr>
              <w:spacing w:after="0"/>
              <w:rPr>
                <w:sz w:val="4"/>
                <w:szCs w:val="4"/>
                <w:color w:val="auto"/>
              </w:rPr>
            </w:pPr>
          </w:p>
        </w:tc>
        <w:tc>
          <w:tcPr>
            <w:tcW w:w="380" w:type="dxa"/>
            <w:vAlign w:val="bottom"/>
            <w:shd w:val="clear" w:color="auto" w:fill="003763"/>
          </w:tcPr>
          <w:p>
            <w:pPr>
              <w:spacing w:after="0"/>
              <w:rPr>
                <w:sz w:val="4"/>
                <w:szCs w:val="4"/>
                <w:color w:val="auto"/>
              </w:rPr>
            </w:pPr>
          </w:p>
        </w:tc>
        <w:tc>
          <w:tcPr>
            <w:tcW w:w="580" w:type="dxa"/>
            <w:vAlign w:val="bottom"/>
            <w:shd w:val="clear" w:color="auto" w:fill="003763"/>
          </w:tcPr>
          <w:p>
            <w:pPr>
              <w:spacing w:after="0"/>
              <w:rPr>
                <w:sz w:val="4"/>
                <w:szCs w:val="4"/>
                <w:color w:val="auto"/>
              </w:rPr>
            </w:pPr>
          </w:p>
        </w:tc>
        <w:tc>
          <w:tcPr>
            <w:tcW w:w="100" w:type="dxa"/>
            <w:vAlign w:val="bottom"/>
            <w:vMerge w:val="continue"/>
            <w:shd w:val="clear" w:color="auto" w:fill="003763"/>
          </w:tcPr>
          <w:p>
            <w:pPr>
              <w:spacing w:after="0"/>
              <w:rPr>
                <w:sz w:val="4"/>
                <w:szCs w:val="4"/>
                <w:color w:val="auto"/>
              </w:rPr>
            </w:pPr>
          </w:p>
        </w:tc>
        <w:tc>
          <w:tcPr>
            <w:tcW w:w="18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380" w:type="dxa"/>
            <w:vAlign w:val="bottom"/>
            <w:shd w:val="clear" w:color="auto" w:fill="003763"/>
          </w:tcPr>
          <w:p>
            <w:pPr>
              <w:spacing w:after="0"/>
              <w:rPr>
                <w:sz w:val="4"/>
                <w:szCs w:val="4"/>
                <w:color w:val="auto"/>
              </w:rPr>
            </w:pPr>
          </w:p>
        </w:tc>
        <w:tc>
          <w:tcPr>
            <w:tcW w:w="140" w:type="dxa"/>
            <w:vAlign w:val="bottom"/>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160" w:type="dxa"/>
            <w:vAlign w:val="bottom"/>
            <w:shd w:val="clear" w:color="auto" w:fill="003763"/>
          </w:tcPr>
          <w:p>
            <w:pPr>
              <w:spacing w:after="0"/>
              <w:rPr>
                <w:sz w:val="4"/>
                <w:szCs w:val="4"/>
                <w:color w:val="auto"/>
              </w:rPr>
            </w:pPr>
          </w:p>
        </w:tc>
        <w:tc>
          <w:tcPr>
            <w:tcW w:w="240" w:type="dxa"/>
            <w:vAlign w:val="bottom"/>
            <w:shd w:val="clear" w:color="auto" w:fill="003763"/>
          </w:tcPr>
          <w:p>
            <w:pPr>
              <w:spacing w:after="0"/>
              <w:rPr>
                <w:sz w:val="4"/>
                <w:szCs w:val="4"/>
                <w:color w:val="auto"/>
              </w:rPr>
            </w:pPr>
          </w:p>
        </w:tc>
        <w:tc>
          <w:tcPr>
            <w:tcW w:w="62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060" w:type="dxa"/>
            <w:vAlign w:val="bottom"/>
            <w:gridSpan w:val="2"/>
            <w:vMerge w:val="restart"/>
            <w:shd w:val="clear" w:color="auto" w:fill="003763"/>
          </w:tcPr>
          <w:p>
            <w:pPr>
              <w:ind w:left="2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Actually Paid Adjustments</w:t>
            </w:r>
          </w:p>
        </w:tc>
        <w:tc>
          <w:tcPr>
            <w:tcW w:w="380" w:type="dxa"/>
            <w:vAlign w:val="bottom"/>
            <w:shd w:val="clear" w:color="auto" w:fill="003763"/>
          </w:tcPr>
          <w:p>
            <w:pPr>
              <w:spacing w:after="0"/>
              <w:rPr>
                <w:sz w:val="17"/>
                <w:szCs w:val="17"/>
                <w:color w:val="auto"/>
              </w:rPr>
            </w:pPr>
          </w:p>
        </w:tc>
        <w:tc>
          <w:tcPr>
            <w:tcW w:w="58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180" w:type="dxa"/>
            <w:vAlign w:val="bottom"/>
            <w:shd w:val="clear" w:color="auto" w:fill="003763"/>
          </w:tcPr>
          <w:p>
            <w:pPr>
              <w:spacing w:after="0"/>
              <w:rPr>
                <w:sz w:val="17"/>
                <w:szCs w:val="17"/>
                <w:color w:val="auto"/>
              </w:rPr>
            </w:pPr>
          </w:p>
        </w:tc>
        <w:tc>
          <w:tcPr>
            <w:tcW w:w="40" w:type="dxa"/>
            <w:vAlign w:val="bottom"/>
            <w:shd w:val="clear" w:color="auto" w:fill="003763"/>
          </w:tcPr>
          <w:p>
            <w:pPr>
              <w:spacing w:after="0"/>
              <w:rPr>
                <w:sz w:val="17"/>
                <w:szCs w:val="17"/>
                <w:color w:val="auto"/>
              </w:rPr>
            </w:pPr>
          </w:p>
        </w:tc>
        <w:tc>
          <w:tcPr>
            <w:tcW w:w="380" w:type="dxa"/>
            <w:vAlign w:val="bottom"/>
            <w:shd w:val="clear" w:color="auto" w:fill="003763"/>
          </w:tcPr>
          <w:p>
            <w:pPr>
              <w:spacing w:after="0"/>
              <w:rPr>
                <w:sz w:val="17"/>
                <w:szCs w:val="17"/>
                <w:color w:val="auto"/>
              </w:rPr>
            </w:pPr>
          </w:p>
        </w:tc>
        <w:tc>
          <w:tcPr>
            <w:tcW w:w="14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160" w:type="dxa"/>
            <w:vAlign w:val="bottom"/>
            <w:shd w:val="clear" w:color="auto" w:fill="003763"/>
          </w:tcPr>
          <w:p>
            <w:pPr>
              <w:spacing w:after="0"/>
              <w:rPr>
                <w:sz w:val="17"/>
                <w:szCs w:val="17"/>
                <w:color w:val="auto"/>
              </w:rPr>
            </w:pPr>
          </w:p>
        </w:tc>
        <w:tc>
          <w:tcPr>
            <w:tcW w:w="860" w:type="dxa"/>
            <w:vAlign w:val="bottom"/>
            <w:gridSpan w:val="2"/>
            <w:shd w:val="clear" w:color="auto" w:fill="003763"/>
          </w:tcPr>
          <w:p>
            <w:pPr>
              <w:jc w:val="right"/>
              <w:ind w:right="137"/>
              <w:spacing w:after="0"/>
              <w:rPr>
                <w:sz w:val="20"/>
                <w:szCs w:val="20"/>
                <w:color w:val="auto"/>
              </w:rPr>
            </w:pPr>
            <w:r>
              <w:rPr>
                <w:rFonts w:ascii="Arial" w:cs="Arial" w:eastAsia="Arial" w:hAnsi="Arial"/>
                <w:sz w:val="13"/>
                <w:szCs w:val="13"/>
                <w:b w:val="1"/>
                <w:bCs w:val="1"/>
                <w:color w:val="FFFFFF"/>
              </w:rPr>
              <w:t>Average</w:t>
            </w:r>
          </w:p>
        </w:tc>
        <w:tc>
          <w:tcPr>
            <w:tcW w:w="4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vMerge w:val="continue"/>
            <w:shd w:val="clear" w:color="auto" w:fill="003763"/>
          </w:tcPr>
          <w:p>
            <w:pPr>
              <w:spacing w:after="0"/>
              <w:rPr>
                <w:sz w:val="20"/>
                <w:szCs w:val="20"/>
                <w:color w:val="auto"/>
              </w:rPr>
            </w:pPr>
          </w:p>
        </w:tc>
        <w:tc>
          <w:tcPr>
            <w:tcW w:w="380" w:type="dxa"/>
            <w:vAlign w:val="bottom"/>
            <w:shd w:val="clear" w:color="auto" w:fill="003763"/>
          </w:tcPr>
          <w:p>
            <w:pPr>
              <w:spacing w:after="0"/>
              <w:rPr>
                <w:sz w:val="20"/>
                <w:szCs w:val="20"/>
                <w:color w:val="auto"/>
              </w:rPr>
            </w:pPr>
          </w:p>
        </w:tc>
        <w:tc>
          <w:tcPr>
            <w:tcW w:w="580" w:type="dxa"/>
            <w:vAlign w:val="bottom"/>
            <w:shd w:val="clear" w:color="auto" w:fill="003763"/>
          </w:tcPr>
          <w:p>
            <w:pPr>
              <w:ind w:left="4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03763"/>
          </w:tcPr>
          <w:p>
            <w:pPr>
              <w:spacing w:after="0"/>
              <w:rPr>
                <w:sz w:val="20"/>
                <w:szCs w:val="20"/>
                <w:color w:val="auto"/>
              </w:rPr>
            </w:pPr>
          </w:p>
        </w:tc>
        <w:tc>
          <w:tcPr>
            <w:tcW w:w="40" w:type="dxa"/>
            <w:vAlign w:val="bottom"/>
            <w:shd w:val="clear" w:color="auto" w:fill="003763"/>
          </w:tcPr>
          <w:p>
            <w:pPr>
              <w:spacing w:after="0"/>
              <w:rPr>
                <w:sz w:val="20"/>
                <w:szCs w:val="20"/>
                <w:color w:val="auto"/>
              </w:rPr>
            </w:pPr>
          </w:p>
        </w:tc>
        <w:tc>
          <w:tcPr>
            <w:tcW w:w="38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PEO</w:t>
            </w:r>
          </w:p>
        </w:tc>
        <w:tc>
          <w:tcPr>
            <w:tcW w:w="140" w:type="dxa"/>
            <w:vAlign w:val="bottom"/>
            <w:shd w:val="clear" w:color="auto" w:fill="003763"/>
          </w:tcPr>
          <w:p>
            <w:pPr>
              <w:spacing w:after="0"/>
              <w:rPr>
                <w:sz w:val="20"/>
                <w:szCs w:val="20"/>
                <w:color w:val="auto"/>
              </w:rPr>
            </w:pP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40" w:type="dxa"/>
            <w:vAlign w:val="bottom"/>
            <w:gridSpan w:val="5"/>
            <w:shd w:val="clear" w:color="auto" w:fill="003763"/>
          </w:tcPr>
          <w:p>
            <w:pPr>
              <w:ind w:left="6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Non-PEO NEOs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Summary Compensation Table (SCT) Total</w:t>
            </w:r>
          </w:p>
        </w:tc>
        <w:tc>
          <w:tcPr>
            <w:tcW w:w="380" w:type="dxa"/>
            <w:vAlign w:val="bottom"/>
            <w:tcBorders>
              <w:bottom w:val="single" w:sz="8" w:color="CCCCCC"/>
            </w:tcBorders>
          </w:tcPr>
          <w:p>
            <w:pPr>
              <w:spacing w:after="0"/>
              <w:rPr>
                <w:sz w:val="23"/>
                <w:szCs w:val="23"/>
                <w:color w:val="auto"/>
              </w:rPr>
            </w:pPr>
          </w:p>
        </w:tc>
        <w:tc>
          <w:tcPr>
            <w:tcW w:w="580" w:type="dxa"/>
            <w:vAlign w:val="bottom"/>
            <w:tcBorders>
              <w:bottom w:val="single" w:sz="8" w:color="CCCCCC"/>
            </w:tcBorders>
          </w:tcPr>
          <w:p>
            <w:pPr>
              <w:ind w:left="5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CCCC"/>
            </w:tcBorders>
            <w:gridSpan w:val="6"/>
          </w:tcPr>
          <w:p>
            <w:pPr>
              <w:jc w:val="right"/>
              <w:spacing w:after="0" w:line="27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$16,204,475</w:t>
            </w:r>
            <w:r>
              <w:rPr>
                <w:rFonts w:ascii="Arial" w:cs="Arial" w:eastAsia="Arial" w:hAnsi="Arial"/>
                <w:sz w:val="25"/>
                <w:szCs w:val="25"/>
                <w:color w:val="auto"/>
                <w:vertAlign w:val="subscript"/>
              </w:rPr>
              <w:t>​ ​</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CCCC"/>
            </w:tcBorders>
            <w:gridSpan w:val="2"/>
          </w:tcPr>
          <w:p>
            <w:pPr>
              <w:jc w:val="right"/>
              <w:ind w:right="17"/>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$ 4,304,023</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shd w:val="clear" w:color="auto" w:fill="F2F2F2"/>
          </w:tcPr>
          <w:p>
            <w:pPr>
              <w:ind w:left="20"/>
              <w:spacing w:after="0"/>
              <w:rPr>
                <w:sz w:val="20"/>
                <w:szCs w:val="20"/>
                <w:color w:val="auto"/>
              </w:rPr>
            </w:pPr>
            <w:r>
              <w:rPr>
                <w:rFonts w:ascii="Arial" w:cs="Arial" w:eastAsia="Arial" w:hAnsi="Arial"/>
                <w:sz w:val="13"/>
                <w:szCs w:val="13"/>
                <w:color w:val="auto"/>
              </w:rPr>
              <w:t>Deduction for Amounts Reported under the Stock Awards and Options Awards columns in the SCT</w:t>
            </w:r>
          </w:p>
        </w:tc>
        <w:tc>
          <w:tcPr>
            <w:tcW w:w="380" w:type="dxa"/>
            <w:vAlign w:val="bottom"/>
            <w:shd w:val="clear" w:color="auto" w:fill="F2F2F2"/>
          </w:tcPr>
          <w:p>
            <w:pPr>
              <w:spacing w:after="0"/>
              <w:rPr>
                <w:sz w:val="13"/>
                <w:szCs w:val="13"/>
                <w:color w:val="auto"/>
              </w:rPr>
            </w:pPr>
          </w:p>
        </w:tc>
        <w:tc>
          <w:tcPr>
            <w:tcW w:w="580" w:type="dxa"/>
            <w:vAlign w:val="bottom"/>
            <w:vMerge w:val="restart"/>
            <w:shd w:val="clear" w:color="auto" w:fill="F2F2F2"/>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F2F2F2"/>
          </w:tcPr>
          <w:p>
            <w:pPr>
              <w:spacing w:after="0"/>
              <w:rPr>
                <w:sz w:val="13"/>
                <w:szCs w:val="13"/>
                <w:color w:val="auto"/>
              </w:rPr>
            </w:pPr>
          </w:p>
        </w:tc>
        <w:tc>
          <w:tcPr>
            <w:tcW w:w="840" w:type="dxa"/>
            <w:vAlign w:val="bottom"/>
            <w:gridSpan w:val="5"/>
            <w:shd w:val="clear" w:color="auto" w:fill="F2F2F2"/>
          </w:tcPr>
          <w:p>
            <w:pPr>
              <w:jc w:val="right"/>
              <w:ind w:right="4"/>
              <w:spacing w:after="0"/>
              <w:rPr>
                <w:sz w:val="20"/>
                <w:szCs w:val="20"/>
                <w:color w:val="auto"/>
              </w:rPr>
            </w:pPr>
            <w:r>
              <w:rPr>
                <w:rFonts w:ascii="Arial" w:cs="Arial" w:eastAsia="Arial" w:hAnsi="Arial"/>
                <w:sz w:val="13"/>
                <w:szCs w:val="13"/>
                <w:color w:val="auto"/>
                <w:w w:val="98"/>
              </w:rPr>
              <w:t>$ (9,900,034)</w:t>
            </w:r>
          </w:p>
        </w:tc>
        <w:tc>
          <w:tcPr>
            <w:tcW w:w="160" w:type="dxa"/>
            <w:vAlign w:val="bottom"/>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$(2,325,001)</w:t>
            </w:r>
          </w:p>
        </w:tc>
        <w:tc>
          <w:tcPr>
            <w:tcW w:w="1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5980" w:type="dxa"/>
            <w:vAlign w:val="bottom"/>
            <w:tcBorders>
              <w:bottom w:val="single" w:sz="8" w:color="CCCCCC"/>
            </w:tcBorders>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spacing w:after="0"/>
              <w:rPr>
                <w:sz w:val="8"/>
                <w:szCs w:val="8"/>
                <w:color w:val="auto"/>
              </w:rPr>
            </w:pPr>
          </w:p>
        </w:tc>
        <w:tc>
          <w:tcPr>
            <w:tcW w:w="580" w:type="dxa"/>
            <w:vAlign w:val="bottom"/>
            <w:tcBorders>
              <w:bottom w:val="single" w:sz="8" w:color="CCCCCC"/>
            </w:tcBorders>
            <w:vMerge w:val="continue"/>
            <w:shd w:val="clear" w:color="auto" w:fill="F2F2F2"/>
          </w:tcPr>
          <w:p>
            <w:pPr>
              <w:spacing w:after="0"/>
              <w:rPr>
                <w:sz w:val="8"/>
                <w:szCs w:val="8"/>
                <w:color w:val="auto"/>
              </w:rPr>
            </w:pPr>
          </w:p>
        </w:tc>
        <w:tc>
          <w:tcPr>
            <w:tcW w:w="280" w:type="dxa"/>
            <w:vAlign w:val="bottom"/>
            <w:tcBorders>
              <w:bottom w:val="single" w:sz="8" w:color="CCCCCC"/>
            </w:tcBorders>
            <w:gridSpan w:val="2"/>
            <w:shd w:val="clear" w:color="auto" w:fill="F2F2F2"/>
          </w:tcPr>
          <w:p>
            <w:pPr>
              <w:ind w:left="60"/>
              <w:spacing w:after="0" w:line="95" w:lineRule="exact"/>
              <w:rPr>
                <w:sz w:val="20"/>
                <w:szCs w:val="20"/>
                <w:color w:val="auto"/>
              </w:rPr>
            </w:pPr>
            <w:r>
              <w:rPr>
                <w:rFonts w:ascii="Arial" w:cs="Arial" w:eastAsia="Arial" w:hAnsi="Arial"/>
                <w:sz w:val="10"/>
                <w:szCs w:val="10"/>
                <w:color w:val="auto"/>
              </w:rPr>
              <w:t>​ ​</w:t>
            </w:r>
          </w:p>
        </w:tc>
        <w:tc>
          <w:tcPr>
            <w:tcW w:w="40" w:type="dxa"/>
            <w:vAlign w:val="bottom"/>
            <w:tcBorders>
              <w:bottom w:val="single" w:sz="8" w:color="CCCCCC"/>
            </w:tcBorders>
            <w:shd w:val="clear" w:color="auto" w:fill="F2F2F2"/>
          </w:tcPr>
          <w:p>
            <w:pPr>
              <w:spacing w:after="0"/>
              <w:rPr>
                <w:sz w:val="8"/>
                <w:szCs w:val="8"/>
                <w:color w:val="auto"/>
              </w:rPr>
            </w:pPr>
          </w:p>
        </w:tc>
        <w:tc>
          <w:tcPr>
            <w:tcW w:w="380" w:type="dxa"/>
            <w:vAlign w:val="bottom"/>
            <w:tcBorders>
              <w:bottom w:val="single" w:sz="8" w:color="CCCCCC"/>
            </w:tcBorders>
            <w:shd w:val="clear" w:color="auto" w:fill="F2F2F2"/>
          </w:tcPr>
          <w:p>
            <w:pPr>
              <w:spacing w:after="0"/>
              <w:rPr>
                <w:sz w:val="8"/>
                <w:szCs w:val="8"/>
                <w:color w:val="auto"/>
              </w:rPr>
            </w:pPr>
          </w:p>
        </w:tc>
        <w:tc>
          <w:tcPr>
            <w:tcW w:w="240" w:type="dxa"/>
            <w:vAlign w:val="bottom"/>
            <w:tcBorders>
              <w:bottom w:val="single" w:sz="8" w:color="CCCCCC"/>
            </w:tcBorders>
            <w:gridSpan w:val="2"/>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4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gridSpan w:val="2"/>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980" w:type="dxa"/>
            <w:vAlign w:val="bottom"/>
          </w:tcPr>
          <w:p>
            <w:pPr>
              <w:ind w:left="20"/>
              <w:spacing w:after="0"/>
              <w:rPr>
                <w:sz w:val="20"/>
                <w:szCs w:val="20"/>
                <w:color w:val="auto"/>
              </w:rPr>
            </w:pPr>
            <w:r>
              <w:rPr>
                <w:rFonts w:ascii="Arial" w:cs="Arial" w:eastAsia="Arial" w:hAnsi="Arial"/>
                <w:sz w:val="13"/>
                <w:szCs w:val="13"/>
                <w:color w:val="auto"/>
              </w:rPr>
              <w:t>Deduction for Amounts Reported under the “Change in Pension Value and Nonqualified Deferred</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9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Compensation Earnings” column in the SCT</w:t>
            </w:r>
          </w:p>
        </w:tc>
        <w:tc>
          <w:tcPr>
            <w:tcW w:w="380" w:type="dxa"/>
            <w:vAlign w:val="bottom"/>
            <w:tcBorders>
              <w:bottom w:val="single" w:sz="8" w:color="CCCCCC"/>
            </w:tcBorders>
          </w:tcPr>
          <w:p>
            <w:pPr>
              <w:spacing w:after="0"/>
              <w:rPr>
                <w:sz w:val="19"/>
                <w:szCs w:val="19"/>
                <w:color w:val="auto"/>
              </w:rPr>
            </w:pPr>
          </w:p>
        </w:tc>
        <w:tc>
          <w:tcPr>
            <w:tcW w:w="580" w:type="dxa"/>
            <w:vAlign w:val="bottom"/>
            <w:tcBorders>
              <w:bottom w:val="single" w:sz="8" w:color="CCCCCC"/>
            </w:tcBorders>
          </w:tcPr>
          <w:p>
            <w:pPr>
              <w:ind w:left="5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CCCC"/>
            </w:tcBorders>
            <w:gridSpan w:val="2"/>
          </w:tcPr>
          <w:p>
            <w:pPr>
              <w:ind w:left="6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 w:type="dxa"/>
            <w:vAlign w:val="bottom"/>
            <w:tcBorders>
              <w:bottom w:val="single" w:sz="8" w:color="CCCCCC"/>
            </w:tcBorders>
          </w:tcPr>
          <w:p>
            <w:pPr>
              <w:spacing w:after="0"/>
              <w:rPr>
                <w:sz w:val="19"/>
                <w:szCs w:val="19"/>
                <w:color w:val="auto"/>
              </w:rPr>
            </w:pPr>
          </w:p>
        </w:tc>
        <w:tc>
          <w:tcPr>
            <w:tcW w:w="380" w:type="dxa"/>
            <w:vAlign w:val="bottom"/>
            <w:tcBorders>
              <w:bottom w:val="single" w:sz="8" w:color="CCCCCC"/>
            </w:tcBorders>
          </w:tcPr>
          <w:p>
            <w:pPr>
              <w:spacing w:after="0"/>
              <w:rPr>
                <w:sz w:val="19"/>
                <w:szCs w:val="19"/>
                <w:color w:val="auto"/>
              </w:rPr>
            </w:pPr>
          </w:p>
        </w:tc>
        <w:tc>
          <w:tcPr>
            <w:tcW w:w="24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25"/>
                <w:szCs w:val="25"/>
                <w:color w:val="auto"/>
                <w:w w:val="98"/>
                <w:vertAlign w:val="superscript"/>
              </w:rPr>
              <w:t>—</w:t>
            </w:r>
            <w:r>
              <w:rPr>
                <w:rFonts w:ascii="Arial" w:cs="Arial" w:eastAsia="Arial" w:hAnsi="Arial"/>
                <w:sz w:val="13"/>
                <w:szCs w:val="13"/>
                <w:color w:val="auto"/>
                <w:w w:val="98"/>
              </w:rPr>
              <w:t>​ ​</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tcPr>
          <w:p>
            <w:pPr>
              <w:ind w:left="80"/>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2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(18,649)</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Service Cost and Prior Service Cost for Pension Plans</w:t>
            </w:r>
          </w:p>
        </w:tc>
        <w:tc>
          <w:tcPr>
            <w:tcW w:w="380" w:type="dxa"/>
            <w:vAlign w:val="bottom"/>
            <w:tcBorders>
              <w:bottom w:val="single" w:sz="8" w:color="CCCCCC"/>
            </w:tcBorders>
            <w:shd w:val="clear" w:color="auto" w:fill="F2F2F2"/>
          </w:tcPr>
          <w:p>
            <w:pPr>
              <w:spacing w:after="0"/>
              <w:rPr>
                <w:sz w:val="21"/>
                <w:szCs w:val="21"/>
                <w:color w:val="auto"/>
              </w:rPr>
            </w:pPr>
          </w:p>
        </w:tc>
        <w:tc>
          <w:tcPr>
            <w:tcW w:w="580" w:type="dxa"/>
            <w:vAlign w:val="bottom"/>
            <w:tcBorders>
              <w:bottom w:val="single" w:sz="8" w:color="CCCCCC"/>
            </w:tcBorders>
            <w:shd w:val="clear" w:color="auto" w:fill="F2F2F2"/>
          </w:tcPr>
          <w:p>
            <w:pPr>
              <w:ind w:left="5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 w:type="dxa"/>
            <w:vAlign w:val="bottom"/>
            <w:tcBorders>
              <w:bottom w:val="single" w:sz="8" w:color="CCCCCC"/>
            </w:tcBorders>
            <w:shd w:val="clear" w:color="auto" w:fill="F2F2F2"/>
          </w:tcPr>
          <w:p>
            <w:pPr>
              <w:spacing w:after="0"/>
              <w:rPr>
                <w:sz w:val="21"/>
                <w:szCs w:val="21"/>
                <w:color w:val="auto"/>
              </w:rPr>
            </w:pPr>
          </w:p>
        </w:tc>
        <w:tc>
          <w:tcPr>
            <w:tcW w:w="380" w:type="dxa"/>
            <w:vAlign w:val="bottom"/>
            <w:tcBorders>
              <w:bottom w:val="single" w:sz="8" w:color="CCCCCC"/>
            </w:tcBorders>
            <w:shd w:val="clear" w:color="auto" w:fill="F2F2F2"/>
          </w:tcPr>
          <w:p>
            <w:pPr>
              <w:spacing w:after="0"/>
              <w:rPr>
                <w:sz w:val="21"/>
                <w:szCs w:val="21"/>
                <w:color w:val="auto"/>
              </w:rPr>
            </w:pPr>
          </w:p>
        </w:tc>
        <w:tc>
          <w:tcPr>
            <w:tcW w:w="24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25"/>
                <w:szCs w:val="25"/>
                <w:color w:val="auto"/>
                <w:w w:val="98"/>
                <w:vertAlign w:val="superscript"/>
              </w:rPr>
              <w:t>—</w:t>
            </w:r>
            <w:r>
              <w:rPr>
                <w:rFonts w:ascii="Arial" w:cs="Arial" w:eastAsia="Arial" w:hAnsi="Arial"/>
                <w:sz w:val="13"/>
                <w:szCs w:val="13"/>
                <w:color w:val="auto"/>
                <w:w w:val="98"/>
              </w:rPr>
              <w:t>​ ​</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CCCC"/>
            </w:tcBorders>
            <w:shd w:val="clear" w:color="auto" w:fill="F2F2F2"/>
          </w:tcPr>
          <w:p>
            <w:pPr>
              <w:ind w:left="8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2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22,661</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Remain Unvested as of Year-End</w:t>
            </w:r>
          </w:p>
        </w:tc>
        <w:tc>
          <w:tcPr>
            <w:tcW w:w="380" w:type="dxa"/>
            <w:vAlign w:val="bottom"/>
            <w:tcBorders>
              <w:bottom w:val="single" w:sz="8" w:color="CCCCCC"/>
            </w:tcBorders>
          </w:tcPr>
          <w:p>
            <w:pPr>
              <w:spacing w:after="0"/>
              <w:rPr>
                <w:sz w:val="21"/>
                <w:szCs w:val="21"/>
                <w:color w:val="auto"/>
              </w:rPr>
            </w:pPr>
          </w:p>
        </w:tc>
        <w:tc>
          <w:tcPr>
            <w:tcW w:w="580" w:type="dxa"/>
            <w:vAlign w:val="bottom"/>
            <w:tcBorders>
              <w:bottom w:val="single" w:sz="8" w:color="CCCCCC"/>
            </w:tcBorders>
          </w:tcPr>
          <w:p>
            <w:pPr>
              <w:ind w:left="5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CCCC"/>
            </w:tcBorders>
            <w:gridSpan w:val="6"/>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$ 11,939,585</w:t>
            </w:r>
            <w:r>
              <w:rPr>
                <w:rFonts w:ascii="Arial" w:cs="Arial" w:eastAsia="Arial" w:hAnsi="Arial"/>
                <w:sz w:val="25"/>
                <w:szCs w:val="25"/>
                <w:color w:val="auto"/>
                <w:vertAlign w:val="subscript"/>
              </w:rPr>
              <w:t>​ ​</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CCCC"/>
            </w:tcBorders>
            <w:gridSpan w:val="2"/>
          </w:tcPr>
          <w:p>
            <w:pPr>
              <w:jc w:val="right"/>
              <w:ind w:right="17"/>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$ 2,604,465</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-3625215</wp:posOffset>
            </wp:positionV>
            <wp:extent cx="1003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-3779520</wp:posOffset>
            </wp:positionV>
            <wp:extent cx="17399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-1233805</wp:posOffset>
            </wp:positionV>
            <wp:extent cx="12084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39"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194"/>
        </w:trPr>
        <w:tc>
          <w:tcPr>
            <w:tcW w:w="80" w:type="dxa"/>
            <w:vAlign w:val="bottom"/>
            <w:shd w:val="clear" w:color="auto" w:fill="003763"/>
          </w:tcPr>
          <w:p>
            <w:pPr>
              <w:spacing w:after="0"/>
              <w:rPr>
                <w:sz w:val="16"/>
                <w:szCs w:val="16"/>
                <w:color w:val="auto"/>
              </w:rPr>
            </w:pPr>
          </w:p>
        </w:tc>
        <w:tc>
          <w:tcPr>
            <w:tcW w:w="6780" w:type="dxa"/>
            <w:vAlign w:val="bottom"/>
            <w:shd w:val="clear" w:color="auto" w:fill="003763"/>
          </w:tcPr>
          <w:p>
            <w:pPr>
              <w:spacing w:after="0"/>
              <w:rPr>
                <w:sz w:val="16"/>
                <w:szCs w:val="16"/>
                <w:color w:val="auto"/>
              </w:rPr>
            </w:pPr>
          </w:p>
        </w:tc>
        <w:tc>
          <w:tcPr>
            <w:tcW w:w="160" w:type="dxa"/>
            <w:vAlign w:val="bottom"/>
            <w:shd w:val="clear" w:color="auto" w:fill="003763"/>
          </w:tcPr>
          <w:p>
            <w:pPr>
              <w:spacing w:after="0"/>
              <w:rPr>
                <w:sz w:val="16"/>
                <w:szCs w:val="16"/>
                <w:color w:val="auto"/>
              </w:rPr>
            </w:pPr>
          </w:p>
        </w:tc>
        <w:tc>
          <w:tcPr>
            <w:tcW w:w="140" w:type="dxa"/>
            <w:vAlign w:val="bottom"/>
            <w:gridSpan w:val="2"/>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03763"/>
          </w:tcPr>
          <w:p>
            <w:pPr>
              <w:spacing w:after="0"/>
              <w:rPr>
                <w:sz w:val="16"/>
                <w:szCs w:val="16"/>
                <w:color w:val="auto"/>
              </w:rPr>
            </w:pPr>
          </w:p>
        </w:tc>
        <w:tc>
          <w:tcPr>
            <w:tcW w:w="400" w:type="dxa"/>
            <w:vAlign w:val="bottom"/>
            <w:shd w:val="clear" w:color="auto" w:fill="003763"/>
          </w:tcPr>
          <w:p>
            <w:pPr>
              <w:spacing w:after="0"/>
              <w:rPr>
                <w:sz w:val="16"/>
                <w:szCs w:val="16"/>
                <w:color w:val="auto"/>
              </w:rPr>
            </w:pPr>
          </w:p>
        </w:tc>
        <w:tc>
          <w:tcPr>
            <w:tcW w:w="660" w:type="dxa"/>
            <w:vAlign w:val="bottom"/>
            <w:gridSpan w:val="3"/>
            <w:shd w:val="clear" w:color="auto" w:fill="003763"/>
          </w:tcPr>
          <w:p>
            <w:pPr>
              <w:jc w:val="right"/>
              <w:ind w:right="58"/>
              <w:spacing w:after="0"/>
              <w:rPr>
                <w:sz w:val="20"/>
                <w:szCs w:val="20"/>
                <w:color w:val="auto"/>
              </w:rPr>
            </w:pPr>
            <w:r>
              <w:rPr>
                <w:rFonts w:ascii="Arial" w:cs="Arial" w:eastAsia="Arial" w:hAnsi="Arial"/>
                <w:sz w:val="13"/>
                <w:szCs w:val="13"/>
                <w:b w:val="1"/>
                <w:bCs w:val="1"/>
                <w:color w:val="FFFFFF"/>
              </w:rPr>
              <w:t>2023</w:t>
            </w:r>
          </w:p>
        </w:tc>
        <w:tc>
          <w:tcPr>
            <w:tcW w:w="64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8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9"/>
        </w:trPr>
        <w:tc>
          <w:tcPr>
            <w:tcW w:w="80" w:type="dxa"/>
            <w:vAlign w:val="bottom"/>
            <w:shd w:val="clear" w:color="auto" w:fill="003763"/>
          </w:tcPr>
          <w:p>
            <w:pPr>
              <w:spacing w:after="0"/>
              <w:rPr>
                <w:sz w:val="4"/>
                <w:szCs w:val="4"/>
                <w:color w:val="auto"/>
              </w:rPr>
            </w:pPr>
          </w:p>
        </w:tc>
        <w:tc>
          <w:tcPr>
            <w:tcW w:w="6780" w:type="dxa"/>
            <w:vAlign w:val="bottom"/>
            <w:shd w:val="clear" w:color="auto" w:fill="003763"/>
          </w:tcPr>
          <w:p>
            <w:pPr>
              <w:spacing w:after="0"/>
              <w:rPr>
                <w:sz w:val="4"/>
                <w:szCs w:val="4"/>
                <w:color w:val="auto"/>
              </w:rPr>
            </w:pPr>
          </w:p>
        </w:tc>
        <w:tc>
          <w:tcPr>
            <w:tcW w:w="160" w:type="dxa"/>
            <w:vAlign w:val="bottom"/>
            <w:shd w:val="clear" w:color="auto" w:fill="003763"/>
          </w:tcPr>
          <w:p>
            <w:pPr>
              <w:spacing w:after="0"/>
              <w:rPr>
                <w:sz w:val="4"/>
                <w:szCs w:val="4"/>
                <w:color w:val="auto"/>
              </w:rPr>
            </w:pPr>
          </w:p>
        </w:tc>
        <w:tc>
          <w:tcPr>
            <w:tcW w:w="140" w:type="dxa"/>
            <w:vAlign w:val="bottom"/>
            <w:gridSpan w:val="2"/>
            <w:vMerge w:val="continue"/>
            <w:shd w:val="clear" w:color="auto" w:fill="003763"/>
          </w:tcPr>
          <w:p>
            <w:pPr>
              <w:spacing w:after="0"/>
              <w:rPr>
                <w:sz w:val="4"/>
                <w:szCs w:val="4"/>
                <w:color w:val="auto"/>
              </w:rPr>
            </w:pPr>
          </w:p>
        </w:tc>
        <w:tc>
          <w:tcPr>
            <w:tcW w:w="120" w:type="dxa"/>
            <w:vAlign w:val="bottom"/>
            <w:shd w:val="clear" w:color="auto" w:fill="003763"/>
          </w:tcPr>
          <w:p>
            <w:pPr>
              <w:spacing w:after="0"/>
              <w:rPr>
                <w:sz w:val="4"/>
                <w:szCs w:val="4"/>
                <w:color w:val="auto"/>
              </w:rPr>
            </w:pPr>
          </w:p>
        </w:tc>
        <w:tc>
          <w:tcPr>
            <w:tcW w:w="400" w:type="dxa"/>
            <w:vAlign w:val="bottom"/>
            <w:shd w:val="clear" w:color="auto" w:fill="003763"/>
          </w:tcPr>
          <w:p>
            <w:pPr>
              <w:spacing w:after="0"/>
              <w:rPr>
                <w:sz w:val="4"/>
                <w:szCs w:val="4"/>
                <w:color w:val="auto"/>
              </w:rPr>
            </w:pPr>
          </w:p>
        </w:tc>
        <w:tc>
          <w:tcPr>
            <w:tcW w:w="320" w:type="dxa"/>
            <w:vAlign w:val="bottom"/>
            <w:shd w:val="clear" w:color="auto" w:fill="003763"/>
          </w:tcPr>
          <w:p>
            <w:pPr>
              <w:spacing w:after="0"/>
              <w:rPr>
                <w:sz w:val="4"/>
                <w:szCs w:val="4"/>
                <w:color w:val="auto"/>
              </w:rPr>
            </w:pPr>
          </w:p>
        </w:tc>
        <w:tc>
          <w:tcPr>
            <w:tcW w:w="140" w:type="dxa"/>
            <w:vAlign w:val="bottom"/>
            <w:shd w:val="clear" w:color="auto" w:fill="003763"/>
          </w:tcPr>
          <w:p>
            <w:pPr>
              <w:spacing w:after="0"/>
              <w:rPr>
                <w:sz w:val="4"/>
                <w:szCs w:val="4"/>
                <w:color w:val="auto"/>
              </w:rPr>
            </w:pPr>
          </w:p>
        </w:tc>
        <w:tc>
          <w:tcPr>
            <w:tcW w:w="200" w:type="dxa"/>
            <w:vAlign w:val="bottom"/>
            <w:shd w:val="clear" w:color="auto" w:fill="003763"/>
          </w:tcPr>
          <w:p>
            <w:pPr>
              <w:spacing w:after="0"/>
              <w:rPr>
                <w:sz w:val="4"/>
                <w:szCs w:val="4"/>
                <w:color w:val="auto"/>
              </w:rPr>
            </w:pPr>
          </w:p>
        </w:tc>
        <w:tc>
          <w:tcPr>
            <w:tcW w:w="64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860" w:type="dxa"/>
            <w:vAlign w:val="bottom"/>
            <w:gridSpan w:val="2"/>
            <w:vMerge w:val="restart"/>
            <w:shd w:val="clear" w:color="auto" w:fill="003763"/>
          </w:tcPr>
          <w:p>
            <w:pPr>
              <w:ind w:left="2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Actually Paid Adjustments</w:t>
            </w:r>
          </w:p>
        </w:tc>
        <w:tc>
          <w:tcPr>
            <w:tcW w:w="16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40" w:type="dxa"/>
            <w:vAlign w:val="bottom"/>
            <w:shd w:val="clear" w:color="auto" w:fill="003763"/>
          </w:tcPr>
          <w:p>
            <w:pPr>
              <w:spacing w:after="0"/>
              <w:rPr>
                <w:sz w:val="17"/>
                <w:szCs w:val="17"/>
                <w:color w:val="auto"/>
              </w:rPr>
            </w:pPr>
          </w:p>
        </w:tc>
        <w:tc>
          <w:tcPr>
            <w:tcW w:w="120" w:type="dxa"/>
            <w:vAlign w:val="bottom"/>
            <w:shd w:val="clear" w:color="auto" w:fill="003763"/>
          </w:tcPr>
          <w:p>
            <w:pPr>
              <w:spacing w:after="0"/>
              <w:rPr>
                <w:sz w:val="17"/>
                <w:szCs w:val="17"/>
                <w:color w:val="auto"/>
              </w:rPr>
            </w:pPr>
          </w:p>
        </w:tc>
        <w:tc>
          <w:tcPr>
            <w:tcW w:w="400" w:type="dxa"/>
            <w:vAlign w:val="bottom"/>
            <w:shd w:val="clear" w:color="auto" w:fill="003763"/>
          </w:tcPr>
          <w:p>
            <w:pPr>
              <w:spacing w:after="0"/>
              <w:rPr>
                <w:sz w:val="17"/>
                <w:szCs w:val="17"/>
                <w:color w:val="auto"/>
              </w:rPr>
            </w:pPr>
          </w:p>
        </w:tc>
        <w:tc>
          <w:tcPr>
            <w:tcW w:w="320" w:type="dxa"/>
            <w:vAlign w:val="bottom"/>
            <w:shd w:val="clear" w:color="auto" w:fill="003763"/>
          </w:tcPr>
          <w:p>
            <w:pPr>
              <w:spacing w:after="0"/>
              <w:rPr>
                <w:sz w:val="17"/>
                <w:szCs w:val="17"/>
                <w:color w:val="auto"/>
              </w:rPr>
            </w:pPr>
          </w:p>
        </w:tc>
        <w:tc>
          <w:tcPr>
            <w:tcW w:w="140" w:type="dxa"/>
            <w:vAlign w:val="bottom"/>
            <w:shd w:val="clear" w:color="auto" w:fill="003763"/>
          </w:tcPr>
          <w:p>
            <w:pPr>
              <w:spacing w:after="0"/>
              <w:rPr>
                <w:sz w:val="17"/>
                <w:szCs w:val="17"/>
                <w:color w:val="auto"/>
              </w:rPr>
            </w:pPr>
          </w:p>
        </w:tc>
        <w:tc>
          <w:tcPr>
            <w:tcW w:w="840" w:type="dxa"/>
            <w:vAlign w:val="bottom"/>
            <w:gridSpan w:val="2"/>
            <w:shd w:val="clear" w:color="auto" w:fill="003763"/>
          </w:tcPr>
          <w:p>
            <w:pPr>
              <w:ind w:left="160"/>
              <w:spacing w:after="0"/>
              <w:rPr>
                <w:sz w:val="20"/>
                <w:szCs w:val="20"/>
                <w:color w:val="auto"/>
              </w:rPr>
            </w:pPr>
            <w:r>
              <w:rPr>
                <w:rFonts w:ascii="Arial" w:cs="Arial" w:eastAsia="Arial" w:hAnsi="Arial"/>
                <w:sz w:val="13"/>
                <w:szCs w:val="13"/>
                <w:b w:val="1"/>
                <w:bCs w:val="1"/>
                <w:color w:val="FFFFFF"/>
              </w:rPr>
              <w:t>Average</w:t>
            </w:r>
          </w:p>
        </w:tc>
        <w:tc>
          <w:tcPr>
            <w:tcW w:w="4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gridSpan w:val="2"/>
            <w:vMerge w:val="continue"/>
            <w:shd w:val="clear" w:color="auto" w:fill="003763"/>
          </w:tcPr>
          <w:p>
            <w:pPr>
              <w:spacing w:after="0"/>
              <w:rPr>
                <w:sz w:val="20"/>
                <w:szCs w:val="20"/>
                <w:color w:val="auto"/>
              </w:rPr>
            </w:pPr>
          </w:p>
        </w:tc>
        <w:tc>
          <w:tcPr>
            <w:tcW w:w="1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140" w:type="dxa"/>
            <w:vAlign w:val="bottom"/>
            <w:gridSpan w:val="2"/>
            <w:shd w:val="clear" w:color="auto" w:fill="003763"/>
          </w:tcPr>
          <w:p>
            <w:pPr>
              <w:ind w:left="80"/>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003763"/>
          </w:tcPr>
          <w:p>
            <w:pPr>
              <w:spacing w:after="0"/>
              <w:rPr>
                <w:sz w:val="20"/>
                <w:szCs w:val="20"/>
                <w:color w:val="auto"/>
              </w:rPr>
            </w:pPr>
          </w:p>
        </w:tc>
        <w:tc>
          <w:tcPr>
            <w:tcW w:w="40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rPr>
              <w:t>PEO</w:t>
            </w:r>
          </w:p>
        </w:tc>
        <w:tc>
          <w:tcPr>
            <w:tcW w:w="1420" w:type="dxa"/>
            <w:vAlign w:val="bottom"/>
            <w:gridSpan w:val="6"/>
            <w:shd w:val="clear" w:color="auto" w:fill="003763"/>
          </w:tcPr>
          <w:p>
            <w:pPr>
              <w:ind w:left="260"/>
              <w:spacing w:after="0" w:line="23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Non-PEO NEOs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CCCC"/>
            </w:tcBorders>
            <w:gridSpan w:val="2"/>
            <w:shd w:val="clear" w:color="auto" w:fill="F2F2F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Vest During Year</w:t>
            </w:r>
          </w:p>
        </w:tc>
        <w:tc>
          <w:tcPr>
            <w:tcW w:w="1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
                <w:szCs w:val="1"/>
                <w:color w:val="auto"/>
                <w:w w:val="4294942296"/>
              </w:rPr>
              <w:t>​</w:t>
            </w:r>
          </w:p>
        </w:tc>
        <w:tc>
          <w:tcPr>
            <w:tcW w:w="260" w:type="dxa"/>
            <w:vAlign w:val="bottom"/>
            <w:tcBorders>
              <w:bottom w:val="single" w:sz="8" w:color="CCCCCC"/>
            </w:tcBorders>
            <w:gridSpan w:val="3"/>
            <w:shd w:val="clear" w:color="auto" w:fill="F2F2F2"/>
          </w:tcPr>
          <w:p>
            <w:pPr>
              <w:ind w:left="80"/>
              <w:spacing w:after="0" w:line="27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shd w:val="clear" w:color="auto" w:fill="F2F2F2"/>
          </w:tcPr>
          <w:p>
            <w:pPr>
              <w:jc w:val="right"/>
              <w:spacing w:after="0" w:line="270" w:lineRule="exact"/>
              <w:rPr>
                <w:sz w:val="20"/>
                <w:szCs w:val="20"/>
                <w:color w:val="auto"/>
              </w:rPr>
            </w:pPr>
            <w:r>
              <w:rPr>
                <w:rFonts w:ascii="Arial" w:cs="Arial" w:eastAsia="Arial" w:hAnsi="Arial"/>
                <w:sz w:val="13"/>
                <w:szCs w:val="13"/>
                <w:color w:val="auto"/>
              </w:rPr>
              <w:t>5,714,000</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80"/>
              <w:spacing w:after="0" w:line="27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Dividends Paid on Unvested Shares/Share Units &amp; Stock Options</w:t>
            </w:r>
          </w:p>
        </w:tc>
        <w:tc>
          <w:tcPr>
            <w:tcW w:w="160" w:type="dxa"/>
            <w:vAlign w:val="bottom"/>
            <w:tcBorders>
              <w:bottom w:val="single" w:sz="8" w:color="CCCCCC"/>
            </w:tcBorders>
          </w:tcPr>
          <w:p>
            <w:pPr>
              <w:ind w:left="140"/>
              <w:spacing w:after="0"/>
              <w:rPr>
                <w:sz w:val="20"/>
                <w:szCs w:val="20"/>
                <w:color w:val="auto"/>
              </w:rPr>
            </w:pPr>
            <w:r>
              <w:rPr>
                <w:rFonts w:ascii="Arial" w:cs="Arial" w:eastAsia="Arial" w:hAnsi="Arial"/>
                <w:sz w:val="1"/>
                <w:szCs w:val="1"/>
                <w:color w:val="auto"/>
                <w:w w:val="4294942296"/>
              </w:rPr>
              <w:t>​</w:t>
            </w:r>
          </w:p>
        </w:tc>
        <w:tc>
          <w:tcPr>
            <w:tcW w:w="260" w:type="dxa"/>
            <w:vAlign w:val="bottom"/>
            <w:tcBorders>
              <w:bottom w:val="single" w:sz="8" w:color="CCCCCC"/>
            </w:tcBorders>
            <w:gridSpan w:val="3"/>
          </w:tcPr>
          <w:p>
            <w:pPr>
              <w:ind w:left="80"/>
              <w:spacing w:after="0" w:line="25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922,748</w:t>
            </w:r>
            <w:r>
              <w:rPr>
                <w:rFonts w:ascii="Arial" w:cs="Arial" w:eastAsia="Arial" w:hAnsi="Arial"/>
                <w:sz w:val="25"/>
                <w:szCs w:val="25"/>
                <w:color w:val="auto"/>
                <w:vertAlign w:val="subscript"/>
              </w:rPr>
              <w:t>​ ​</w:t>
            </w:r>
          </w:p>
        </w:tc>
        <w:tc>
          <w:tcPr>
            <w:tcW w:w="14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8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auto"/>
              </w:rPr>
              <w:t>129,270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shd w:val="clear" w:color="auto" w:fill="F2F2F2"/>
          </w:tcPr>
          <w:p>
            <w:pPr>
              <w:spacing w:after="0"/>
              <w:rPr>
                <w:sz w:val="15"/>
                <w:szCs w:val="15"/>
                <w:color w:val="auto"/>
              </w:rPr>
            </w:pPr>
          </w:p>
        </w:tc>
        <w:tc>
          <w:tcPr>
            <w:tcW w:w="6780" w:type="dxa"/>
            <w:vAlign w:val="bottom"/>
            <w:shd w:val="clear" w:color="auto" w:fill="F2F2F2"/>
          </w:tcPr>
          <w:p>
            <w:pPr>
              <w:ind w:left="20"/>
              <w:spacing w:after="0"/>
              <w:rPr>
                <w:sz w:val="20"/>
                <w:szCs w:val="20"/>
                <w:color w:val="auto"/>
              </w:rPr>
            </w:pPr>
            <w:r>
              <w:rPr>
                <w:rFonts w:ascii="Arial" w:cs="Arial" w:eastAsia="Arial" w:hAnsi="Arial"/>
                <w:sz w:val="13"/>
                <w:szCs w:val="13"/>
                <w:color w:val="auto"/>
              </w:rPr>
              <w:t>Increase/Deduction for Change in Fair Value from Prior Year-End to Vesting Date of Awards Granted Prior</w:t>
            </w: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64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shd w:val="clear" w:color="auto" w:fill="F2F2F2"/>
          </w:tcPr>
          <w:p>
            <w:pPr>
              <w:ind w:left="140"/>
              <w:spacing w:after="0" w:line="126" w:lineRule="exact"/>
              <w:rPr>
                <w:sz w:val="20"/>
                <w:szCs w:val="20"/>
                <w:color w:val="auto"/>
              </w:rPr>
            </w:pPr>
            <w:r>
              <w:rPr>
                <w:rFonts w:ascii="Arial" w:cs="Arial" w:eastAsia="Arial" w:hAnsi="Arial"/>
                <w:sz w:val="13"/>
                <w:szCs w:val="13"/>
                <w:color w:val="auto"/>
              </w:rPr>
              <w:t>to Year that Vest During Year</w:t>
            </w:r>
          </w:p>
        </w:tc>
        <w:tc>
          <w:tcPr>
            <w:tcW w:w="160" w:type="dxa"/>
            <w:vAlign w:val="bottom"/>
            <w:vMerge w:val="restart"/>
            <w:shd w:val="clear" w:color="auto" w:fill="F2F2F2"/>
          </w:tcPr>
          <w:p>
            <w:pPr>
              <w:ind w:left="140"/>
              <w:spacing w:after="0"/>
              <w:rPr>
                <w:sz w:val="20"/>
                <w:szCs w:val="20"/>
                <w:color w:val="auto"/>
              </w:rPr>
            </w:pPr>
            <w:r>
              <w:rPr>
                <w:rFonts w:ascii="Arial" w:cs="Arial" w:eastAsia="Arial" w:hAnsi="Arial"/>
                <w:sz w:val="1"/>
                <w:szCs w:val="1"/>
                <w:color w:val="auto"/>
                <w:w w:val="4294942296"/>
              </w:rPr>
              <w:t>​</w:t>
            </w:r>
          </w:p>
        </w:tc>
        <w:tc>
          <w:tcPr>
            <w:tcW w:w="260" w:type="dxa"/>
            <w:vAlign w:val="bottom"/>
            <w:gridSpan w:val="3"/>
            <w:shd w:val="clear" w:color="auto" w:fill="F2F2F2"/>
          </w:tcPr>
          <w:p>
            <w:pPr>
              <w:ind w:left="160"/>
              <w:spacing w:after="0" w:line="12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F2F2F2"/>
          </w:tcPr>
          <w:p>
            <w:pPr>
              <w:ind w:left="100"/>
              <w:spacing w:after="0" w:line="126" w:lineRule="exact"/>
              <w:rPr>
                <w:sz w:val="20"/>
                <w:szCs w:val="20"/>
                <w:color w:val="auto"/>
              </w:rPr>
            </w:pPr>
            <w:r>
              <w:rPr>
                <w:rFonts w:ascii="Arial" w:cs="Arial" w:eastAsia="Arial" w:hAnsi="Arial"/>
                <w:sz w:val="13"/>
                <w:szCs w:val="13"/>
                <w:color w:val="auto"/>
              </w:rPr>
              <w:t>(419,558)</w:t>
            </w:r>
          </w:p>
        </w:tc>
        <w:tc>
          <w:tcPr>
            <w:tcW w:w="14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2F2"/>
          </w:tcPr>
          <w:p>
            <w:pPr>
              <w:ind w:left="100"/>
              <w:spacing w:after="0" w:line="126" w:lineRule="exact"/>
              <w:rPr>
                <w:sz w:val="20"/>
                <w:szCs w:val="20"/>
                <w:color w:val="auto"/>
              </w:rPr>
            </w:pPr>
            <w:r>
              <w:rPr>
                <w:rFonts w:ascii="Arial" w:cs="Arial" w:eastAsia="Arial" w:hAnsi="Arial"/>
                <w:sz w:val="13"/>
                <w:szCs w:val="13"/>
                <w:color w:val="auto"/>
              </w:rPr>
              <w:t>$</w:t>
            </w:r>
          </w:p>
        </w:tc>
        <w:tc>
          <w:tcPr>
            <w:tcW w:w="640" w:type="dxa"/>
            <w:vAlign w:val="bottom"/>
            <w:shd w:val="clear" w:color="auto" w:fill="F2F2F2"/>
          </w:tcPr>
          <w:p>
            <w:pPr>
              <w:jc w:val="right"/>
              <w:ind w:right="37"/>
              <w:spacing w:after="0" w:line="126" w:lineRule="exact"/>
              <w:rPr>
                <w:sz w:val="20"/>
                <w:szCs w:val="20"/>
                <w:color w:val="auto"/>
              </w:rPr>
            </w:pPr>
            <w:r>
              <w:rPr>
                <w:rFonts w:ascii="Arial" w:cs="Arial" w:eastAsia="Arial" w:hAnsi="Arial"/>
                <w:sz w:val="13"/>
                <w:szCs w:val="13"/>
                <w:color w:val="auto"/>
              </w:rPr>
              <w:t>7,364</w:t>
            </w:r>
          </w:p>
        </w:tc>
        <w:tc>
          <w:tcPr>
            <w:tcW w:w="1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67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60" w:type="dxa"/>
            <w:vAlign w:val="bottom"/>
            <w:tcBorders>
              <w:bottom w:val="single" w:sz="8" w:color="CCCCCC"/>
            </w:tcBorders>
            <w:gridSpan w:val="3"/>
            <w:shd w:val="clear" w:color="auto" w:fill="F2F2F2"/>
          </w:tcPr>
          <w:p>
            <w:pPr>
              <w:ind w:left="80"/>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shd w:val="clear" w:color="auto" w:fill="F2F2F2"/>
          </w:tcPr>
          <w:p>
            <w:pPr>
              <w:spacing w:after="0"/>
              <w:rPr>
                <w:sz w:val="8"/>
                <w:szCs w:val="8"/>
                <w:color w:val="auto"/>
              </w:rPr>
            </w:pPr>
          </w:p>
        </w:tc>
        <w:tc>
          <w:tcPr>
            <w:tcW w:w="32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140" w:type="dxa"/>
            <w:vAlign w:val="bottom"/>
            <w:tcBorders>
              <w:bottom w:val="single" w:sz="8" w:color="CCCCCC"/>
            </w:tcBorders>
            <w:vMerge w:val="continue"/>
            <w:shd w:val="clear" w:color="auto" w:fill="F2F2F2"/>
          </w:tcPr>
          <w:p>
            <w:pPr>
              <w:spacing w:after="0"/>
              <w:rPr>
                <w:sz w:val="8"/>
                <w:szCs w:val="8"/>
                <w:color w:val="auto"/>
              </w:rPr>
            </w:pPr>
          </w:p>
        </w:tc>
        <w:tc>
          <w:tcPr>
            <w:tcW w:w="200" w:type="dxa"/>
            <w:vAlign w:val="bottom"/>
            <w:tcBorders>
              <w:bottom w:val="single" w:sz="8" w:color="CCCCCC"/>
            </w:tcBorders>
            <w:shd w:val="clear" w:color="auto" w:fill="F2F2F2"/>
          </w:tcPr>
          <w:p>
            <w:pPr>
              <w:ind w:left="80"/>
              <w:spacing w:after="0" w:line="9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gridSpan w:val="2"/>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Arial" w:cs="Arial" w:eastAsia="Arial" w:hAnsi="Arial"/>
                <w:sz w:val="13"/>
                <w:szCs w:val="13"/>
                <w:color w:val="auto"/>
              </w:rPr>
              <w:t>Increase/Deduction for Change in Fair Value from Prior Year-End to Current Year-End of Awards Granted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Prior to Year that were Outstanding and Unvested as of Year-End</w:t>
            </w:r>
          </w:p>
        </w:tc>
        <w:tc>
          <w:tcPr>
            <w:tcW w:w="160" w:type="dxa"/>
            <w:vAlign w:val="bottom"/>
            <w:tcBorders>
              <w:bottom w:val="single" w:sz="8" w:color="CCCCCC"/>
            </w:tcBorders>
          </w:tcPr>
          <w:p>
            <w:pPr>
              <w:ind w:left="140"/>
              <w:spacing w:after="0"/>
              <w:rPr>
                <w:sz w:val="20"/>
                <w:szCs w:val="20"/>
                <w:color w:val="auto"/>
              </w:rPr>
            </w:pPr>
            <w:r>
              <w:rPr>
                <w:rFonts w:ascii="Arial" w:cs="Arial" w:eastAsia="Arial" w:hAnsi="Arial"/>
                <w:sz w:val="1"/>
                <w:szCs w:val="1"/>
                <w:color w:val="auto"/>
                <w:w w:val="4294942296"/>
              </w:rPr>
              <w:t>​</w:t>
            </w:r>
          </w:p>
        </w:tc>
        <w:tc>
          <w:tcPr>
            <w:tcW w:w="260" w:type="dxa"/>
            <w:vAlign w:val="bottom"/>
            <w:tcBorders>
              <w:bottom w:val="single" w:sz="8" w:color="CCCCCC"/>
            </w:tcBorders>
            <w:gridSpan w:val="3"/>
          </w:tcPr>
          <w:p>
            <w:pPr>
              <w:ind w:left="80"/>
              <w:spacing w:after="0" w:line="221"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478,279</w:t>
            </w:r>
            <w:r>
              <w:rPr>
                <w:rFonts w:ascii="Arial" w:cs="Arial" w:eastAsia="Arial" w:hAnsi="Arial"/>
                <w:sz w:val="25"/>
                <w:szCs w:val="25"/>
                <w:color w:val="auto"/>
                <w:vertAlign w:val="subscript"/>
              </w:rPr>
              <w:t>​ ​</w:t>
            </w:r>
          </w:p>
        </w:tc>
        <w:tc>
          <w:tcPr>
            <w:tcW w:w="14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8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37"/>
              <w:spacing w:after="0"/>
              <w:rPr>
                <w:sz w:val="20"/>
                <w:szCs w:val="20"/>
                <w:color w:val="auto"/>
              </w:rPr>
            </w:pPr>
            <w:r>
              <w:rPr>
                <w:rFonts w:ascii="Arial" w:cs="Arial" w:eastAsia="Arial" w:hAnsi="Arial"/>
                <w:sz w:val="13"/>
                <w:szCs w:val="13"/>
                <w:color w:val="auto"/>
              </w:rPr>
              <w:t>56,420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Deduction of Fair Value of Prior Year Awards Forfeited During the Year</w:t>
            </w:r>
          </w:p>
        </w:tc>
        <w:tc>
          <w:tcPr>
            <w:tcW w:w="16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
                <w:szCs w:val="1"/>
                <w:color w:val="auto"/>
                <w:w w:val="4294942296"/>
              </w:rPr>
              <w:t>​</w:t>
            </w:r>
          </w:p>
        </w:tc>
        <w:tc>
          <w:tcPr>
            <w:tcW w:w="260" w:type="dxa"/>
            <w:vAlign w:val="bottom"/>
            <w:tcBorders>
              <w:bottom w:val="single" w:sz="8" w:color="CCCCCC"/>
            </w:tcBorders>
            <w:gridSpan w:val="3"/>
            <w:shd w:val="clear" w:color="auto" w:fill="F2F2F2"/>
          </w:tcPr>
          <w:p>
            <w:pPr>
              <w:ind w:left="8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80"/>
              <w:spacing w:after="0" w:line="25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Total Compensation Actually Paid</w:t>
            </w:r>
          </w:p>
        </w:tc>
        <w:tc>
          <w:tcPr>
            <w:tcW w:w="160" w:type="dxa"/>
            <w:vAlign w:val="bottom"/>
            <w:tcBorders>
              <w:bottom w:val="single" w:sz="8" w:color="CCCCCC"/>
            </w:tcBorders>
          </w:tcPr>
          <w:p>
            <w:pPr>
              <w:ind w:left="140"/>
              <w:spacing w:after="0"/>
              <w:rPr>
                <w:sz w:val="20"/>
                <w:szCs w:val="20"/>
                <w:color w:val="auto"/>
              </w:rPr>
            </w:pPr>
            <w:r>
              <w:rPr>
                <w:rFonts w:ascii="Arial" w:cs="Arial" w:eastAsia="Arial" w:hAnsi="Arial"/>
                <w:sz w:val="1"/>
                <w:szCs w:val="1"/>
                <w:color w:val="auto"/>
                <w:w w:val="4294942296"/>
              </w:rPr>
              <w:t>​</w:t>
            </w:r>
          </w:p>
        </w:tc>
        <w:tc>
          <w:tcPr>
            <w:tcW w:w="980" w:type="dxa"/>
            <w:vAlign w:val="bottom"/>
            <w:tcBorders>
              <w:bottom w:val="single" w:sz="8" w:color="CCCCCC"/>
            </w:tcBorders>
            <w:gridSpan w:val="5"/>
          </w:tcPr>
          <w:p>
            <w:pPr>
              <w:ind w:left="80"/>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$24,939,494</w:t>
            </w:r>
            <w:r>
              <w:rPr>
                <w:rFonts w:ascii="Arial" w:cs="Arial" w:eastAsia="Arial" w:hAnsi="Arial"/>
                <w:sz w:val="25"/>
                <w:szCs w:val="25"/>
                <w:color w:val="auto"/>
                <w:vertAlign w:val="subscript"/>
              </w:rPr>
              <w:t>​ ​</w:t>
            </w:r>
          </w:p>
        </w:tc>
        <w:tc>
          <w:tcPr>
            <w:tcW w:w="140" w:type="dxa"/>
            <w:vAlign w:val="bottom"/>
            <w:tcBorders>
              <w:bottom w:val="single" w:sz="8" w:color="CCCCCC"/>
            </w:tcBorders>
          </w:tcPr>
          <w:p>
            <w:pPr>
              <w:jc w:val="cente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8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$4,780,554</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shd w:val="clear" w:color="auto" w:fill="003763"/>
          </w:tcPr>
          <w:p>
            <w:pPr>
              <w:spacing w:after="0"/>
              <w:rPr>
                <w:sz w:val="16"/>
                <w:szCs w:val="16"/>
                <w:color w:val="auto"/>
              </w:rPr>
            </w:pPr>
          </w:p>
        </w:tc>
        <w:tc>
          <w:tcPr>
            <w:tcW w:w="6780" w:type="dxa"/>
            <w:vAlign w:val="bottom"/>
            <w:shd w:val="clear" w:color="auto" w:fill="003763"/>
          </w:tcPr>
          <w:p>
            <w:pPr>
              <w:spacing w:after="0"/>
              <w:rPr>
                <w:sz w:val="16"/>
                <w:szCs w:val="16"/>
                <w:color w:val="auto"/>
              </w:rPr>
            </w:pPr>
          </w:p>
        </w:tc>
        <w:tc>
          <w:tcPr>
            <w:tcW w:w="160" w:type="dxa"/>
            <w:vAlign w:val="bottom"/>
            <w:shd w:val="clear" w:color="auto" w:fill="003763"/>
          </w:tcPr>
          <w:p>
            <w:pPr>
              <w:spacing w:after="0"/>
              <w:rPr>
                <w:sz w:val="16"/>
                <w:szCs w:val="16"/>
                <w:color w:val="auto"/>
              </w:rPr>
            </w:pPr>
          </w:p>
        </w:tc>
        <w:tc>
          <w:tcPr>
            <w:tcW w:w="10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shd w:val="clear" w:color="auto" w:fill="003763"/>
          </w:tcPr>
          <w:p>
            <w:pPr>
              <w:spacing w:after="0"/>
              <w:rPr>
                <w:sz w:val="16"/>
                <w:szCs w:val="16"/>
                <w:color w:val="auto"/>
              </w:rPr>
            </w:pPr>
          </w:p>
        </w:tc>
        <w:tc>
          <w:tcPr>
            <w:tcW w:w="120" w:type="dxa"/>
            <w:vAlign w:val="bottom"/>
            <w:shd w:val="clear" w:color="auto" w:fill="003763"/>
          </w:tcPr>
          <w:p>
            <w:pPr>
              <w:spacing w:after="0"/>
              <w:rPr>
                <w:sz w:val="16"/>
                <w:szCs w:val="16"/>
                <w:color w:val="auto"/>
              </w:rPr>
            </w:pPr>
          </w:p>
        </w:tc>
        <w:tc>
          <w:tcPr>
            <w:tcW w:w="400" w:type="dxa"/>
            <w:vAlign w:val="bottom"/>
            <w:shd w:val="clear" w:color="auto" w:fill="003763"/>
          </w:tcPr>
          <w:p>
            <w:pPr>
              <w:spacing w:after="0"/>
              <w:rPr>
                <w:sz w:val="16"/>
                <w:szCs w:val="16"/>
                <w:color w:val="auto"/>
              </w:rPr>
            </w:pPr>
          </w:p>
        </w:tc>
        <w:tc>
          <w:tcPr>
            <w:tcW w:w="660" w:type="dxa"/>
            <w:vAlign w:val="bottom"/>
            <w:gridSpan w:val="3"/>
            <w:shd w:val="clear" w:color="auto" w:fill="003763"/>
          </w:tcPr>
          <w:p>
            <w:pPr>
              <w:ind w:left="260"/>
              <w:spacing w:after="0"/>
              <w:rPr>
                <w:sz w:val="20"/>
                <w:szCs w:val="20"/>
                <w:color w:val="auto"/>
              </w:rPr>
            </w:pPr>
            <w:r>
              <w:rPr>
                <w:rFonts w:ascii="Arial" w:cs="Arial" w:eastAsia="Arial" w:hAnsi="Arial"/>
                <w:sz w:val="13"/>
                <w:szCs w:val="13"/>
                <w:b w:val="1"/>
                <w:bCs w:val="1"/>
                <w:color w:val="FFFFFF"/>
              </w:rPr>
              <w:t>2022</w:t>
            </w:r>
          </w:p>
        </w:tc>
        <w:tc>
          <w:tcPr>
            <w:tcW w:w="64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8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80" w:type="dxa"/>
            <w:vAlign w:val="bottom"/>
            <w:shd w:val="clear" w:color="auto" w:fill="003763"/>
          </w:tcPr>
          <w:p>
            <w:pPr>
              <w:spacing w:after="0"/>
              <w:rPr>
                <w:sz w:val="4"/>
                <w:szCs w:val="4"/>
                <w:color w:val="auto"/>
              </w:rPr>
            </w:pPr>
          </w:p>
        </w:tc>
        <w:tc>
          <w:tcPr>
            <w:tcW w:w="6780" w:type="dxa"/>
            <w:vAlign w:val="bottom"/>
            <w:shd w:val="clear" w:color="auto" w:fill="003763"/>
          </w:tcPr>
          <w:p>
            <w:pPr>
              <w:spacing w:after="0"/>
              <w:rPr>
                <w:sz w:val="4"/>
                <w:szCs w:val="4"/>
                <w:color w:val="auto"/>
              </w:rPr>
            </w:pPr>
          </w:p>
        </w:tc>
        <w:tc>
          <w:tcPr>
            <w:tcW w:w="160" w:type="dxa"/>
            <w:vAlign w:val="bottom"/>
            <w:shd w:val="clear" w:color="auto" w:fill="003763"/>
          </w:tcPr>
          <w:p>
            <w:pPr>
              <w:spacing w:after="0"/>
              <w:rPr>
                <w:sz w:val="4"/>
                <w:szCs w:val="4"/>
                <w:color w:val="auto"/>
              </w:rPr>
            </w:pPr>
          </w:p>
        </w:tc>
        <w:tc>
          <w:tcPr>
            <w:tcW w:w="100" w:type="dxa"/>
            <w:vAlign w:val="bottom"/>
            <w:vMerge w:val="continue"/>
            <w:shd w:val="clear" w:color="auto" w:fill="003763"/>
          </w:tcPr>
          <w:p>
            <w:pPr>
              <w:spacing w:after="0"/>
              <w:rPr>
                <w:sz w:val="4"/>
                <w:szCs w:val="4"/>
                <w:color w:val="auto"/>
              </w:rPr>
            </w:pPr>
          </w:p>
        </w:tc>
        <w:tc>
          <w:tcPr>
            <w:tcW w:w="160" w:type="dxa"/>
            <w:vAlign w:val="bottom"/>
            <w:gridSpan w:val="2"/>
            <w:shd w:val="clear" w:color="auto" w:fill="003763"/>
          </w:tcPr>
          <w:p>
            <w:pPr>
              <w:spacing w:after="0"/>
              <w:rPr>
                <w:sz w:val="4"/>
                <w:szCs w:val="4"/>
                <w:color w:val="auto"/>
              </w:rPr>
            </w:pPr>
          </w:p>
        </w:tc>
        <w:tc>
          <w:tcPr>
            <w:tcW w:w="400" w:type="dxa"/>
            <w:vAlign w:val="bottom"/>
            <w:shd w:val="clear" w:color="auto" w:fill="003763"/>
          </w:tcPr>
          <w:p>
            <w:pPr>
              <w:spacing w:after="0"/>
              <w:rPr>
                <w:sz w:val="4"/>
                <w:szCs w:val="4"/>
                <w:color w:val="auto"/>
              </w:rPr>
            </w:pPr>
          </w:p>
        </w:tc>
        <w:tc>
          <w:tcPr>
            <w:tcW w:w="320" w:type="dxa"/>
            <w:vAlign w:val="bottom"/>
            <w:shd w:val="clear" w:color="auto" w:fill="003763"/>
          </w:tcPr>
          <w:p>
            <w:pPr>
              <w:spacing w:after="0"/>
              <w:rPr>
                <w:sz w:val="4"/>
                <w:szCs w:val="4"/>
                <w:color w:val="auto"/>
              </w:rPr>
            </w:pPr>
          </w:p>
        </w:tc>
        <w:tc>
          <w:tcPr>
            <w:tcW w:w="140" w:type="dxa"/>
            <w:vAlign w:val="bottom"/>
            <w:shd w:val="clear" w:color="auto" w:fill="003763"/>
          </w:tcPr>
          <w:p>
            <w:pPr>
              <w:spacing w:after="0"/>
              <w:rPr>
                <w:sz w:val="4"/>
                <w:szCs w:val="4"/>
                <w:color w:val="auto"/>
              </w:rPr>
            </w:pPr>
          </w:p>
        </w:tc>
        <w:tc>
          <w:tcPr>
            <w:tcW w:w="200" w:type="dxa"/>
            <w:vAlign w:val="bottom"/>
            <w:shd w:val="clear" w:color="auto" w:fill="003763"/>
          </w:tcPr>
          <w:p>
            <w:pPr>
              <w:spacing w:after="0"/>
              <w:rPr>
                <w:sz w:val="4"/>
                <w:szCs w:val="4"/>
                <w:color w:val="auto"/>
              </w:rPr>
            </w:pPr>
          </w:p>
        </w:tc>
        <w:tc>
          <w:tcPr>
            <w:tcW w:w="64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860" w:type="dxa"/>
            <w:vAlign w:val="bottom"/>
            <w:gridSpan w:val="2"/>
            <w:vMerge w:val="restart"/>
            <w:shd w:val="clear" w:color="auto" w:fill="003763"/>
          </w:tcPr>
          <w:p>
            <w:pPr>
              <w:ind w:left="2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Actually Paid Adjustments</w:t>
            </w:r>
          </w:p>
        </w:tc>
        <w:tc>
          <w:tcPr>
            <w:tcW w:w="160" w:type="dxa"/>
            <w:vAlign w:val="bottom"/>
            <w:shd w:val="clear" w:color="auto" w:fill="003763"/>
          </w:tcPr>
          <w:p>
            <w:pPr>
              <w:spacing w:after="0"/>
              <w:rPr>
                <w:sz w:val="18"/>
                <w:szCs w:val="18"/>
                <w:color w:val="auto"/>
              </w:rPr>
            </w:pPr>
          </w:p>
        </w:tc>
        <w:tc>
          <w:tcPr>
            <w:tcW w:w="100" w:type="dxa"/>
            <w:vAlign w:val="bottom"/>
            <w:shd w:val="clear" w:color="auto" w:fill="003763"/>
          </w:tcPr>
          <w:p>
            <w:pPr>
              <w:spacing w:after="0"/>
              <w:rPr>
                <w:sz w:val="18"/>
                <w:szCs w:val="18"/>
                <w:color w:val="auto"/>
              </w:rPr>
            </w:pPr>
          </w:p>
        </w:tc>
        <w:tc>
          <w:tcPr>
            <w:tcW w:w="40" w:type="dxa"/>
            <w:vAlign w:val="bottom"/>
            <w:shd w:val="clear" w:color="auto" w:fill="003763"/>
          </w:tcPr>
          <w:p>
            <w:pPr>
              <w:spacing w:after="0"/>
              <w:rPr>
                <w:sz w:val="18"/>
                <w:szCs w:val="18"/>
                <w:color w:val="auto"/>
              </w:rPr>
            </w:pPr>
          </w:p>
        </w:tc>
        <w:tc>
          <w:tcPr>
            <w:tcW w:w="120" w:type="dxa"/>
            <w:vAlign w:val="bottom"/>
            <w:shd w:val="clear" w:color="auto" w:fill="003763"/>
          </w:tcPr>
          <w:p>
            <w:pPr>
              <w:spacing w:after="0"/>
              <w:rPr>
                <w:sz w:val="18"/>
                <w:szCs w:val="18"/>
                <w:color w:val="auto"/>
              </w:rPr>
            </w:pPr>
          </w:p>
        </w:tc>
        <w:tc>
          <w:tcPr>
            <w:tcW w:w="400" w:type="dxa"/>
            <w:vAlign w:val="bottom"/>
            <w:shd w:val="clear" w:color="auto" w:fill="003763"/>
          </w:tcPr>
          <w:p>
            <w:pPr>
              <w:spacing w:after="0"/>
              <w:rPr>
                <w:sz w:val="18"/>
                <w:szCs w:val="18"/>
                <w:color w:val="auto"/>
              </w:rPr>
            </w:pPr>
          </w:p>
        </w:tc>
        <w:tc>
          <w:tcPr>
            <w:tcW w:w="320" w:type="dxa"/>
            <w:vAlign w:val="bottom"/>
            <w:shd w:val="clear" w:color="auto" w:fill="003763"/>
          </w:tcPr>
          <w:p>
            <w:pPr>
              <w:spacing w:after="0"/>
              <w:rPr>
                <w:sz w:val="18"/>
                <w:szCs w:val="18"/>
                <w:color w:val="auto"/>
              </w:rPr>
            </w:pPr>
          </w:p>
        </w:tc>
        <w:tc>
          <w:tcPr>
            <w:tcW w:w="140" w:type="dxa"/>
            <w:vAlign w:val="bottom"/>
            <w:shd w:val="clear" w:color="auto" w:fill="003763"/>
          </w:tcPr>
          <w:p>
            <w:pPr>
              <w:spacing w:after="0"/>
              <w:rPr>
                <w:sz w:val="18"/>
                <w:szCs w:val="18"/>
                <w:color w:val="auto"/>
              </w:rPr>
            </w:pPr>
          </w:p>
        </w:tc>
        <w:tc>
          <w:tcPr>
            <w:tcW w:w="840" w:type="dxa"/>
            <w:vAlign w:val="bottom"/>
            <w:gridSpan w:val="2"/>
            <w:shd w:val="clear" w:color="auto" w:fill="003763"/>
          </w:tcPr>
          <w:p>
            <w:pPr>
              <w:ind w:left="140"/>
              <w:spacing w:after="0"/>
              <w:rPr>
                <w:sz w:val="20"/>
                <w:szCs w:val="20"/>
                <w:color w:val="auto"/>
              </w:rPr>
            </w:pPr>
            <w:r>
              <w:rPr>
                <w:rFonts w:ascii="Arial" w:cs="Arial" w:eastAsia="Arial" w:hAnsi="Arial"/>
                <w:sz w:val="13"/>
                <w:szCs w:val="13"/>
                <w:b w:val="1"/>
                <w:bCs w:val="1"/>
                <w:color w:val="FFFFFF"/>
              </w:rPr>
              <w:t>Average</w:t>
            </w:r>
          </w:p>
        </w:tc>
        <w:tc>
          <w:tcPr>
            <w:tcW w:w="40" w:type="dxa"/>
            <w:vAlign w:val="bottom"/>
            <w:shd w:val="clear" w:color="auto" w:fill="003763"/>
          </w:tcPr>
          <w:p>
            <w:pPr>
              <w:spacing w:after="0"/>
              <w:rPr>
                <w:sz w:val="18"/>
                <w:szCs w:val="18"/>
                <w:color w:val="auto"/>
              </w:rPr>
            </w:pPr>
          </w:p>
        </w:tc>
        <w:tc>
          <w:tcPr>
            <w:tcW w:w="80" w:type="dxa"/>
            <w:vAlign w:val="bottom"/>
            <w:shd w:val="clear" w:color="auto" w:fill="003763"/>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60" w:type="dxa"/>
            <w:vAlign w:val="bottom"/>
            <w:gridSpan w:val="2"/>
            <w:vMerge w:val="continue"/>
            <w:shd w:val="clear" w:color="auto" w:fill="003763"/>
          </w:tcPr>
          <w:p>
            <w:pPr>
              <w:spacing w:after="0"/>
              <w:rPr>
                <w:sz w:val="19"/>
                <w:szCs w:val="19"/>
                <w:color w:val="auto"/>
              </w:rPr>
            </w:pP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160" w:type="dxa"/>
            <w:vAlign w:val="bottom"/>
            <w:gridSpan w:val="2"/>
            <w:shd w:val="clear" w:color="auto" w:fill="003763"/>
          </w:tcPr>
          <w:p>
            <w:pPr>
              <w:spacing w:after="0"/>
              <w:rPr>
                <w:sz w:val="19"/>
                <w:szCs w:val="19"/>
                <w:color w:val="auto"/>
              </w:rPr>
            </w:pPr>
          </w:p>
        </w:tc>
        <w:tc>
          <w:tcPr>
            <w:tcW w:w="40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PEO</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00" w:type="dxa"/>
            <w:vAlign w:val="bottom"/>
            <w:gridSpan w:val="5"/>
            <w:shd w:val="clear" w:color="auto" w:fill="003763"/>
          </w:tcPr>
          <w:p>
            <w:pPr>
              <w:ind w:left="2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Non-PEO NEOs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Summary Compensation Table (SCT) Total</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7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$13,943,974</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$ 2,551,102</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shd w:val="clear" w:color="auto" w:fill="F2F2F2"/>
          </w:tcPr>
          <w:p>
            <w:pPr>
              <w:ind w:left="20"/>
              <w:spacing w:after="0"/>
              <w:rPr>
                <w:sz w:val="20"/>
                <w:szCs w:val="20"/>
                <w:color w:val="auto"/>
              </w:rPr>
            </w:pPr>
            <w:r>
              <w:rPr>
                <w:rFonts w:ascii="Arial" w:cs="Arial" w:eastAsia="Arial" w:hAnsi="Arial"/>
                <w:sz w:val="13"/>
                <w:szCs w:val="13"/>
                <w:color w:val="auto"/>
              </w:rPr>
              <w:t>Deduction for Amounts Reported under the Stock Awards and Options Awards columns in the SCT</w:t>
            </w:r>
          </w:p>
        </w:tc>
        <w:tc>
          <w:tcPr>
            <w:tcW w:w="16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5"/>
            <w:shd w:val="clear" w:color="auto" w:fill="F2F2F2"/>
          </w:tcPr>
          <w:p>
            <w:pPr>
              <w:jc w:val="right"/>
              <w:ind w:right="39"/>
              <w:spacing w:after="0"/>
              <w:rPr>
                <w:sz w:val="20"/>
                <w:szCs w:val="20"/>
                <w:color w:val="auto"/>
              </w:rPr>
            </w:pPr>
            <w:r>
              <w:rPr>
                <w:rFonts w:ascii="Arial" w:cs="Arial" w:eastAsia="Arial" w:hAnsi="Arial"/>
                <w:sz w:val="13"/>
                <w:szCs w:val="13"/>
                <w:color w:val="auto"/>
              </w:rPr>
              <w:t>$ (8,481,240)</w:t>
            </w:r>
          </w:p>
        </w:tc>
        <w:tc>
          <w:tcPr>
            <w:tcW w:w="140" w:type="dxa"/>
            <w:vAlign w:val="bottom"/>
            <w:vMerge w:val="restart"/>
            <w:shd w:val="clear" w:color="auto" w:fill="F2F2F2"/>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$(1,336,621)</w:t>
            </w:r>
          </w:p>
        </w:tc>
        <w:tc>
          <w:tcPr>
            <w:tcW w:w="1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67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60" w:type="dxa"/>
            <w:vAlign w:val="bottom"/>
            <w:tcBorders>
              <w:bottom w:val="single" w:sz="8" w:color="CCCCCC"/>
            </w:tcBorders>
            <w:gridSpan w:val="3"/>
            <w:shd w:val="clear" w:color="auto" w:fill="F2F2F2"/>
          </w:tcPr>
          <w:p>
            <w:pPr>
              <w:ind w:left="60"/>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shd w:val="clear" w:color="auto" w:fill="F2F2F2"/>
          </w:tcPr>
          <w:p>
            <w:pPr>
              <w:spacing w:after="0"/>
              <w:rPr>
                <w:sz w:val="8"/>
                <w:szCs w:val="8"/>
                <w:color w:val="auto"/>
              </w:rPr>
            </w:pPr>
          </w:p>
        </w:tc>
        <w:tc>
          <w:tcPr>
            <w:tcW w:w="32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140" w:type="dxa"/>
            <w:vAlign w:val="bottom"/>
            <w:tcBorders>
              <w:bottom w:val="single" w:sz="8" w:color="CCCCCC"/>
            </w:tcBorders>
            <w:vMerge w:val="continue"/>
            <w:shd w:val="clear" w:color="auto" w:fill="F2F2F2"/>
          </w:tcPr>
          <w:p>
            <w:pPr>
              <w:spacing w:after="0"/>
              <w:rPr>
                <w:sz w:val="8"/>
                <w:szCs w:val="8"/>
                <w:color w:val="auto"/>
              </w:rPr>
            </w:pPr>
          </w:p>
        </w:tc>
        <w:tc>
          <w:tcPr>
            <w:tcW w:w="200" w:type="dxa"/>
            <w:vAlign w:val="bottom"/>
            <w:tcBorders>
              <w:bottom w:val="single" w:sz="8" w:color="CCCCCC"/>
            </w:tcBorders>
            <w:shd w:val="clear" w:color="auto" w:fill="F2F2F2"/>
          </w:tcPr>
          <w:p>
            <w:pPr>
              <w:ind w:left="60"/>
              <w:spacing w:after="0" w:line="9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gridSpan w:val="2"/>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Arial" w:cs="Arial" w:eastAsia="Arial" w:hAnsi="Arial"/>
                <w:sz w:val="13"/>
                <w:szCs w:val="13"/>
                <w:color w:val="auto"/>
              </w:rPr>
              <w:t>Deduction for Amounts Reported under the “Change in Pension Value and Nonqualified Deferred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Compensation Earnings” column in the SCT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6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tcPr>
          <w:p>
            <w:pPr>
              <w:spacing w:after="0"/>
              <w:rPr>
                <w:sz w:val="19"/>
                <w:szCs w:val="19"/>
                <w:color w:val="auto"/>
              </w:rPr>
            </w:pPr>
          </w:p>
        </w:tc>
        <w:tc>
          <w:tcPr>
            <w:tcW w:w="320" w:type="dxa"/>
            <w:vAlign w:val="bottom"/>
            <w:tcBorders>
              <w:bottom w:val="single" w:sz="8" w:color="CCCCCC"/>
            </w:tcBorders>
          </w:tcPr>
          <w:p>
            <w:pPr>
              <w:jc w:val="right"/>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6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31,373</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Service Cost and Prior Service Cost for Pension Plans</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15,906</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Remain Unvested as of Year-End</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$12,542,520</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$ 1,976,680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Vest During Year</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Dividends Paid on Unvested Shares/Share Units &amp; Stock Options</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60"/>
              <w:spacing w:after="0" w:line="25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1,550,496</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6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127,670</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shd w:val="clear" w:color="auto" w:fill="F2F2F2"/>
          </w:tcPr>
          <w:p>
            <w:pPr>
              <w:spacing w:after="0"/>
              <w:rPr>
                <w:sz w:val="15"/>
                <w:szCs w:val="15"/>
                <w:color w:val="auto"/>
              </w:rPr>
            </w:pPr>
          </w:p>
        </w:tc>
        <w:tc>
          <w:tcPr>
            <w:tcW w:w="6780" w:type="dxa"/>
            <w:vAlign w:val="bottom"/>
            <w:shd w:val="clear" w:color="auto" w:fill="F2F2F2"/>
          </w:tcPr>
          <w:p>
            <w:pPr>
              <w:ind w:left="20"/>
              <w:spacing w:after="0"/>
              <w:rPr>
                <w:sz w:val="20"/>
                <w:szCs w:val="20"/>
                <w:color w:val="auto"/>
              </w:rPr>
            </w:pPr>
            <w:r>
              <w:rPr>
                <w:rFonts w:ascii="Arial" w:cs="Arial" w:eastAsia="Arial" w:hAnsi="Arial"/>
                <w:sz w:val="13"/>
                <w:szCs w:val="13"/>
                <w:color w:val="auto"/>
              </w:rPr>
              <w:t>Increase/Deduction for Change in Fair Value from Prior Year-End to Vesting Date of Awards Granted Prior</w:t>
            </w: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64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3"/>
                <w:szCs w:val="13"/>
                <w:color w:val="auto"/>
              </w:rPr>
              <w:t>to Year that Vest During Year</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60"/>
              <w:spacing w:after="0" w:line="221"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shd w:val="clear" w:color="auto" w:fill="F2F2F2"/>
          </w:tcPr>
          <w:p>
            <w:pPr>
              <w:jc w:val="right"/>
              <w:spacing w:after="0" w:line="221" w:lineRule="exact"/>
              <w:rPr>
                <w:sz w:val="20"/>
                <w:szCs w:val="20"/>
                <w:color w:val="auto"/>
              </w:rPr>
            </w:pPr>
            <w:r>
              <w:rPr>
                <w:rFonts w:ascii="Arial" w:cs="Arial" w:eastAsia="Arial" w:hAnsi="Arial"/>
                <w:sz w:val="13"/>
                <w:szCs w:val="13"/>
                <w:color w:val="auto"/>
              </w:rPr>
              <w:t>5,034,164</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6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523,494</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Arial" w:cs="Arial" w:eastAsia="Arial" w:hAnsi="Arial"/>
                <w:sz w:val="13"/>
                <w:szCs w:val="13"/>
                <w:color w:val="auto"/>
              </w:rPr>
              <w:t>Increase/Deduction for Change in Fair Value from Prior Year-End to Current Year-End of Awards Granted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Prior to Year that were Outstanding and Unvested as of Year-End</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60"/>
              <w:spacing w:after="0" w:line="221"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5,038,851</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6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529,165</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Deduction of Fair Value of Prior Year Awards Forfeited During the Year</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60"/>
              <w:spacing w:after="0" w:line="25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Total Compensation Actually Paid</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$29,628,764</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$ 4,418,767</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0" w:type="dxa"/>
            <w:vAlign w:val="bottom"/>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6780" w:type="dxa"/>
            <w:vAlign w:val="bottom"/>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6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0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120" w:type="dxa"/>
            <w:vAlign w:val="bottom"/>
            <w:shd w:val="clear" w:color="auto" w:fill="003763"/>
          </w:tcPr>
          <w:p>
            <w:pPr>
              <w:spacing w:after="0"/>
              <w:rPr>
                <w:sz w:val="16"/>
                <w:szCs w:val="16"/>
                <w:color w:val="auto"/>
              </w:rPr>
            </w:pPr>
          </w:p>
        </w:tc>
        <w:tc>
          <w:tcPr>
            <w:tcW w:w="400" w:type="dxa"/>
            <w:vAlign w:val="bottom"/>
            <w:shd w:val="clear" w:color="auto" w:fill="003763"/>
          </w:tcPr>
          <w:p>
            <w:pPr>
              <w:spacing w:after="0"/>
              <w:rPr>
                <w:sz w:val="16"/>
                <w:szCs w:val="16"/>
                <w:color w:val="auto"/>
              </w:rPr>
            </w:pPr>
          </w:p>
        </w:tc>
        <w:tc>
          <w:tcPr>
            <w:tcW w:w="660" w:type="dxa"/>
            <w:vAlign w:val="bottom"/>
            <w:gridSpan w:val="3"/>
            <w:shd w:val="clear" w:color="auto" w:fill="003763"/>
          </w:tcPr>
          <w:p>
            <w:pPr>
              <w:jc w:val="center"/>
              <w:ind w:left="39"/>
              <w:spacing w:after="0"/>
              <w:rPr>
                <w:sz w:val="20"/>
                <w:szCs w:val="20"/>
                <w:color w:val="auto"/>
              </w:rPr>
            </w:pPr>
            <w:r>
              <w:rPr>
                <w:rFonts w:ascii="Arial" w:cs="Arial" w:eastAsia="Arial" w:hAnsi="Arial"/>
                <w:sz w:val="13"/>
                <w:szCs w:val="13"/>
                <w:b w:val="1"/>
                <w:bCs w:val="1"/>
                <w:color w:val="FFFFFF"/>
                <w:w w:val="96"/>
              </w:rPr>
              <w:t>2021</w:t>
            </w:r>
          </w:p>
        </w:tc>
        <w:tc>
          <w:tcPr>
            <w:tcW w:w="640" w:type="dxa"/>
            <w:vAlign w:val="bottom"/>
            <w:shd w:val="clear" w:color="auto" w:fill="003763"/>
          </w:tcPr>
          <w:p>
            <w:pPr>
              <w:spacing w:after="0"/>
              <w:rPr>
                <w:sz w:val="16"/>
                <w:szCs w:val="16"/>
                <w:color w:val="auto"/>
              </w:rPr>
            </w:pPr>
          </w:p>
        </w:tc>
        <w:tc>
          <w:tcPr>
            <w:tcW w:w="40" w:type="dxa"/>
            <w:vAlign w:val="bottom"/>
            <w:shd w:val="clear" w:color="auto" w:fill="003763"/>
          </w:tcPr>
          <w:p>
            <w:pPr>
              <w:spacing w:after="0"/>
              <w:rPr>
                <w:sz w:val="16"/>
                <w:szCs w:val="16"/>
                <w:color w:val="auto"/>
              </w:rPr>
            </w:pPr>
          </w:p>
        </w:tc>
        <w:tc>
          <w:tcPr>
            <w:tcW w:w="8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80" w:type="dxa"/>
            <w:vAlign w:val="bottom"/>
            <w:vMerge w:val="continue"/>
            <w:shd w:val="clear" w:color="auto" w:fill="003763"/>
          </w:tcPr>
          <w:p>
            <w:pPr>
              <w:spacing w:after="0"/>
              <w:rPr>
                <w:sz w:val="4"/>
                <w:szCs w:val="4"/>
                <w:color w:val="auto"/>
              </w:rPr>
            </w:pPr>
          </w:p>
        </w:tc>
        <w:tc>
          <w:tcPr>
            <w:tcW w:w="6780" w:type="dxa"/>
            <w:vAlign w:val="bottom"/>
            <w:vMerge w:val="continue"/>
            <w:shd w:val="clear" w:color="auto" w:fill="003763"/>
          </w:tcPr>
          <w:p>
            <w:pPr>
              <w:spacing w:after="0"/>
              <w:rPr>
                <w:sz w:val="4"/>
                <w:szCs w:val="4"/>
                <w:color w:val="auto"/>
              </w:rPr>
            </w:pPr>
          </w:p>
        </w:tc>
        <w:tc>
          <w:tcPr>
            <w:tcW w:w="160" w:type="dxa"/>
            <w:vAlign w:val="bottom"/>
            <w:vMerge w:val="continue"/>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120" w:type="dxa"/>
            <w:vAlign w:val="bottom"/>
            <w:shd w:val="clear" w:color="auto" w:fill="003763"/>
          </w:tcPr>
          <w:p>
            <w:pPr>
              <w:spacing w:after="0"/>
              <w:rPr>
                <w:sz w:val="4"/>
                <w:szCs w:val="4"/>
                <w:color w:val="auto"/>
              </w:rPr>
            </w:pPr>
          </w:p>
        </w:tc>
        <w:tc>
          <w:tcPr>
            <w:tcW w:w="400" w:type="dxa"/>
            <w:vAlign w:val="bottom"/>
            <w:shd w:val="clear" w:color="auto" w:fill="003763"/>
          </w:tcPr>
          <w:p>
            <w:pPr>
              <w:spacing w:after="0"/>
              <w:rPr>
                <w:sz w:val="4"/>
                <w:szCs w:val="4"/>
                <w:color w:val="auto"/>
              </w:rPr>
            </w:pPr>
          </w:p>
        </w:tc>
        <w:tc>
          <w:tcPr>
            <w:tcW w:w="320" w:type="dxa"/>
            <w:vAlign w:val="bottom"/>
            <w:shd w:val="clear" w:color="auto" w:fill="003763"/>
          </w:tcPr>
          <w:p>
            <w:pPr>
              <w:spacing w:after="0"/>
              <w:rPr>
                <w:sz w:val="4"/>
                <w:szCs w:val="4"/>
                <w:color w:val="auto"/>
              </w:rPr>
            </w:pPr>
          </w:p>
        </w:tc>
        <w:tc>
          <w:tcPr>
            <w:tcW w:w="140" w:type="dxa"/>
            <w:vAlign w:val="bottom"/>
            <w:shd w:val="clear" w:color="auto" w:fill="003763"/>
          </w:tcPr>
          <w:p>
            <w:pPr>
              <w:spacing w:after="0"/>
              <w:rPr>
                <w:sz w:val="4"/>
                <w:szCs w:val="4"/>
                <w:color w:val="auto"/>
              </w:rPr>
            </w:pPr>
          </w:p>
        </w:tc>
        <w:tc>
          <w:tcPr>
            <w:tcW w:w="200" w:type="dxa"/>
            <w:vAlign w:val="bottom"/>
            <w:shd w:val="clear" w:color="auto" w:fill="003763"/>
          </w:tcPr>
          <w:p>
            <w:pPr>
              <w:spacing w:after="0"/>
              <w:rPr>
                <w:sz w:val="4"/>
                <w:szCs w:val="4"/>
                <w:color w:val="auto"/>
              </w:rPr>
            </w:pPr>
          </w:p>
        </w:tc>
        <w:tc>
          <w:tcPr>
            <w:tcW w:w="64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8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003763"/>
          </w:tcPr>
          <w:p>
            <w:pPr>
              <w:spacing w:after="0"/>
              <w:rPr>
                <w:sz w:val="17"/>
                <w:szCs w:val="17"/>
                <w:color w:val="auto"/>
              </w:rPr>
            </w:pPr>
          </w:p>
        </w:tc>
        <w:tc>
          <w:tcPr>
            <w:tcW w:w="6780" w:type="dxa"/>
            <w:vAlign w:val="bottom"/>
            <w:shd w:val="clear" w:color="auto" w:fill="003763"/>
          </w:tcPr>
          <w:p>
            <w:pPr>
              <w:spacing w:after="0"/>
              <w:rPr>
                <w:sz w:val="17"/>
                <w:szCs w:val="17"/>
                <w:color w:val="auto"/>
              </w:rPr>
            </w:pPr>
          </w:p>
        </w:tc>
        <w:tc>
          <w:tcPr>
            <w:tcW w:w="16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40" w:type="dxa"/>
            <w:vAlign w:val="bottom"/>
            <w:shd w:val="clear" w:color="auto" w:fill="003763"/>
          </w:tcPr>
          <w:p>
            <w:pPr>
              <w:spacing w:after="0"/>
              <w:rPr>
                <w:sz w:val="17"/>
                <w:szCs w:val="17"/>
                <w:color w:val="auto"/>
              </w:rPr>
            </w:pPr>
          </w:p>
        </w:tc>
        <w:tc>
          <w:tcPr>
            <w:tcW w:w="120" w:type="dxa"/>
            <w:vAlign w:val="bottom"/>
            <w:shd w:val="clear" w:color="auto" w:fill="003763"/>
          </w:tcPr>
          <w:p>
            <w:pPr>
              <w:spacing w:after="0"/>
              <w:rPr>
                <w:sz w:val="17"/>
                <w:szCs w:val="17"/>
                <w:color w:val="auto"/>
              </w:rPr>
            </w:pPr>
          </w:p>
        </w:tc>
        <w:tc>
          <w:tcPr>
            <w:tcW w:w="400" w:type="dxa"/>
            <w:vAlign w:val="bottom"/>
            <w:shd w:val="clear" w:color="auto" w:fill="003763"/>
          </w:tcPr>
          <w:p>
            <w:pPr>
              <w:spacing w:after="0"/>
              <w:rPr>
                <w:sz w:val="17"/>
                <w:szCs w:val="17"/>
                <w:color w:val="auto"/>
              </w:rPr>
            </w:pPr>
          </w:p>
        </w:tc>
        <w:tc>
          <w:tcPr>
            <w:tcW w:w="320" w:type="dxa"/>
            <w:vAlign w:val="bottom"/>
            <w:shd w:val="clear" w:color="auto" w:fill="003763"/>
          </w:tcPr>
          <w:p>
            <w:pPr>
              <w:spacing w:after="0"/>
              <w:rPr>
                <w:sz w:val="17"/>
                <w:szCs w:val="17"/>
                <w:color w:val="auto"/>
              </w:rPr>
            </w:pPr>
          </w:p>
        </w:tc>
        <w:tc>
          <w:tcPr>
            <w:tcW w:w="140" w:type="dxa"/>
            <w:vAlign w:val="bottom"/>
            <w:shd w:val="clear" w:color="auto" w:fill="003763"/>
          </w:tcPr>
          <w:p>
            <w:pPr>
              <w:spacing w:after="0"/>
              <w:rPr>
                <w:sz w:val="17"/>
                <w:szCs w:val="17"/>
                <w:color w:val="auto"/>
              </w:rPr>
            </w:pPr>
          </w:p>
        </w:tc>
        <w:tc>
          <w:tcPr>
            <w:tcW w:w="840" w:type="dxa"/>
            <w:vAlign w:val="bottom"/>
            <w:gridSpan w:val="2"/>
            <w:shd w:val="clear" w:color="auto" w:fill="003763"/>
          </w:tcPr>
          <w:p>
            <w:pPr>
              <w:ind w:left="140"/>
              <w:spacing w:after="0"/>
              <w:rPr>
                <w:sz w:val="20"/>
                <w:szCs w:val="20"/>
                <w:color w:val="auto"/>
              </w:rPr>
            </w:pPr>
            <w:r>
              <w:rPr>
                <w:rFonts w:ascii="Arial" w:cs="Arial" w:eastAsia="Arial" w:hAnsi="Arial"/>
                <w:sz w:val="13"/>
                <w:szCs w:val="13"/>
                <w:b w:val="1"/>
                <w:bCs w:val="1"/>
                <w:color w:val="FFFFFF"/>
              </w:rPr>
              <w:t>Average</w:t>
            </w:r>
          </w:p>
        </w:tc>
        <w:tc>
          <w:tcPr>
            <w:tcW w:w="4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003763"/>
          </w:tcPr>
          <w:p>
            <w:pPr>
              <w:ind w:left="60"/>
              <w:spacing w:after="0"/>
              <w:rPr>
                <w:sz w:val="20"/>
                <w:szCs w:val="20"/>
                <w:color w:val="auto"/>
              </w:rPr>
            </w:pPr>
            <w:r>
              <w:rPr>
                <w:rFonts w:ascii="Arial" w:cs="Arial" w:eastAsia="Arial" w:hAnsi="Arial"/>
                <w:sz w:val="1"/>
                <w:szCs w:val="1"/>
                <w:b w:val="1"/>
                <w:bCs w:val="1"/>
                <w:color w:val="FFFFFF"/>
                <w:w w:val="4294942296"/>
              </w:rPr>
              <w:t>​</w:t>
            </w:r>
          </w:p>
        </w:tc>
        <w:tc>
          <w:tcPr>
            <w:tcW w:w="678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Actually Paid Adjustments</w:t>
            </w:r>
          </w:p>
        </w:tc>
        <w:tc>
          <w:tcPr>
            <w:tcW w:w="420" w:type="dxa"/>
            <w:vAlign w:val="bottom"/>
            <w:gridSpan w:val="4"/>
            <w:shd w:val="clear" w:color="auto" w:fill="003763"/>
          </w:tcPr>
          <w:p>
            <w:pPr>
              <w:ind w:left="60"/>
              <w:spacing w:after="0"/>
              <w:rPr>
                <w:sz w:val="20"/>
                <w:szCs w:val="20"/>
                <w:color w:val="auto"/>
              </w:rPr>
            </w:pPr>
            <w:r>
              <w:rPr>
                <w:rFonts w:ascii="Arial" w:cs="Arial" w:eastAsia="Arial" w:hAnsi="Arial"/>
                <w:sz w:val="13"/>
                <w:szCs w:val="13"/>
                <w:b w:val="1"/>
                <w:bCs w:val="1"/>
                <w:color w:val="FFFFFF"/>
              </w:rPr>
              <w:t>​ ​</w:t>
            </w:r>
          </w:p>
        </w:tc>
        <w:tc>
          <w:tcPr>
            <w:tcW w:w="40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PEO</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100" w:type="dxa"/>
            <w:vAlign w:val="bottom"/>
            <w:gridSpan w:val="5"/>
            <w:shd w:val="clear" w:color="auto" w:fill="003763"/>
          </w:tcPr>
          <w:p>
            <w:pPr>
              <w:ind w:left="2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Non-PEO NEOs </w:t>
            </w:r>
            <w:r>
              <w:rPr>
                <w:rFonts w:ascii="Arial" w:cs="Arial" w:eastAsia="Arial" w:hAnsi="Arial"/>
                <w:sz w:val="25"/>
                <w:szCs w:val="25"/>
                <w:b w:val="1"/>
                <w:bCs w:val="1"/>
                <w:color w:val="FFFFFF"/>
                <w:vertAlign w:val="subscript"/>
              </w:rPr>
              <w:t>​</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Summary Compensation Table (SCT) Total</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7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$ 37,809,810</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40"/>
              <w:spacing w:after="0" w:line="27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w w:val="93"/>
              </w:rPr>
              <w:t>8,318,875</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shd w:val="clear" w:color="auto" w:fill="F2F2F2"/>
          </w:tcPr>
          <w:p>
            <w:pPr>
              <w:ind w:left="20"/>
              <w:spacing w:after="0"/>
              <w:rPr>
                <w:sz w:val="20"/>
                <w:szCs w:val="20"/>
                <w:color w:val="auto"/>
              </w:rPr>
            </w:pPr>
            <w:r>
              <w:rPr>
                <w:rFonts w:ascii="Arial" w:cs="Arial" w:eastAsia="Arial" w:hAnsi="Arial"/>
                <w:sz w:val="13"/>
                <w:szCs w:val="13"/>
                <w:color w:val="auto"/>
              </w:rPr>
              <w:t>Deduction for Amounts Reported under the Stock Awards and Options Awards columns in the SCT</w:t>
            </w:r>
          </w:p>
        </w:tc>
        <w:tc>
          <w:tcPr>
            <w:tcW w:w="160" w:type="dxa"/>
            <w:vAlign w:val="bottom"/>
            <w:vMerge w:val="restart"/>
            <w:shd w:val="clear" w:color="auto" w:fill="F2F2F2"/>
          </w:tcPr>
          <w:p>
            <w:pPr>
              <w:ind w:left="60"/>
              <w:spacing w:after="0"/>
              <w:rPr>
                <w:sz w:val="20"/>
                <w:szCs w:val="20"/>
                <w:color w:val="auto"/>
              </w:rPr>
            </w:pPr>
            <w:r>
              <w:rPr>
                <w:rFonts w:ascii="Arial" w:cs="Arial" w:eastAsia="Arial" w:hAnsi="Arial"/>
                <w:sz w:val="13"/>
                <w:szCs w:val="13"/>
                <w:color w:val="auto"/>
              </w:rPr>
              <w:t>​</w:t>
            </w:r>
          </w:p>
        </w:tc>
        <w:tc>
          <w:tcPr>
            <w:tcW w:w="980" w:type="dxa"/>
            <w:vAlign w:val="bottom"/>
            <w:gridSpan w:val="5"/>
            <w:shd w:val="clear" w:color="auto" w:fill="F2F2F2"/>
          </w:tcPr>
          <w:p>
            <w:pPr>
              <w:jc w:val="right"/>
              <w:ind w:right="39"/>
              <w:spacing w:after="0"/>
              <w:rPr>
                <w:sz w:val="20"/>
                <w:szCs w:val="20"/>
                <w:color w:val="auto"/>
              </w:rPr>
            </w:pPr>
            <w:r>
              <w:rPr>
                <w:rFonts w:ascii="Arial" w:cs="Arial" w:eastAsia="Arial" w:hAnsi="Arial"/>
                <w:sz w:val="13"/>
                <w:szCs w:val="13"/>
                <w:color w:val="auto"/>
              </w:rPr>
              <w:t>$(33,359,999)</w:t>
            </w:r>
          </w:p>
        </w:tc>
        <w:tc>
          <w:tcPr>
            <w:tcW w:w="140" w:type="dxa"/>
            <w:vAlign w:val="bottom"/>
            <w:vMerge w:val="restart"/>
            <w:shd w:val="clear" w:color="auto" w:fill="F2F2F2"/>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F2F2F2"/>
          </w:tcPr>
          <w:p>
            <w:pPr>
              <w:ind w:left="60"/>
              <w:spacing w:after="0"/>
              <w:rPr>
                <w:sz w:val="20"/>
                <w:szCs w:val="20"/>
                <w:color w:val="auto"/>
              </w:rPr>
            </w:pPr>
            <w:r>
              <w:rPr>
                <w:rFonts w:ascii="Arial" w:cs="Arial" w:eastAsia="Arial" w:hAnsi="Arial"/>
                <w:sz w:val="13"/>
                <w:szCs w:val="13"/>
                <w:color w:val="auto"/>
                <w:w w:val="98"/>
              </w:rPr>
              <w:t>$ (1,563,500)</w:t>
            </w:r>
          </w:p>
        </w:tc>
        <w:tc>
          <w:tcPr>
            <w:tcW w:w="1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6780" w:type="dxa"/>
            <w:vAlign w:val="bottom"/>
            <w:tcBorders>
              <w:bottom w:val="single" w:sz="8" w:color="CCCCCC"/>
            </w:tcBorders>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260" w:type="dxa"/>
            <w:vAlign w:val="bottom"/>
            <w:tcBorders>
              <w:bottom w:val="single" w:sz="8" w:color="CCCCCC"/>
            </w:tcBorders>
            <w:gridSpan w:val="3"/>
            <w:shd w:val="clear" w:color="auto" w:fill="F2F2F2"/>
          </w:tcPr>
          <w:p>
            <w:pPr>
              <w:ind w:left="20"/>
              <w:spacing w:after="0" w:line="95" w:lineRule="exact"/>
              <w:rPr>
                <w:sz w:val="20"/>
                <w:szCs w:val="20"/>
                <w:color w:val="auto"/>
              </w:rPr>
            </w:pPr>
            <w:r>
              <w:rPr>
                <w:rFonts w:ascii="Arial" w:cs="Arial" w:eastAsia="Arial" w:hAnsi="Arial"/>
                <w:sz w:val="10"/>
                <w:szCs w:val="10"/>
                <w:color w:val="auto"/>
              </w:rPr>
              <w:t>​ ​</w:t>
            </w:r>
          </w:p>
        </w:tc>
        <w:tc>
          <w:tcPr>
            <w:tcW w:w="400" w:type="dxa"/>
            <w:vAlign w:val="bottom"/>
            <w:tcBorders>
              <w:bottom w:val="single" w:sz="8" w:color="CCCCCC"/>
            </w:tcBorders>
            <w:shd w:val="clear" w:color="auto" w:fill="F2F2F2"/>
          </w:tcPr>
          <w:p>
            <w:pPr>
              <w:spacing w:after="0"/>
              <w:rPr>
                <w:sz w:val="8"/>
                <w:szCs w:val="8"/>
                <w:color w:val="auto"/>
              </w:rPr>
            </w:pPr>
          </w:p>
        </w:tc>
        <w:tc>
          <w:tcPr>
            <w:tcW w:w="32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 ​</w:t>
            </w:r>
          </w:p>
        </w:tc>
        <w:tc>
          <w:tcPr>
            <w:tcW w:w="140" w:type="dxa"/>
            <w:vAlign w:val="bottom"/>
            <w:tcBorders>
              <w:bottom w:val="single" w:sz="8" w:color="CCCCCC"/>
            </w:tcBorders>
            <w:vMerge w:val="continue"/>
            <w:shd w:val="clear" w:color="auto" w:fill="F2F2F2"/>
          </w:tcPr>
          <w:p>
            <w:pPr>
              <w:spacing w:after="0"/>
              <w:rPr>
                <w:sz w:val="8"/>
                <w:szCs w:val="8"/>
                <w:color w:val="auto"/>
              </w:rPr>
            </w:pPr>
          </w:p>
        </w:tc>
        <w:tc>
          <w:tcPr>
            <w:tcW w:w="200" w:type="dxa"/>
            <w:vAlign w:val="bottom"/>
            <w:tcBorders>
              <w:bottom w:val="single" w:sz="8" w:color="CCCCCC"/>
            </w:tcBorders>
            <w:shd w:val="clear" w:color="auto" w:fill="F2F2F2"/>
          </w:tcPr>
          <w:p>
            <w:pPr>
              <w:ind w:left="40"/>
              <w:spacing w:after="0" w:line="9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gridSpan w:val="2"/>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Arial" w:cs="Arial" w:eastAsia="Arial" w:hAnsi="Arial"/>
                <w:sz w:val="13"/>
                <w:szCs w:val="13"/>
                <w:color w:val="auto"/>
              </w:rPr>
              <w:t>Deduction for Amounts Reported under the “Change in Pension Value and Nonqualified Deferred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Compensation Earnings” column in the SCT</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2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tcPr>
          <w:p>
            <w:pPr>
              <w:spacing w:after="0"/>
              <w:rPr>
                <w:sz w:val="19"/>
                <w:szCs w:val="19"/>
                <w:color w:val="auto"/>
              </w:rPr>
            </w:pPr>
          </w:p>
        </w:tc>
        <w:tc>
          <w:tcPr>
            <w:tcW w:w="320" w:type="dxa"/>
            <w:vAlign w:val="bottom"/>
            <w:tcBorders>
              <w:bottom w:val="single" w:sz="8" w:color="CCCCCC"/>
            </w:tcBorders>
          </w:tcPr>
          <w:p>
            <w:pPr>
              <w:jc w:val="right"/>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4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(31,811)</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Service Cost and Prior Service Cost for Pension Plans</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2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16,623</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Remain Unvested as of Year-End</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$ 41,286,596</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w w:val="93"/>
              </w:rPr>
              <w:t>2,575,657</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Vest During Year</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2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Dividends Paid on Unvested Shares/Share Units &amp; Stock Options</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20"/>
              <w:spacing w:after="0" w:line="250"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1,063,262</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143,224</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shd w:val="clear" w:color="auto" w:fill="F2F2F2"/>
          </w:tcPr>
          <w:p>
            <w:pPr>
              <w:spacing w:after="0"/>
              <w:rPr>
                <w:sz w:val="15"/>
                <w:szCs w:val="15"/>
                <w:color w:val="auto"/>
              </w:rPr>
            </w:pPr>
          </w:p>
        </w:tc>
        <w:tc>
          <w:tcPr>
            <w:tcW w:w="6780" w:type="dxa"/>
            <w:vAlign w:val="bottom"/>
            <w:shd w:val="clear" w:color="auto" w:fill="F2F2F2"/>
          </w:tcPr>
          <w:p>
            <w:pPr>
              <w:ind w:left="20"/>
              <w:spacing w:after="0"/>
              <w:rPr>
                <w:sz w:val="20"/>
                <w:szCs w:val="20"/>
                <w:color w:val="auto"/>
              </w:rPr>
            </w:pPr>
            <w:r>
              <w:rPr>
                <w:rFonts w:ascii="Arial" w:cs="Arial" w:eastAsia="Arial" w:hAnsi="Arial"/>
                <w:sz w:val="13"/>
                <w:szCs w:val="13"/>
                <w:color w:val="auto"/>
                <w:w w:val="94"/>
              </w:rPr>
              <w:t>Increase/Deduction for Change in Fair Value from Prior Year-End to Vesting Date of Awards Granted Prior to Year that Vest</w:t>
            </w: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64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3"/>
                <w:szCs w:val="13"/>
                <w:color w:val="auto"/>
              </w:rPr>
              <w:t>During Year</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20"/>
              <w:spacing w:after="0" w:line="221"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shd w:val="clear" w:color="auto" w:fill="F2F2F2"/>
          </w:tcPr>
          <w:p>
            <w:pPr>
              <w:jc w:val="right"/>
              <w:spacing w:after="0" w:line="221" w:lineRule="exact"/>
              <w:rPr>
                <w:sz w:val="20"/>
                <w:szCs w:val="20"/>
                <w:color w:val="auto"/>
              </w:rPr>
            </w:pPr>
            <w:r>
              <w:rPr>
                <w:rFonts w:ascii="Arial" w:cs="Arial" w:eastAsia="Arial" w:hAnsi="Arial"/>
                <w:sz w:val="13"/>
                <w:szCs w:val="13"/>
                <w:color w:val="auto"/>
              </w:rPr>
              <w:t>53,451</w:t>
            </w:r>
            <w:r>
              <w:rPr>
                <w:rFonts w:ascii="Arial" w:cs="Arial" w:eastAsia="Arial" w:hAnsi="Arial"/>
                <w:sz w:val="25"/>
                <w:szCs w:val="25"/>
                <w:color w:val="auto"/>
                <w:vertAlign w:val="subscript"/>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4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ind w:right="17"/>
              <w:spacing w:after="0"/>
              <w:rPr>
                <w:sz w:val="20"/>
                <w:szCs w:val="20"/>
                <w:color w:val="auto"/>
              </w:rPr>
            </w:pPr>
            <w:r>
              <w:rPr>
                <w:rFonts w:ascii="Arial" w:cs="Arial" w:eastAsia="Arial" w:hAnsi="Arial"/>
                <w:sz w:val="13"/>
                <w:szCs w:val="13"/>
                <w:color w:val="auto"/>
              </w:rPr>
              <w:t>173,972</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6780" w:type="dxa"/>
            <w:vAlign w:val="bottom"/>
          </w:tcPr>
          <w:p>
            <w:pPr>
              <w:ind w:left="20"/>
              <w:spacing w:after="0"/>
              <w:rPr>
                <w:sz w:val="20"/>
                <w:szCs w:val="20"/>
                <w:color w:val="auto"/>
              </w:rPr>
            </w:pPr>
            <w:r>
              <w:rPr>
                <w:rFonts w:ascii="Arial" w:cs="Arial" w:eastAsia="Arial" w:hAnsi="Arial"/>
                <w:sz w:val="13"/>
                <w:szCs w:val="13"/>
                <w:color w:val="auto"/>
              </w:rPr>
              <w:t>Increase/Deduction for Change in Fair Value from Prior Year-End to Current Year-End of Awards Granted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Prior to Year that were Outstanding and Unvested as of Year-End</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tcPr>
          <w:p>
            <w:pPr>
              <w:ind w:left="20"/>
              <w:spacing w:after="0" w:line="221"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72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6,145,315</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tcPr>
          <w:p>
            <w:pPr>
              <w:ind w:left="40"/>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tcPr>
          <w:p>
            <w:pPr>
              <w:jc w:val="right"/>
              <w:ind w:right="17"/>
              <w:spacing w:after="0"/>
              <w:rPr>
                <w:sz w:val="20"/>
                <w:szCs w:val="20"/>
                <w:color w:val="auto"/>
              </w:rPr>
            </w:pPr>
            <w:r>
              <w:rPr>
                <w:rFonts w:ascii="Arial" w:cs="Arial" w:eastAsia="Arial" w:hAnsi="Arial"/>
                <w:sz w:val="13"/>
                <w:szCs w:val="13"/>
                <w:color w:val="auto"/>
              </w:rPr>
              <w:t>968,869</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Deduction of Fair Value of Prior Year Awards Forfeited During the Year</w:t>
            </w:r>
          </w:p>
        </w:tc>
        <w:tc>
          <w:tcPr>
            <w:tcW w:w="16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CCCC"/>
            </w:tcBorders>
            <w:gridSpan w:val="3"/>
            <w:shd w:val="clear" w:color="auto" w:fill="F2F2F2"/>
          </w:tcPr>
          <w:p>
            <w:pPr>
              <w:ind w:left="2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0" w:type="dxa"/>
            <w:vAlign w:val="bottom"/>
            <w:tcBorders>
              <w:bottom w:val="single" w:sz="8" w:color="CCCCCC"/>
            </w:tcBorders>
            <w:shd w:val="clear" w:color="auto" w:fill="F2F2F2"/>
          </w:tcPr>
          <w:p>
            <w:pPr>
              <w:spacing w:after="0"/>
              <w:rPr>
                <w:sz w:val="21"/>
                <w:szCs w:val="21"/>
                <w:color w:val="auto"/>
              </w:rPr>
            </w:pPr>
          </w:p>
        </w:tc>
        <w:tc>
          <w:tcPr>
            <w:tcW w:w="32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shd w:val="clear" w:color="auto" w:fill="F2F2F2"/>
          </w:tcPr>
          <w:p>
            <w:pPr>
              <w:ind w:left="40"/>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(62,183)</w:t>
            </w:r>
          </w:p>
        </w:tc>
        <w:tc>
          <w:tcPr>
            <w:tcW w:w="12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678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Total Compensation Actually Paid</w:t>
            </w:r>
          </w:p>
        </w:tc>
        <w:tc>
          <w:tcPr>
            <w:tcW w:w="160" w:type="dxa"/>
            <w:vAlign w:val="bottom"/>
            <w:tcBorders>
              <w:bottom w:val="single" w:sz="8" w:color="CCCCCC"/>
            </w:tcBorders>
          </w:tcPr>
          <w:p>
            <w:pPr>
              <w:ind w:left="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CCCC"/>
            </w:tcBorders>
            <w:gridSpan w:val="5"/>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$ 52,998,434</w:t>
            </w:r>
            <w:r>
              <w:rPr>
                <w:rFonts w:ascii="Arial" w:cs="Arial" w:eastAsia="Arial" w:hAnsi="Arial"/>
                <w:sz w:val="25"/>
                <w:szCs w:val="25"/>
                <w:color w:val="auto"/>
                <w:vertAlign w:val="subscript"/>
              </w:rPr>
              <w:t>​ ​</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CCCC"/>
            </w:tcBorders>
            <w:gridSpan w:val="2"/>
          </w:tcPr>
          <w:p>
            <w:pPr>
              <w:ind w:left="4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$10,539,727</w:t>
            </w:r>
          </w:p>
        </w:tc>
        <w:tc>
          <w:tcPr>
            <w:tcW w:w="120" w:type="dxa"/>
            <w:vAlign w:val="bottom"/>
            <w:tcBorders>
              <w:bottom w:val="single" w:sz="8" w:color="CCCCCC"/>
            </w:tcBorders>
            <w:gridSpan w:val="2"/>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-6960235</wp:posOffset>
            </wp:positionV>
            <wp:extent cx="11912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wp:posOffset>
            </wp:positionH>
            <wp:positionV relativeFrom="paragraph">
              <wp:posOffset>-6685915</wp:posOffset>
            </wp:positionV>
            <wp:extent cx="57689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-5219700</wp:posOffset>
            </wp:positionV>
            <wp:extent cx="12084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-2451100</wp:posOffset>
            </wp:positionV>
            <wp:extent cx="12344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194"/>
        </w:trPr>
        <w:tc>
          <w:tcPr>
            <w:tcW w:w="80" w:type="dxa"/>
            <w:vAlign w:val="bottom"/>
            <w:shd w:val="clear" w:color="auto" w:fill="003763"/>
          </w:tcPr>
          <w:p>
            <w:pPr>
              <w:spacing w:after="0"/>
              <w:rPr>
                <w:sz w:val="16"/>
                <w:szCs w:val="16"/>
                <w:color w:val="auto"/>
              </w:rPr>
            </w:pPr>
          </w:p>
        </w:tc>
        <w:tc>
          <w:tcPr>
            <w:tcW w:w="512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10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16"/>
                <w:szCs w:val="16"/>
                <w:color w:val="auto"/>
              </w:rPr>
            </w:pPr>
          </w:p>
        </w:tc>
        <w:tc>
          <w:tcPr>
            <w:tcW w:w="60" w:type="dxa"/>
            <w:vAlign w:val="bottom"/>
            <w:shd w:val="clear" w:color="auto" w:fill="003763"/>
          </w:tcPr>
          <w:p>
            <w:pPr>
              <w:spacing w:after="0"/>
              <w:rPr>
                <w:sz w:val="16"/>
                <w:szCs w:val="16"/>
                <w:color w:val="auto"/>
              </w:rPr>
            </w:pPr>
          </w:p>
        </w:tc>
        <w:tc>
          <w:tcPr>
            <w:tcW w:w="420" w:type="dxa"/>
            <w:vAlign w:val="bottom"/>
            <w:shd w:val="clear" w:color="auto" w:fill="003763"/>
          </w:tcPr>
          <w:p>
            <w:pPr>
              <w:spacing w:after="0"/>
              <w:rPr>
                <w:sz w:val="16"/>
                <w:szCs w:val="16"/>
                <w:color w:val="auto"/>
              </w:rPr>
            </w:pPr>
          </w:p>
        </w:tc>
        <w:tc>
          <w:tcPr>
            <w:tcW w:w="260" w:type="dxa"/>
            <w:vAlign w:val="bottom"/>
            <w:shd w:val="clear" w:color="auto" w:fill="003763"/>
          </w:tcPr>
          <w:p>
            <w:pPr>
              <w:spacing w:after="0"/>
              <w:rPr>
                <w:sz w:val="16"/>
                <w:szCs w:val="16"/>
                <w:color w:val="auto"/>
              </w:rPr>
            </w:pPr>
          </w:p>
        </w:tc>
        <w:tc>
          <w:tcPr>
            <w:tcW w:w="100" w:type="dxa"/>
            <w:vAlign w:val="bottom"/>
            <w:shd w:val="clear" w:color="auto" w:fill="003763"/>
          </w:tcPr>
          <w:p>
            <w:pPr>
              <w:spacing w:after="0"/>
              <w:rPr>
                <w:sz w:val="16"/>
                <w:szCs w:val="16"/>
                <w:color w:val="auto"/>
              </w:rPr>
            </w:pPr>
          </w:p>
        </w:tc>
        <w:tc>
          <w:tcPr>
            <w:tcW w:w="12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540" w:type="dxa"/>
            <w:vAlign w:val="bottom"/>
            <w:shd w:val="clear" w:color="auto" w:fill="003763"/>
          </w:tcPr>
          <w:p>
            <w:pPr>
              <w:spacing w:after="0"/>
              <w:rPr>
                <w:sz w:val="16"/>
                <w:szCs w:val="16"/>
                <w:color w:val="auto"/>
              </w:rPr>
            </w:pPr>
          </w:p>
        </w:tc>
        <w:tc>
          <w:tcPr>
            <w:tcW w:w="320" w:type="dxa"/>
            <w:vAlign w:val="bottom"/>
            <w:gridSpan w:val="3"/>
            <w:shd w:val="clear" w:color="auto" w:fill="003763"/>
          </w:tcPr>
          <w:p>
            <w:pPr>
              <w:jc w:val="right"/>
              <w:spacing w:after="0"/>
              <w:rPr>
                <w:sz w:val="20"/>
                <w:szCs w:val="20"/>
                <w:color w:val="auto"/>
              </w:rPr>
            </w:pPr>
            <w:r>
              <w:rPr>
                <w:rFonts w:ascii="Arial" w:cs="Arial" w:eastAsia="Arial" w:hAnsi="Arial"/>
                <w:sz w:val="13"/>
                <w:szCs w:val="13"/>
                <w:b w:val="1"/>
                <w:bCs w:val="1"/>
                <w:color w:val="FFFFFF"/>
                <w:w w:val="89"/>
              </w:rPr>
              <w:t>2020</w:t>
            </w:r>
          </w:p>
        </w:tc>
        <w:tc>
          <w:tcPr>
            <w:tcW w:w="40" w:type="dxa"/>
            <w:vAlign w:val="bottom"/>
            <w:shd w:val="clear" w:color="auto" w:fill="003763"/>
          </w:tcPr>
          <w:p>
            <w:pPr>
              <w:spacing w:after="0"/>
              <w:rPr>
                <w:sz w:val="16"/>
                <w:szCs w:val="16"/>
                <w:color w:val="auto"/>
              </w:rPr>
            </w:pPr>
          </w:p>
        </w:tc>
        <w:tc>
          <w:tcPr>
            <w:tcW w:w="560" w:type="dxa"/>
            <w:vAlign w:val="bottom"/>
            <w:shd w:val="clear" w:color="auto" w:fill="003763"/>
          </w:tcPr>
          <w:p>
            <w:pPr>
              <w:spacing w:after="0"/>
              <w:rPr>
                <w:sz w:val="16"/>
                <w:szCs w:val="16"/>
                <w:color w:val="auto"/>
              </w:rPr>
            </w:pPr>
          </w:p>
        </w:tc>
        <w:tc>
          <w:tcPr>
            <w:tcW w:w="100" w:type="dxa"/>
            <w:vAlign w:val="bottom"/>
            <w:shd w:val="clear" w:color="auto" w:fill="003763"/>
          </w:tcPr>
          <w:p>
            <w:pPr>
              <w:spacing w:after="0"/>
              <w:rPr>
                <w:sz w:val="16"/>
                <w:szCs w:val="16"/>
                <w:color w:val="auto"/>
              </w:rPr>
            </w:pPr>
          </w:p>
        </w:tc>
        <w:tc>
          <w:tcPr>
            <w:tcW w:w="100" w:type="dxa"/>
            <w:vAlign w:val="bottom"/>
            <w:shd w:val="clear" w:color="auto" w:fill="003763"/>
          </w:tcPr>
          <w:p>
            <w:pPr>
              <w:spacing w:after="0"/>
              <w:rPr>
                <w:sz w:val="16"/>
                <w:szCs w:val="16"/>
                <w:color w:val="auto"/>
              </w:rPr>
            </w:pPr>
          </w:p>
        </w:tc>
        <w:tc>
          <w:tcPr>
            <w:tcW w:w="160" w:type="dxa"/>
            <w:vAlign w:val="bottom"/>
            <w:shd w:val="clear" w:color="auto" w:fill="003763"/>
          </w:tcPr>
          <w:p>
            <w:pPr>
              <w:spacing w:after="0"/>
              <w:rPr>
                <w:sz w:val="16"/>
                <w:szCs w:val="16"/>
                <w:color w:val="auto"/>
              </w:rPr>
            </w:pPr>
          </w:p>
        </w:tc>
        <w:tc>
          <w:tcPr>
            <w:tcW w:w="660" w:type="dxa"/>
            <w:vAlign w:val="bottom"/>
            <w:shd w:val="clear" w:color="auto" w:fill="003763"/>
          </w:tcPr>
          <w:p>
            <w:pPr>
              <w:spacing w:after="0"/>
              <w:rPr>
                <w:sz w:val="16"/>
                <w:szCs w:val="16"/>
                <w:color w:val="auto"/>
              </w:rPr>
            </w:pPr>
          </w:p>
        </w:tc>
        <w:tc>
          <w:tcPr>
            <w:tcW w:w="10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9"/>
        </w:trPr>
        <w:tc>
          <w:tcPr>
            <w:tcW w:w="80" w:type="dxa"/>
            <w:vAlign w:val="bottom"/>
            <w:shd w:val="clear" w:color="auto" w:fill="003763"/>
          </w:tcPr>
          <w:p>
            <w:pPr>
              <w:spacing w:after="0"/>
              <w:rPr>
                <w:sz w:val="4"/>
                <w:szCs w:val="4"/>
                <w:color w:val="auto"/>
              </w:rPr>
            </w:pPr>
          </w:p>
        </w:tc>
        <w:tc>
          <w:tcPr>
            <w:tcW w:w="5120" w:type="dxa"/>
            <w:vAlign w:val="bottom"/>
            <w:shd w:val="clear" w:color="auto" w:fill="003763"/>
          </w:tcPr>
          <w:p>
            <w:pPr>
              <w:spacing w:after="0"/>
              <w:rPr>
                <w:sz w:val="4"/>
                <w:szCs w:val="4"/>
                <w:color w:val="auto"/>
              </w:rPr>
            </w:pPr>
          </w:p>
        </w:tc>
        <w:tc>
          <w:tcPr>
            <w:tcW w:w="80" w:type="dxa"/>
            <w:vAlign w:val="bottom"/>
            <w:shd w:val="clear" w:color="auto" w:fill="003763"/>
          </w:tcPr>
          <w:p>
            <w:pPr>
              <w:spacing w:after="0"/>
              <w:rPr>
                <w:sz w:val="4"/>
                <w:szCs w:val="4"/>
                <w:color w:val="auto"/>
              </w:rPr>
            </w:pPr>
          </w:p>
        </w:tc>
        <w:tc>
          <w:tcPr>
            <w:tcW w:w="100" w:type="dxa"/>
            <w:vAlign w:val="bottom"/>
            <w:vMerge w:val="continue"/>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60" w:type="dxa"/>
            <w:vAlign w:val="bottom"/>
            <w:shd w:val="clear" w:color="auto" w:fill="003763"/>
          </w:tcPr>
          <w:p>
            <w:pPr>
              <w:spacing w:after="0"/>
              <w:rPr>
                <w:sz w:val="4"/>
                <w:szCs w:val="4"/>
                <w:color w:val="auto"/>
              </w:rPr>
            </w:pPr>
          </w:p>
        </w:tc>
        <w:tc>
          <w:tcPr>
            <w:tcW w:w="420" w:type="dxa"/>
            <w:vAlign w:val="bottom"/>
            <w:shd w:val="clear" w:color="auto" w:fill="003763"/>
          </w:tcPr>
          <w:p>
            <w:pPr>
              <w:spacing w:after="0"/>
              <w:rPr>
                <w:sz w:val="4"/>
                <w:szCs w:val="4"/>
                <w:color w:val="auto"/>
              </w:rPr>
            </w:pPr>
          </w:p>
        </w:tc>
        <w:tc>
          <w:tcPr>
            <w:tcW w:w="260" w:type="dxa"/>
            <w:vAlign w:val="bottom"/>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120" w:type="dxa"/>
            <w:vAlign w:val="bottom"/>
            <w:shd w:val="clear" w:color="auto" w:fill="003763"/>
          </w:tcPr>
          <w:p>
            <w:pPr>
              <w:spacing w:after="0"/>
              <w:rPr>
                <w:sz w:val="4"/>
                <w:szCs w:val="4"/>
                <w:color w:val="auto"/>
              </w:rPr>
            </w:pPr>
          </w:p>
        </w:tc>
        <w:tc>
          <w:tcPr>
            <w:tcW w:w="80" w:type="dxa"/>
            <w:vAlign w:val="bottom"/>
            <w:shd w:val="clear" w:color="auto" w:fill="003763"/>
          </w:tcPr>
          <w:p>
            <w:pPr>
              <w:spacing w:after="0"/>
              <w:rPr>
                <w:sz w:val="4"/>
                <w:szCs w:val="4"/>
                <w:color w:val="auto"/>
              </w:rPr>
            </w:pPr>
          </w:p>
        </w:tc>
        <w:tc>
          <w:tcPr>
            <w:tcW w:w="54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120" w:type="dxa"/>
            <w:vAlign w:val="bottom"/>
            <w:shd w:val="clear" w:color="auto" w:fill="003763"/>
          </w:tcPr>
          <w:p>
            <w:pPr>
              <w:spacing w:after="0"/>
              <w:rPr>
                <w:sz w:val="4"/>
                <w:szCs w:val="4"/>
                <w:color w:val="auto"/>
              </w:rPr>
            </w:pPr>
          </w:p>
        </w:tc>
        <w:tc>
          <w:tcPr>
            <w:tcW w:w="160" w:type="dxa"/>
            <w:vAlign w:val="bottom"/>
            <w:shd w:val="clear" w:color="auto" w:fill="003763"/>
          </w:tcPr>
          <w:p>
            <w:pPr>
              <w:spacing w:after="0"/>
              <w:rPr>
                <w:sz w:val="4"/>
                <w:szCs w:val="4"/>
                <w:color w:val="auto"/>
              </w:rPr>
            </w:pPr>
          </w:p>
        </w:tc>
        <w:tc>
          <w:tcPr>
            <w:tcW w:w="40" w:type="dxa"/>
            <w:vAlign w:val="bottom"/>
            <w:shd w:val="clear" w:color="auto" w:fill="003763"/>
          </w:tcPr>
          <w:p>
            <w:pPr>
              <w:spacing w:after="0"/>
              <w:rPr>
                <w:sz w:val="4"/>
                <w:szCs w:val="4"/>
                <w:color w:val="auto"/>
              </w:rPr>
            </w:pPr>
          </w:p>
        </w:tc>
        <w:tc>
          <w:tcPr>
            <w:tcW w:w="560" w:type="dxa"/>
            <w:vAlign w:val="bottom"/>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100" w:type="dxa"/>
            <w:vAlign w:val="bottom"/>
            <w:shd w:val="clear" w:color="auto" w:fill="003763"/>
          </w:tcPr>
          <w:p>
            <w:pPr>
              <w:spacing w:after="0"/>
              <w:rPr>
                <w:sz w:val="4"/>
                <w:szCs w:val="4"/>
                <w:color w:val="auto"/>
              </w:rPr>
            </w:pPr>
          </w:p>
        </w:tc>
        <w:tc>
          <w:tcPr>
            <w:tcW w:w="160" w:type="dxa"/>
            <w:vAlign w:val="bottom"/>
            <w:shd w:val="clear" w:color="auto" w:fill="003763"/>
          </w:tcPr>
          <w:p>
            <w:pPr>
              <w:spacing w:after="0"/>
              <w:rPr>
                <w:sz w:val="4"/>
                <w:szCs w:val="4"/>
                <w:color w:val="auto"/>
              </w:rPr>
            </w:pPr>
          </w:p>
        </w:tc>
        <w:tc>
          <w:tcPr>
            <w:tcW w:w="660" w:type="dxa"/>
            <w:vAlign w:val="bottom"/>
            <w:shd w:val="clear" w:color="auto" w:fill="003763"/>
          </w:tcPr>
          <w:p>
            <w:pPr>
              <w:spacing w:after="0"/>
              <w:rPr>
                <w:sz w:val="4"/>
                <w:szCs w:val="4"/>
                <w:color w:val="auto"/>
              </w:rPr>
            </w:pPr>
          </w:p>
        </w:tc>
        <w:tc>
          <w:tcPr>
            <w:tcW w:w="10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80" w:type="dxa"/>
            <w:vAlign w:val="bottom"/>
            <w:shd w:val="clear" w:color="auto" w:fill="003763"/>
          </w:tcPr>
          <w:p>
            <w:pPr>
              <w:spacing w:after="0"/>
              <w:rPr>
                <w:sz w:val="20"/>
                <w:szCs w:val="20"/>
                <w:color w:val="auto"/>
              </w:rPr>
            </w:pPr>
          </w:p>
        </w:tc>
        <w:tc>
          <w:tcPr>
            <w:tcW w:w="5120" w:type="dxa"/>
            <w:vAlign w:val="bottom"/>
            <w:shd w:val="clear" w:color="auto" w:fill="003763"/>
          </w:tcPr>
          <w:p>
            <w:pPr>
              <w:spacing w:after="0"/>
              <w:rPr>
                <w:sz w:val="20"/>
                <w:szCs w:val="20"/>
                <w:color w:val="auto"/>
              </w:rPr>
            </w:pPr>
          </w:p>
        </w:tc>
        <w:tc>
          <w:tcPr>
            <w:tcW w:w="80" w:type="dxa"/>
            <w:vAlign w:val="bottom"/>
            <w:shd w:val="clear" w:color="auto" w:fill="003763"/>
          </w:tcPr>
          <w:p>
            <w:pPr>
              <w:spacing w:after="0"/>
              <w:rPr>
                <w:sz w:val="20"/>
                <w:szCs w:val="20"/>
                <w:color w:val="auto"/>
              </w:rPr>
            </w:pPr>
          </w:p>
        </w:tc>
        <w:tc>
          <w:tcPr>
            <w:tcW w:w="10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0"/>
                <w:szCs w:val="20"/>
                <w:color w:val="auto"/>
              </w:rPr>
            </w:pPr>
          </w:p>
        </w:tc>
        <w:tc>
          <w:tcPr>
            <w:tcW w:w="60" w:type="dxa"/>
            <w:vAlign w:val="bottom"/>
            <w:shd w:val="clear" w:color="auto" w:fill="003763"/>
          </w:tcPr>
          <w:p>
            <w:pPr>
              <w:spacing w:after="0"/>
              <w:rPr>
                <w:sz w:val="20"/>
                <w:szCs w:val="20"/>
                <w:color w:val="auto"/>
              </w:rPr>
            </w:pPr>
          </w:p>
        </w:tc>
        <w:tc>
          <w:tcPr>
            <w:tcW w:w="420" w:type="dxa"/>
            <w:vAlign w:val="bottom"/>
            <w:shd w:val="clear" w:color="auto" w:fill="003763"/>
          </w:tcPr>
          <w:p>
            <w:pPr>
              <w:spacing w:after="0"/>
              <w:rPr>
                <w:sz w:val="20"/>
                <w:szCs w:val="20"/>
                <w:color w:val="auto"/>
              </w:rPr>
            </w:pPr>
          </w:p>
        </w:tc>
        <w:tc>
          <w:tcPr>
            <w:tcW w:w="260" w:type="dxa"/>
            <w:vAlign w:val="bottom"/>
            <w:shd w:val="clear" w:color="auto" w:fill="003763"/>
          </w:tcPr>
          <w:p>
            <w:pPr>
              <w:spacing w:after="0"/>
              <w:rPr>
                <w:sz w:val="20"/>
                <w:szCs w:val="20"/>
                <w:color w:val="auto"/>
              </w:rPr>
            </w:pPr>
          </w:p>
        </w:tc>
        <w:tc>
          <w:tcPr>
            <w:tcW w:w="100" w:type="dxa"/>
            <w:vAlign w:val="bottom"/>
            <w:shd w:val="clear" w:color="auto" w:fill="003763"/>
          </w:tcPr>
          <w:p>
            <w:pPr>
              <w:spacing w:after="0"/>
              <w:rPr>
                <w:sz w:val="20"/>
                <w:szCs w:val="20"/>
                <w:color w:val="auto"/>
              </w:rPr>
            </w:pPr>
          </w:p>
        </w:tc>
        <w:tc>
          <w:tcPr>
            <w:tcW w:w="120" w:type="dxa"/>
            <w:vAlign w:val="bottom"/>
            <w:shd w:val="clear" w:color="auto" w:fill="003763"/>
          </w:tcPr>
          <w:p>
            <w:pPr>
              <w:spacing w:after="0"/>
              <w:rPr>
                <w:sz w:val="20"/>
                <w:szCs w:val="20"/>
                <w:color w:val="auto"/>
              </w:rPr>
            </w:pPr>
          </w:p>
        </w:tc>
        <w:tc>
          <w:tcPr>
            <w:tcW w:w="80" w:type="dxa"/>
            <w:vAlign w:val="bottom"/>
            <w:shd w:val="clear" w:color="auto" w:fill="003763"/>
          </w:tcPr>
          <w:p>
            <w:pPr>
              <w:spacing w:after="0"/>
              <w:rPr>
                <w:sz w:val="20"/>
                <w:szCs w:val="20"/>
                <w:color w:val="auto"/>
              </w:rPr>
            </w:pPr>
          </w:p>
        </w:tc>
        <w:tc>
          <w:tcPr>
            <w:tcW w:w="540" w:type="dxa"/>
            <w:vAlign w:val="bottom"/>
            <w:shd w:val="clear" w:color="auto" w:fill="003763"/>
          </w:tcPr>
          <w:p>
            <w:pPr>
              <w:jc w:val="right"/>
              <w:ind w:right="177"/>
              <w:spacing w:after="0"/>
              <w:rPr>
                <w:sz w:val="20"/>
                <w:szCs w:val="20"/>
                <w:color w:val="auto"/>
              </w:rPr>
            </w:pPr>
            <w:r>
              <w:rPr>
                <w:rFonts w:ascii="Arial" w:cs="Arial" w:eastAsia="Arial" w:hAnsi="Arial"/>
                <w:sz w:val="13"/>
                <w:szCs w:val="13"/>
                <w:b w:val="1"/>
                <w:bCs w:val="1"/>
                <w:color w:val="FFFFFF"/>
              </w:rPr>
              <w:t>PEO</w:t>
            </w:r>
          </w:p>
        </w:tc>
        <w:tc>
          <w:tcPr>
            <w:tcW w:w="40" w:type="dxa"/>
            <w:vAlign w:val="bottom"/>
            <w:shd w:val="clear" w:color="auto" w:fill="003763"/>
          </w:tcPr>
          <w:p>
            <w:pPr>
              <w:spacing w:after="0"/>
              <w:rPr>
                <w:sz w:val="20"/>
                <w:szCs w:val="20"/>
                <w:color w:val="auto"/>
              </w:rPr>
            </w:pPr>
          </w:p>
        </w:tc>
        <w:tc>
          <w:tcPr>
            <w:tcW w:w="120" w:type="dxa"/>
            <w:vAlign w:val="bottom"/>
            <w:shd w:val="clear" w:color="auto" w:fill="003763"/>
          </w:tcPr>
          <w:p>
            <w:pPr>
              <w:spacing w:after="0"/>
              <w:rPr>
                <w:sz w:val="20"/>
                <w:szCs w:val="20"/>
                <w:color w:val="auto"/>
              </w:rPr>
            </w:pPr>
          </w:p>
        </w:tc>
        <w:tc>
          <w:tcPr>
            <w:tcW w:w="160" w:type="dxa"/>
            <w:vAlign w:val="bottom"/>
            <w:shd w:val="clear" w:color="auto" w:fill="003763"/>
          </w:tcPr>
          <w:p>
            <w:pPr>
              <w:spacing w:after="0"/>
              <w:rPr>
                <w:sz w:val="20"/>
                <w:szCs w:val="20"/>
                <w:color w:val="auto"/>
              </w:rPr>
            </w:pPr>
          </w:p>
        </w:tc>
        <w:tc>
          <w:tcPr>
            <w:tcW w:w="40" w:type="dxa"/>
            <w:vAlign w:val="bottom"/>
            <w:shd w:val="clear" w:color="auto" w:fill="003763"/>
          </w:tcPr>
          <w:p>
            <w:pPr>
              <w:spacing w:after="0"/>
              <w:rPr>
                <w:sz w:val="20"/>
                <w:szCs w:val="20"/>
                <w:color w:val="auto"/>
              </w:rPr>
            </w:pPr>
          </w:p>
        </w:tc>
        <w:tc>
          <w:tcPr>
            <w:tcW w:w="560" w:type="dxa"/>
            <w:vAlign w:val="bottom"/>
            <w:shd w:val="clear" w:color="auto" w:fill="003763"/>
          </w:tcPr>
          <w:p>
            <w:pPr>
              <w:spacing w:after="0"/>
              <w:rPr>
                <w:sz w:val="20"/>
                <w:szCs w:val="20"/>
                <w:color w:val="auto"/>
              </w:rPr>
            </w:pPr>
          </w:p>
        </w:tc>
        <w:tc>
          <w:tcPr>
            <w:tcW w:w="10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spacing w:after="0"/>
              <w:rPr>
                <w:sz w:val="20"/>
                <w:szCs w:val="20"/>
                <w:color w:val="auto"/>
              </w:rPr>
            </w:pPr>
          </w:p>
        </w:tc>
        <w:tc>
          <w:tcPr>
            <w:tcW w:w="820" w:type="dxa"/>
            <w:vAlign w:val="bottom"/>
            <w:gridSpan w:val="2"/>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w w:val="94"/>
              </w:rPr>
              <w:t>Average Non-</w:t>
            </w:r>
          </w:p>
        </w:tc>
        <w:tc>
          <w:tcPr>
            <w:tcW w:w="100" w:type="dxa"/>
            <w:vAlign w:val="bottom"/>
            <w:shd w:val="clear" w:color="auto" w:fill="003763"/>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003763"/>
          </w:tcPr>
          <w:p>
            <w:pPr>
              <w:spacing w:after="0"/>
              <w:rPr>
                <w:sz w:val="5"/>
                <w:szCs w:val="5"/>
                <w:color w:val="auto"/>
              </w:rPr>
            </w:pPr>
          </w:p>
        </w:tc>
        <w:tc>
          <w:tcPr>
            <w:tcW w:w="5120" w:type="dxa"/>
            <w:vAlign w:val="bottom"/>
            <w:shd w:val="clear" w:color="auto" w:fill="003763"/>
          </w:tcPr>
          <w:p>
            <w:pPr>
              <w:spacing w:after="0"/>
              <w:rPr>
                <w:sz w:val="5"/>
                <w:szCs w:val="5"/>
                <w:color w:val="auto"/>
              </w:rPr>
            </w:pPr>
          </w:p>
        </w:tc>
        <w:tc>
          <w:tcPr>
            <w:tcW w:w="80" w:type="dxa"/>
            <w:vAlign w:val="bottom"/>
            <w:shd w:val="clear" w:color="auto" w:fill="003763"/>
          </w:tcPr>
          <w:p>
            <w:pPr>
              <w:spacing w:after="0"/>
              <w:rPr>
                <w:sz w:val="5"/>
                <w:szCs w:val="5"/>
                <w:color w:val="auto"/>
              </w:rPr>
            </w:pPr>
          </w:p>
        </w:tc>
        <w:tc>
          <w:tcPr>
            <w:tcW w:w="100" w:type="dxa"/>
            <w:vAlign w:val="bottom"/>
            <w:vMerge w:val="continue"/>
            <w:shd w:val="clear" w:color="auto" w:fill="003763"/>
          </w:tcPr>
          <w:p>
            <w:pPr>
              <w:spacing w:after="0"/>
              <w:rPr>
                <w:sz w:val="5"/>
                <w:szCs w:val="5"/>
                <w:color w:val="auto"/>
              </w:rPr>
            </w:pPr>
          </w:p>
        </w:tc>
        <w:tc>
          <w:tcPr>
            <w:tcW w:w="100" w:type="dxa"/>
            <w:vAlign w:val="bottom"/>
            <w:shd w:val="clear" w:color="auto" w:fill="003763"/>
          </w:tcPr>
          <w:p>
            <w:pPr>
              <w:spacing w:after="0"/>
              <w:rPr>
                <w:sz w:val="5"/>
                <w:szCs w:val="5"/>
                <w:color w:val="auto"/>
              </w:rPr>
            </w:pPr>
          </w:p>
        </w:tc>
        <w:tc>
          <w:tcPr>
            <w:tcW w:w="60" w:type="dxa"/>
            <w:vAlign w:val="bottom"/>
            <w:shd w:val="clear" w:color="auto" w:fill="003763"/>
          </w:tcPr>
          <w:p>
            <w:pPr>
              <w:spacing w:after="0"/>
              <w:rPr>
                <w:sz w:val="5"/>
                <w:szCs w:val="5"/>
                <w:color w:val="auto"/>
              </w:rPr>
            </w:pPr>
          </w:p>
        </w:tc>
        <w:tc>
          <w:tcPr>
            <w:tcW w:w="420" w:type="dxa"/>
            <w:vAlign w:val="bottom"/>
            <w:shd w:val="clear" w:color="auto" w:fill="003763"/>
          </w:tcPr>
          <w:p>
            <w:pPr>
              <w:spacing w:after="0"/>
              <w:rPr>
                <w:sz w:val="5"/>
                <w:szCs w:val="5"/>
                <w:color w:val="auto"/>
              </w:rPr>
            </w:pPr>
          </w:p>
        </w:tc>
        <w:tc>
          <w:tcPr>
            <w:tcW w:w="260" w:type="dxa"/>
            <w:vAlign w:val="bottom"/>
            <w:shd w:val="clear" w:color="auto" w:fill="003763"/>
          </w:tcPr>
          <w:p>
            <w:pPr>
              <w:spacing w:after="0"/>
              <w:rPr>
                <w:sz w:val="5"/>
                <w:szCs w:val="5"/>
                <w:color w:val="auto"/>
              </w:rPr>
            </w:pPr>
          </w:p>
        </w:tc>
        <w:tc>
          <w:tcPr>
            <w:tcW w:w="100" w:type="dxa"/>
            <w:vAlign w:val="bottom"/>
            <w:shd w:val="clear" w:color="auto" w:fill="003763"/>
          </w:tcPr>
          <w:p>
            <w:pPr>
              <w:spacing w:after="0"/>
              <w:rPr>
                <w:sz w:val="5"/>
                <w:szCs w:val="5"/>
                <w:color w:val="auto"/>
              </w:rPr>
            </w:pPr>
          </w:p>
        </w:tc>
        <w:tc>
          <w:tcPr>
            <w:tcW w:w="120" w:type="dxa"/>
            <w:vAlign w:val="bottom"/>
            <w:shd w:val="clear" w:color="auto" w:fill="003763"/>
          </w:tcPr>
          <w:p>
            <w:pPr>
              <w:spacing w:after="0"/>
              <w:rPr>
                <w:sz w:val="5"/>
                <w:szCs w:val="5"/>
                <w:color w:val="auto"/>
              </w:rPr>
            </w:pPr>
          </w:p>
        </w:tc>
        <w:tc>
          <w:tcPr>
            <w:tcW w:w="80" w:type="dxa"/>
            <w:vAlign w:val="bottom"/>
            <w:shd w:val="clear" w:color="auto" w:fill="003763"/>
          </w:tcPr>
          <w:p>
            <w:pPr>
              <w:spacing w:after="0"/>
              <w:rPr>
                <w:sz w:val="5"/>
                <w:szCs w:val="5"/>
                <w:color w:val="auto"/>
              </w:rPr>
            </w:pPr>
          </w:p>
        </w:tc>
        <w:tc>
          <w:tcPr>
            <w:tcW w:w="540" w:type="dxa"/>
            <w:vAlign w:val="bottom"/>
            <w:shd w:val="clear" w:color="auto" w:fill="003763"/>
          </w:tcPr>
          <w:p>
            <w:pPr>
              <w:spacing w:after="0"/>
              <w:rPr>
                <w:sz w:val="5"/>
                <w:szCs w:val="5"/>
                <w:color w:val="auto"/>
              </w:rPr>
            </w:pPr>
          </w:p>
        </w:tc>
        <w:tc>
          <w:tcPr>
            <w:tcW w:w="40" w:type="dxa"/>
            <w:vAlign w:val="bottom"/>
            <w:shd w:val="clear" w:color="auto" w:fill="003763"/>
          </w:tcPr>
          <w:p>
            <w:pPr>
              <w:spacing w:after="0"/>
              <w:rPr>
                <w:sz w:val="5"/>
                <w:szCs w:val="5"/>
                <w:color w:val="auto"/>
              </w:rPr>
            </w:pPr>
          </w:p>
        </w:tc>
        <w:tc>
          <w:tcPr>
            <w:tcW w:w="120" w:type="dxa"/>
            <w:vAlign w:val="bottom"/>
            <w:shd w:val="clear" w:color="auto" w:fill="003763"/>
          </w:tcPr>
          <w:p>
            <w:pPr>
              <w:spacing w:after="0"/>
              <w:rPr>
                <w:sz w:val="5"/>
                <w:szCs w:val="5"/>
                <w:color w:val="auto"/>
              </w:rPr>
            </w:pPr>
          </w:p>
        </w:tc>
        <w:tc>
          <w:tcPr>
            <w:tcW w:w="160" w:type="dxa"/>
            <w:vAlign w:val="bottom"/>
            <w:shd w:val="clear" w:color="auto" w:fill="003763"/>
          </w:tcPr>
          <w:p>
            <w:pPr>
              <w:spacing w:after="0"/>
              <w:rPr>
                <w:sz w:val="5"/>
                <w:szCs w:val="5"/>
                <w:color w:val="auto"/>
              </w:rPr>
            </w:pPr>
          </w:p>
        </w:tc>
        <w:tc>
          <w:tcPr>
            <w:tcW w:w="40" w:type="dxa"/>
            <w:vAlign w:val="bottom"/>
            <w:shd w:val="clear" w:color="auto" w:fill="003763"/>
          </w:tcPr>
          <w:p>
            <w:pPr>
              <w:spacing w:after="0"/>
              <w:rPr>
                <w:sz w:val="5"/>
                <w:szCs w:val="5"/>
                <w:color w:val="auto"/>
              </w:rPr>
            </w:pPr>
          </w:p>
        </w:tc>
        <w:tc>
          <w:tcPr>
            <w:tcW w:w="560" w:type="dxa"/>
            <w:vAlign w:val="bottom"/>
            <w:shd w:val="clear" w:color="auto" w:fill="003763"/>
          </w:tcPr>
          <w:p>
            <w:pPr>
              <w:spacing w:after="0"/>
              <w:rPr>
                <w:sz w:val="5"/>
                <w:szCs w:val="5"/>
                <w:color w:val="auto"/>
              </w:rPr>
            </w:pPr>
          </w:p>
        </w:tc>
        <w:tc>
          <w:tcPr>
            <w:tcW w:w="100" w:type="dxa"/>
            <w:vAlign w:val="bottom"/>
            <w:vMerge w:val="continue"/>
            <w:shd w:val="clear" w:color="auto" w:fill="003763"/>
          </w:tcPr>
          <w:p>
            <w:pPr>
              <w:spacing w:after="0"/>
              <w:rPr>
                <w:sz w:val="5"/>
                <w:szCs w:val="5"/>
                <w:color w:val="auto"/>
              </w:rPr>
            </w:pPr>
          </w:p>
        </w:tc>
        <w:tc>
          <w:tcPr>
            <w:tcW w:w="100" w:type="dxa"/>
            <w:vAlign w:val="bottom"/>
            <w:vMerge w:val="restart"/>
            <w:shd w:val="clear" w:color="auto" w:fill="003763"/>
          </w:tcPr>
          <w:p>
            <w:pPr>
              <w:spacing w:after="0"/>
              <w:rPr>
                <w:sz w:val="5"/>
                <w:szCs w:val="5"/>
                <w:color w:val="auto"/>
              </w:rPr>
            </w:pPr>
          </w:p>
        </w:tc>
        <w:tc>
          <w:tcPr>
            <w:tcW w:w="820" w:type="dxa"/>
            <w:vAlign w:val="bottom"/>
            <w:gridSpan w:val="2"/>
            <w:vMerge w:val="continue"/>
            <w:shd w:val="clear" w:color="auto" w:fill="003763"/>
          </w:tcPr>
          <w:p>
            <w:pPr>
              <w:spacing w:after="0"/>
              <w:rPr>
                <w:sz w:val="5"/>
                <w:szCs w:val="5"/>
                <w:color w:val="auto"/>
              </w:rPr>
            </w:pPr>
          </w:p>
        </w:tc>
        <w:tc>
          <w:tcPr>
            <w:tcW w:w="100" w:type="dxa"/>
            <w:vAlign w:val="bottom"/>
            <w:shd w:val="clear" w:color="auto" w:fill="003763"/>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 w:type="dxa"/>
            <w:vAlign w:val="bottom"/>
            <w:shd w:val="clear" w:color="auto" w:fill="003763"/>
          </w:tcPr>
          <w:p>
            <w:pPr>
              <w:spacing w:after="0" w:line="20" w:lineRule="exact"/>
              <w:rPr>
                <w:sz w:val="1"/>
                <w:szCs w:val="1"/>
                <w:color w:val="auto"/>
              </w:rPr>
            </w:pPr>
          </w:p>
        </w:tc>
        <w:tc>
          <w:tcPr>
            <w:tcW w:w="5120" w:type="dxa"/>
            <w:vAlign w:val="bottom"/>
            <w:shd w:val="clear" w:color="auto" w:fill="003763"/>
          </w:tcPr>
          <w:p>
            <w:pPr>
              <w:spacing w:after="0" w:line="20" w:lineRule="exact"/>
              <w:rPr>
                <w:sz w:val="1"/>
                <w:szCs w:val="1"/>
                <w:color w:val="auto"/>
              </w:rPr>
            </w:pPr>
          </w:p>
        </w:tc>
        <w:tc>
          <w:tcPr>
            <w:tcW w:w="80" w:type="dxa"/>
            <w:vAlign w:val="bottom"/>
            <w:shd w:val="clear" w:color="auto" w:fill="003763"/>
          </w:tcPr>
          <w:p>
            <w:pPr>
              <w:spacing w:after="0" w:line="20" w:lineRule="exact"/>
              <w:rPr>
                <w:sz w:val="1"/>
                <w:szCs w:val="1"/>
                <w:color w:val="auto"/>
              </w:rPr>
            </w:pPr>
          </w:p>
        </w:tc>
        <w:tc>
          <w:tcPr>
            <w:tcW w:w="100" w:type="dxa"/>
            <w:vAlign w:val="bottom"/>
            <w:vMerge w:val="continue"/>
            <w:shd w:val="clear" w:color="auto" w:fill="003763"/>
          </w:tcPr>
          <w:p>
            <w:pPr>
              <w:spacing w:after="0" w:line="20" w:lineRule="exact"/>
              <w:rPr>
                <w:sz w:val="1"/>
                <w:szCs w:val="1"/>
                <w:color w:val="auto"/>
              </w:rPr>
            </w:pPr>
          </w:p>
        </w:tc>
        <w:tc>
          <w:tcPr>
            <w:tcW w:w="100" w:type="dxa"/>
            <w:vAlign w:val="bottom"/>
            <w:shd w:val="clear" w:color="auto" w:fill="003763"/>
          </w:tcPr>
          <w:p>
            <w:pPr>
              <w:spacing w:after="0" w:line="20" w:lineRule="exact"/>
              <w:rPr>
                <w:sz w:val="1"/>
                <w:szCs w:val="1"/>
                <w:color w:val="auto"/>
              </w:rPr>
            </w:pPr>
          </w:p>
        </w:tc>
        <w:tc>
          <w:tcPr>
            <w:tcW w:w="60" w:type="dxa"/>
            <w:vAlign w:val="bottom"/>
            <w:shd w:val="clear" w:color="auto" w:fill="003763"/>
          </w:tcPr>
          <w:p>
            <w:pPr>
              <w:spacing w:after="0" w:line="20" w:lineRule="exact"/>
              <w:rPr>
                <w:sz w:val="1"/>
                <w:szCs w:val="1"/>
                <w:color w:val="auto"/>
              </w:rPr>
            </w:pPr>
          </w:p>
        </w:tc>
        <w:tc>
          <w:tcPr>
            <w:tcW w:w="420" w:type="dxa"/>
            <w:vAlign w:val="bottom"/>
            <w:shd w:val="clear" w:color="auto" w:fill="003763"/>
          </w:tcPr>
          <w:p>
            <w:pPr>
              <w:spacing w:after="0" w:line="20" w:lineRule="exact"/>
              <w:rPr>
                <w:sz w:val="1"/>
                <w:szCs w:val="1"/>
                <w:color w:val="auto"/>
              </w:rPr>
            </w:pPr>
          </w:p>
        </w:tc>
        <w:tc>
          <w:tcPr>
            <w:tcW w:w="260" w:type="dxa"/>
            <w:vAlign w:val="bottom"/>
            <w:shd w:val="clear" w:color="auto" w:fill="003763"/>
          </w:tcPr>
          <w:p>
            <w:pPr>
              <w:spacing w:after="0" w:line="20" w:lineRule="exact"/>
              <w:rPr>
                <w:sz w:val="1"/>
                <w:szCs w:val="1"/>
                <w:color w:val="auto"/>
              </w:rPr>
            </w:pPr>
          </w:p>
        </w:tc>
        <w:tc>
          <w:tcPr>
            <w:tcW w:w="100" w:type="dxa"/>
            <w:vAlign w:val="bottom"/>
            <w:shd w:val="clear" w:color="auto" w:fill="003763"/>
          </w:tcPr>
          <w:p>
            <w:pPr>
              <w:spacing w:after="0" w:line="20" w:lineRule="exact"/>
              <w:rPr>
                <w:sz w:val="1"/>
                <w:szCs w:val="1"/>
                <w:color w:val="auto"/>
              </w:rPr>
            </w:pPr>
          </w:p>
        </w:tc>
        <w:tc>
          <w:tcPr>
            <w:tcW w:w="120" w:type="dxa"/>
            <w:vAlign w:val="bottom"/>
            <w:shd w:val="clear" w:color="auto" w:fill="003763"/>
          </w:tcPr>
          <w:p>
            <w:pPr>
              <w:spacing w:after="0" w:line="20" w:lineRule="exact"/>
              <w:rPr>
                <w:sz w:val="1"/>
                <w:szCs w:val="1"/>
                <w:color w:val="auto"/>
              </w:rPr>
            </w:pPr>
          </w:p>
        </w:tc>
        <w:tc>
          <w:tcPr>
            <w:tcW w:w="80" w:type="dxa"/>
            <w:vAlign w:val="bottom"/>
            <w:shd w:val="clear" w:color="auto" w:fill="003763"/>
          </w:tcPr>
          <w:p>
            <w:pPr>
              <w:spacing w:after="0" w:line="20" w:lineRule="exact"/>
              <w:rPr>
                <w:sz w:val="1"/>
                <w:szCs w:val="1"/>
                <w:color w:val="auto"/>
              </w:rPr>
            </w:pPr>
          </w:p>
        </w:tc>
        <w:tc>
          <w:tcPr>
            <w:tcW w:w="540" w:type="dxa"/>
            <w:vAlign w:val="bottom"/>
            <w:shd w:val="clear" w:color="auto" w:fill="003763"/>
          </w:tcPr>
          <w:p>
            <w:pPr>
              <w:spacing w:after="0" w:line="20" w:lineRule="exact"/>
              <w:rPr>
                <w:sz w:val="1"/>
                <w:szCs w:val="1"/>
                <w:color w:val="auto"/>
              </w:rPr>
            </w:pPr>
          </w:p>
        </w:tc>
        <w:tc>
          <w:tcPr>
            <w:tcW w:w="40" w:type="dxa"/>
            <w:vAlign w:val="bottom"/>
            <w:shd w:val="clear" w:color="auto" w:fill="003763"/>
          </w:tcPr>
          <w:p>
            <w:pPr>
              <w:spacing w:after="0" w:line="20" w:lineRule="exact"/>
              <w:rPr>
                <w:sz w:val="1"/>
                <w:szCs w:val="1"/>
                <w:color w:val="auto"/>
              </w:rPr>
            </w:pPr>
          </w:p>
        </w:tc>
        <w:tc>
          <w:tcPr>
            <w:tcW w:w="120" w:type="dxa"/>
            <w:vAlign w:val="bottom"/>
            <w:shd w:val="clear" w:color="auto" w:fill="003763"/>
          </w:tcPr>
          <w:p>
            <w:pPr>
              <w:spacing w:after="0" w:line="20" w:lineRule="exact"/>
              <w:rPr>
                <w:sz w:val="1"/>
                <w:szCs w:val="1"/>
                <w:color w:val="auto"/>
              </w:rPr>
            </w:pPr>
          </w:p>
        </w:tc>
        <w:tc>
          <w:tcPr>
            <w:tcW w:w="160" w:type="dxa"/>
            <w:vAlign w:val="bottom"/>
            <w:shd w:val="clear" w:color="auto" w:fill="003763"/>
          </w:tcPr>
          <w:p>
            <w:pPr>
              <w:spacing w:after="0" w:line="20" w:lineRule="exact"/>
              <w:rPr>
                <w:sz w:val="1"/>
                <w:szCs w:val="1"/>
                <w:color w:val="auto"/>
              </w:rPr>
            </w:pPr>
          </w:p>
        </w:tc>
        <w:tc>
          <w:tcPr>
            <w:tcW w:w="40" w:type="dxa"/>
            <w:vAlign w:val="bottom"/>
            <w:shd w:val="clear" w:color="auto" w:fill="003763"/>
          </w:tcPr>
          <w:p>
            <w:pPr>
              <w:spacing w:after="0" w:line="20" w:lineRule="exact"/>
              <w:rPr>
                <w:sz w:val="1"/>
                <w:szCs w:val="1"/>
                <w:color w:val="auto"/>
              </w:rPr>
            </w:pPr>
          </w:p>
        </w:tc>
        <w:tc>
          <w:tcPr>
            <w:tcW w:w="560" w:type="dxa"/>
            <w:vAlign w:val="bottom"/>
            <w:shd w:val="clear" w:color="auto" w:fill="003763"/>
          </w:tcPr>
          <w:p>
            <w:pPr>
              <w:spacing w:after="0" w:line="20" w:lineRule="exact"/>
              <w:rPr>
                <w:sz w:val="1"/>
                <w:szCs w:val="1"/>
                <w:color w:val="auto"/>
              </w:rPr>
            </w:pPr>
          </w:p>
        </w:tc>
        <w:tc>
          <w:tcPr>
            <w:tcW w:w="100" w:type="dxa"/>
            <w:vAlign w:val="bottom"/>
            <w:shd w:val="clear" w:color="auto" w:fill="003763"/>
          </w:tcPr>
          <w:p>
            <w:pPr>
              <w:spacing w:after="0" w:line="20" w:lineRule="exact"/>
              <w:rPr>
                <w:sz w:val="1"/>
                <w:szCs w:val="1"/>
                <w:color w:val="auto"/>
              </w:rPr>
            </w:pPr>
          </w:p>
        </w:tc>
        <w:tc>
          <w:tcPr>
            <w:tcW w:w="100" w:type="dxa"/>
            <w:vAlign w:val="bottom"/>
            <w:vMerge w:val="continue"/>
            <w:shd w:val="clear" w:color="auto" w:fill="003763"/>
          </w:tcPr>
          <w:p>
            <w:pPr>
              <w:spacing w:after="0" w:line="20" w:lineRule="exact"/>
              <w:rPr>
                <w:sz w:val="1"/>
                <w:szCs w:val="1"/>
                <w:color w:val="auto"/>
              </w:rPr>
            </w:pPr>
          </w:p>
        </w:tc>
        <w:tc>
          <w:tcPr>
            <w:tcW w:w="820" w:type="dxa"/>
            <w:vAlign w:val="bottom"/>
            <w:gridSpan w:val="2"/>
            <w:vMerge w:val="continue"/>
            <w:shd w:val="clear" w:color="auto" w:fill="003763"/>
          </w:tcPr>
          <w:p>
            <w:pPr>
              <w:spacing w:after="0" w:line="20" w:lineRule="exact"/>
              <w:rPr>
                <w:sz w:val="1"/>
                <w:szCs w:val="1"/>
                <w:color w:val="auto"/>
              </w:rPr>
            </w:pPr>
          </w:p>
        </w:tc>
        <w:tc>
          <w:tcPr>
            <w:tcW w:w="100" w:type="dxa"/>
            <w:vAlign w:val="bottom"/>
            <w:shd w:val="clear" w:color="auto" w:fill="0037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00" w:type="dxa"/>
            <w:vAlign w:val="bottom"/>
            <w:gridSpan w:val="2"/>
            <w:shd w:val="clear" w:color="auto" w:fill="003763"/>
          </w:tcPr>
          <w:p>
            <w:pPr>
              <w:ind w:left="20"/>
              <w:spacing w:after="0" w:line="24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Actually Paid Adjustments</w:t>
            </w:r>
          </w:p>
        </w:tc>
        <w:tc>
          <w:tcPr>
            <w:tcW w:w="18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00" w:type="dxa"/>
            <w:vAlign w:val="bottom"/>
            <w:shd w:val="clear" w:color="auto" w:fill="003763"/>
          </w:tcPr>
          <w:p>
            <w:pPr>
              <w:spacing w:after="0"/>
              <w:rPr>
                <w:sz w:val="21"/>
                <w:szCs w:val="21"/>
                <w:color w:val="auto"/>
              </w:rPr>
            </w:pPr>
          </w:p>
        </w:tc>
        <w:tc>
          <w:tcPr>
            <w:tcW w:w="60" w:type="dxa"/>
            <w:vAlign w:val="bottom"/>
            <w:shd w:val="clear" w:color="auto" w:fill="003763"/>
          </w:tcPr>
          <w:p>
            <w:pPr>
              <w:spacing w:after="0"/>
              <w:rPr>
                <w:sz w:val="21"/>
                <w:szCs w:val="21"/>
                <w:color w:val="auto"/>
              </w:rPr>
            </w:pPr>
          </w:p>
        </w:tc>
        <w:tc>
          <w:tcPr>
            <w:tcW w:w="42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Lesar</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960" w:type="dxa"/>
            <w:vAlign w:val="bottom"/>
            <w:gridSpan w:val="11"/>
            <w:shd w:val="clear" w:color="auto" w:fill="003763"/>
          </w:tcPr>
          <w:p>
            <w:pPr>
              <w:jc w:val="center"/>
              <w:spacing w:after="0" w:line="24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Somerhalder </w:t>
            </w: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Prochazka </w:t>
            </w:r>
            <w:r>
              <w:rPr>
                <w:rFonts w:ascii="Arial" w:cs="Arial" w:eastAsia="Arial" w:hAnsi="Arial"/>
                <w:sz w:val="25"/>
                <w:szCs w:val="25"/>
                <w:b w:val="1"/>
                <w:bCs w:val="1"/>
                <w:color w:val="FFFFFF"/>
                <w:vertAlign w:val="subscript"/>
              </w:rPr>
              <w:t>​ ​</w:t>
            </w:r>
          </w:p>
        </w:tc>
        <w:tc>
          <w:tcPr>
            <w:tcW w:w="820" w:type="dxa"/>
            <w:vAlign w:val="bottom"/>
            <w:gridSpan w:val="2"/>
            <w:shd w:val="clear" w:color="auto" w:fill="003763"/>
          </w:tcPr>
          <w:p>
            <w:pPr>
              <w:jc w:val="right"/>
              <w:ind w:right="17"/>
              <w:spacing w:after="0"/>
              <w:rPr>
                <w:sz w:val="20"/>
                <w:szCs w:val="20"/>
                <w:color w:val="auto"/>
              </w:rPr>
            </w:pPr>
            <w:r>
              <w:rPr>
                <w:rFonts w:ascii="Arial" w:cs="Arial" w:eastAsia="Arial" w:hAnsi="Arial"/>
                <w:sz w:val="13"/>
                <w:szCs w:val="13"/>
                <w:b w:val="1"/>
                <w:bCs w:val="1"/>
                <w:color w:val="FFFFFF"/>
              </w:rPr>
              <w:t>PEO NEOs</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CCCC"/>
            </w:tcBorders>
            <w:gridSpan w:val="2"/>
          </w:tcPr>
          <w:p>
            <w:pPr>
              <w:ind w:left="60"/>
              <w:spacing w:after="0" w:line="27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Summary Compensation Table (SCT) Total</w:t>
            </w:r>
          </w:p>
        </w:tc>
        <w:tc>
          <w:tcPr>
            <w:tcW w:w="1020" w:type="dxa"/>
            <w:vAlign w:val="bottom"/>
            <w:tcBorders>
              <w:bottom w:val="single" w:sz="8" w:color="CCCCCC"/>
            </w:tcBorders>
            <w:gridSpan w:val="6"/>
          </w:tcPr>
          <w:p>
            <w:pPr>
              <w:jc w:val="right"/>
              <w:spacing w:after="0" w:line="270"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3"/>
                <w:szCs w:val="13"/>
                <w:color w:val="auto"/>
              </w:rPr>
              <w:t>$ 11,946,295</w:t>
            </w:r>
            <w:r>
              <w:rPr>
                <w:rFonts w:ascii="Arial" w:cs="Arial" w:eastAsia="Arial" w:hAnsi="Arial"/>
                <w:sz w:val="25"/>
                <w:szCs w:val="25"/>
                <w:color w:val="auto"/>
                <w:vertAlign w:val="subscript"/>
              </w:rPr>
              <w:t>​​</w:t>
            </w:r>
          </w:p>
        </w:tc>
        <w:tc>
          <w:tcPr>
            <w:tcW w:w="1000" w:type="dxa"/>
            <w:vAlign w:val="bottom"/>
            <w:tcBorders>
              <w:bottom w:val="single" w:sz="8" w:color="CCCCCC"/>
            </w:tcBorders>
            <w:gridSpan w:val="6"/>
          </w:tcPr>
          <w:p>
            <w:pPr>
              <w:jc w:val="right"/>
              <w:spacing w:after="0" w:line="27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$ 3,075,656 </w:t>
            </w:r>
            <w:r>
              <w:rPr>
                <w:rFonts w:ascii="Arial" w:cs="Arial" w:eastAsia="Arial" w:hAnsi="Arial"/>
                <w:sz w:val="25"/>
                <w:szCs w:val="25"/>
                <w:color w:val="auto"/>
                <w:vertAlign w:val="subscript"/>
              </w:rPr>
              <w:t>​​</w:t>
            </w:r>
          </w:p>
        </w:tc>
        <w:tc>
          <w:tcPr>
            <w:tcW w:w="160" w:type="dxa"/>
            <w:vAlign w:val="bottom"/>
            <w:tcBorders>
              <w:bottom w:val="single" w:sz="8" w:color="CCCCCC"/>
            </w:tcBorders>
          </w:tcPr>
          <w:p>
            <w:pPr>
              <w:ind w:left="20"/>
              <w:spacing w:after="0" w:line="270"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tcPr>
          <w:p>
            <w:pPr>
              <w:spacing w:after="0"/>
              <w:rPr>
                <w:sz w:val="23"/>
                <w:szCs w:val="23"/>
                <w:color w:val="auto"/>
              </w:rPr>
            </w:pPr>
          </w:p>
        </w:tc>
        <w:tc>
          <w:tcPr>
            <w:tcW w:w="760" w:type="dxa"/>
            <w:vAlign w:val="bottom"/>
            <w:tcBorders>
              <w:bottom w:val="single" w:sz="8" w:color="CCCCCC"/>
            </w:tcBorders>
            <w:gridSpan w:val="3"/>
          </w:tcPr>
          <w:p>
            <w:pPr>
              <w:jc w:val="right"/>
              <w:ind w:right="20"/>
              <w:spacing w:after="0" w:line="270" w:lineRule="exact"/>
              <w:rPr>
                <w:sz w:val="20"/>
                <w:szCs w:val="20"/>
                <w:color w:val="auto"/>
              </w:rPr>
            </w:pPr>
            <w:r>
              <w:rPr>
                <w:rFonts w:ascii="Arial" w:cs="Arial" w:eastAsia="Arial" w:hAnsi="Arial"/>
                <w:sz w:val="13"/>
                <w:szCs w:val="13"/>
                <w:color w:val="auto"/>
              </w:rPr>
              <w:t>6,656,290</w:t>
            </w:r>
            <w:r>
              <w:rPr>
                <w:rFonts w:ascii="Arial" w:cs="Arial" w:eastAsia="Arial" w:hAnsi="Arial"/>
                <w:sz w:val="25"/>
                <w:szCs w:val="25"/>
                <w:color w:val="auto"/>
                <w:vertAlign w:val="subscript"/>
              </w:rPr>
              <w:t>​​ ​</w:t>
            </w:r>
          </w:p>
        </w:tc>
        <w:tc>
          <w:tcPr>
            <w:tcW w:w="160" w:type="dxa"/>
            <w:vAlign w:val="bottom"/>
            <w:tcBorders>
              <w:bottom w:val="single" w:sz="8" w:color="CCCCCC"/>
            </w:tcBorders>
          </w:tcPr>
          <w:p>
            <w:pPr>
              <w:jc w:val="right"/>
              <w:spacing w:after="0" w:line="27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2,812,497</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shd w:val="clear" w:color="auto" w:fill="F2F2F2"/>
          </w:tcPr>
          <w:p>
            <w:pPr>
              <w:spacing w:after="0"/>
              <w:rPr>
                <w:sz w:val="15"/>
                <w:szCs w:val="15"/>
                <w:color w:val="auto"/>
              </w:rPr>
            </w:pPr>
          </w:p>
        </w:tc>
        <w:tc>
          <w:tcPr>
            <w:tcW w:w="5120" w:type="dxa"/>
            <w:vAlign w:val="bottom"/>
            <w:shd w:val="clear" w:color="auto" w:fill="F2F2F2"/>
          </w:tcPr>
          <w:p>
            <w:pPr>
              <w:ind w:left="20"/>
              <w:spacing w:after="0"/>
              <w:rPr>
                <w:sz w:val="20"/>
                <w:szCs w:val="20"/>
                <w:color w:val="auto"/>
              </w:rPr>
            </w:pPr>
            <w:r>
              <w:rPr>
                <w:rFonts w:ascii="Arial" w:cs="Arial" w:eastAsia="Arial" w:hAnsi="Arial"/>
                <w:sz w:val="13"/>
                <w:szCs w:val="13"/>
                <w:color w:val="auto"/>
              </w:rPr>
              <w:t>Deduction for Amounts Reported under the Stock Awards and Options</w:t>
            </w:r>
          </w:p>
        </w:tc>
        <w:tc>
          <w:tcPr>
            <w:tcW w:w="8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60" w:type="dxa"/>
            <w:vAlign w:val="bottom"/>
            <w:shd w:val="clear" w:color="auto" w:fill="F2F2F2"/>
          </w:tcPr>
          <w:p>
            <w:pPr>
              <w:spacing w:after="0"/>
              <w:rPr>
                <w:sz w:val="15"/>
                <w:szCs w:val="15"/>
                <w:color w:val="auto"/>
              </w:rPr>
            </w:pPr>
          </w:p>
        </w:tc>
        <w:tc>
          <w:tcPr>
            <w:tcW w:w="42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6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shd w:val="clear" w:color="auto" w:fill="F2F2F2"/>
          </w:tcPr>
          <w:p>
            <w:pPr>
              <w:ind w:left="140"/>
              <w:spacing w:after="0" w:line="126" w:lineRule="exact"/>
              <w:rPr>
                <w:sz w:val="20"/>
                <w:szCs w:val="20"/>
                <w:color w:val="auto"/>
              </w:rPr>
            </w:pPr>
            <w:r>
              <w:rPr>
                <w:rFonts w:ascii="Arial" w:cs="Arial" w:eastAsia="Arial" w:hAnsi="Arial"/>
                <w:sz w:val="13"/>
                <w:szCs w:val="13"/>
                <w:color w:val="auto"/>
              </w:rPr>
              <w:t>Awards columns in the SCT</w:t>
            </w:r>
          </w:p>
        </w:tc>
        <w:tc>
          <w:tcPr>
            <w:tcW w:w="1020" w:type="dxa"/>
            <w:vAlign w:val="bottom"/>
            <w:gridSpan w:val="6"/>
            <w:shd w:val="clear" w:color="auto" w:fill="F2F2F2"/>
          </w:tcPr>
          <w:p>
            <w:pPr>
              <w:jc w:val="right"/>
              <w:ind w:right="1"/>
              <w:spacing w:after="0" w:line="126" w:lineRule="exact"/>
              <w:rPr>
                <w:sz w:val="20"/>
                <w:szCs w:val="20"/>
                <w:color w:val="auto"/>
              </w:rPr>
            </w:pPr>
            <w:r>
              <w:rPr>
                <w:rFonts w:ascii="Arial" w:cs="Arial" w:eastAsia="Arial" w:hAnsi="Arial"/>
                <w:sz w:val="13"/>
                <w:szCs w:val="13"/>
                <w:color w:val="auto"/>
              </w:rPr>
              <w:t>$ (8,169,996)</w:t>
            </w:r>
          </w:p>
        </w:tc>
        <w:tc>
          <w:tcPr>
            <w:tcW w:w="100" w:type="dxa"/>
            <w:vAlign w:val="bottom"/>
            <w:shd w:val="clear" w:color="auto" w:fill="F2F2F2"/>
          </w:tcPr>
          <w:p>
            <w:pPr>
              <w:spacing w:after="0"/>
              <w:rPr>
                <w:sz w:val="10"/>
                <w:szCs w:val="10"/>
                <w:color w:val="auto"/>
              </w:rPr>
            </w:pPr>
          </w:p>
        </w:tc>
        <w:tc>
          <w:tcPr>
            <w:tcW w:w="780" w:type="dxa"/>
            <w:vAlign w:val="bottom"/>
            <w:gridSpan w:val="4"/>
            <w:shd w:val="clear" w:color="auto" w:fill="F2F2F2"/>
          </w:tcPr>
          <w:p>
            <w:pPr>
              <w:jc w:val="right"/>
              <w:spacing w:after="0" w:line="126" w:lineRule="exact"/>
              <w:rPr>
                <w:sz w:val="20"/>
                <w:szCs w:val="20"/>
                <w:color w:val="auto"/>
              </w:rPr>
            </w:pPr>
            <w:r>
              <w:rPr>
                <w:rFonts w:ascii="Arial" w:cs="Arial" w:eastAsia="Arial" w:hAnsi="Arial"/>
                <w:sz w:val="13"/>
                <w:szCs w:val="13"/>
                <w:color w:val="auto"/>
              </w:rPr>
              <w:t>$(2,272,619)</w:t>
            </w:r>
          </w:p>
        </w:tc>
        <w:tc>
          <w:tcPr>
            <w:tcW w:w="1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40" w:type="dxa"/>
            <w:vAlign w:val="bottom"/>
            <w:shd w:val="clear" w:color="auto" w:fill="F2F2F2"/>
          </w:tcPr>
          <w:p>
            <w:pPr>
              <w:spacing w:after="0" w:line="126" w:lineRule="exact"/>
              <w:rPr>
                <w:sz w:val="20"/>
                <w:szCs w:val="20"/>
                <w:color w:val="auto"/>
              </w:rPr>
            </w:pPr>
            <w:r>
              <w:rPr>
                <w:rFonts w:ascii="Arial" w:cs="Arial" w:eastAsia="Arial" w:hAnsi="Arial"/>
                <w:sz w:val="13"/>
                <w:szCs w:val="13"/>
                <w:color w:val="auto"/>
              </w:rPr>
              <w:t>​</w:t>
            </w:r>
          </w:p>
        </w:tc>
        <w:tc>
          <w:tcPr>
            <w:tcW w:w="560" w:type="dxa"/>
            <w:vAlign w:val="bottom"/>
            <w:shd w:val="clear" w:color="auto" w:fill="F2F2F2"/>
          </w:tcPr>
          <w:p>
            <w:pPr>
              <w:ind w:left="440"/>
              <w:spacing w:after="0" w:line="126" w:lineRule="exact"/>
              <w:rPr>
                <w:sz w:val="20"/>
                <w:szCs w:val="20"/>
                <w:color w:val="auto"/>
              </w:rPr>
            </w:pPr>
            <w:r>
              <w:rPr>
                <w:rFonts w:ascii="Arial" w:cs="Arial" w:eastAsia="Arial" w:hAnsi="Arial"/>
                <w:sz w:val="13"/>
                <w:szCs w:val="13"/>
                <w:color w:val="auto"/>
                <w:w w:val="76"/>
              </w:rPr>
              <w:t>—</w:t>
            </w:r>
          </w:p>
        </w:tc>
        <w:tc>
          <w:tcPr>
            <w:tcW w:w="200" w:type="dxa"/>
            <w:vAlign w:val="bottom"/>
            <w:gridSpan w:val="2"/>
            <w:vMerge w:val="restart"/>
            <w:shd w:val="clear" w:color="auto" w:fill="F2F2F2"/>
          </w:tcPr>
          <w:p>
            <w:pPr>
              <w:jc w:val="right"/>
              <w:ind w:right="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rPr>
              <w:t>$</w:t>
            </w:r>
          </w:p>
        </w:tc>
        <w:tc>
          <w:tcPr>
            <w:tcW w:w="66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w w:val="93"/>
              </w:rPr>
              <w:t>(1,608,708)</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5120" w:type="dxa"/>
            <w:vAlign w:val="bottom"/>
            <w:tcBorders>
              <w:bottom w:val="single" w:sz="8" w:color="CCCCCC"/>
            </w:tcBorders>
            <w:shd w:val="clear" w:color="auto" w:fill="F2F2F2"/>
          </w:tcPr>
          <w:p>
            <w:pPr>
              <w:spacing w:after="0"/>
              <w:rPr>
                <w:sz w:val="8"/>
                <w:szCs w:val="8"/>
                <w:color w:val="auto"/>
              </w:rPr>
            </w:pPr>
          </w:p>
        </w:tc>
        <w:tc>
          <w:tcPr>
            <w:tcW w:w="280" w:type="dxa"/>
            <w:vAlign w:val="bottom"/>
            <w:tcBorders>
              <w:bottom w:val="single" w:sz="8" w:color="CCCCCC"/>
            </w:tcBorders>
            <w:gridSpan w:val="3"/>
            <w:shd w:val="clear" w:color="auto" w:fill="F2F2F2"/>
          </w:tcPr>
          <w:p>
            <w:pPr>
              <w:ind w:left="40"/>
              <w:spacing w:after="0" w:line="95" w:lineRule="exact"/>
              <w:rPr>
                <w:sz w:val="20"/>
                <w:szCs w:val="20"/>
                <w:color w:val="auto"/>
              </w:rPr>
            </w:pPr>
            <w:r>
              <w:rPr>
                <w:rFonts w:ascii="Arial" w:cs="Arial" w:eastAsia="Arial" w:hAnsi="Arial"/>
                <w:sz w:val="10"/>
                <w:szCs w:val="10"/>
                <w:color w:val="auto"/>
              </w:rPr>
              <w:t>​ ​ ​</w:t>
            </w:r>
          </w:p>
        </w:tc>
        <w:tc>
          <w:tcPr>
            <w:tcW w:w="60" w:type="dxa"/>
            <w:vAlign w:val="bottom"/>
            <w:tcBorders>
              <w:bottom w:val="single" w:sz="8" w:color="CCCCCC"/>
            </w:tcBorders>
            <w:shd w:val="clear" w:color="auto" w:fill="F2F2F2"/>
          </w:tcPr>
          <w:p>
            <w:pPr>
              <w:spacing w:after="0"/>
              <w:rPr>
                <w:sz w:val="8"/>
                <w:szCs w:val="8"/>
                <w:color w:val="auto"/>
              </w:rPr>
            </w:pPr>
          </w:p>
        </w:tc>
        <w:tc>
          <w:tcPr>
            <w:tcW w:w="420" w:type="dxa"/>
            <w:vAlign w:val="bottom"/>
            <w:tcBorders>
              <w:bottom w:val="single" w:sz="8" w:color="CCCCCC"/>
            </w:tcBorders>
            <w:shd w:val="clear" w:color="auto" w:fill="F2F2F2"/>
          </w:tcPr>
          <w:p>
            <w:pPr>
              <w:spacing w:after="0"/>
              <w:rPr>
                <w:sz w:val="8"/>
                <w:szCs w:val="8"/>
                <w:color w:val="auto"/>
              </w:rPr>
            </w:pPr>
          </w:p>
        </w:tc>
        <w:tc>
          <w:tcPr>
            <w:tcW w:w="2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CCCC"/>
            </w:tcBorders>
            <w:gridSpan w:val="2"/>
            <w:shd w:val="clear" w:color="auto" w:fill="F2F2F2"/>
          </w:tcPr>
          <w:p>
            <w:pPr>
              <w:ind w:left="40"/>
              <w:spacing w:after="0" w:line="95" w:lineRule="exact"/>
              <w:rPr>
                <w:sz w:val="20"/>
                <w:szCs w:val="20"/>
                <w:color w:val="auto"/>
              </w:rPr>
            </w:pPr>
            <w:r>
              <w:rPr>
                <w:rFonts w:ascii="Arial" w:cs="Arial" w:eastAsia="Arial" w:hAnsi="Arial"/>
                <w:sz w:val="10"/>
                <w:szCs w:val="10"/>
                <w:color w:val="auto"/>
              </w:rPr>
              <w:t>​ ​</w:t>
            </w:r>
          </w:p>
        </w:tc>
        <w:tc>
          <w:tcPr>
            <w:tcW w:w="80" w:type="dxa"/>
            <w:vAlign w:val="bottom"/>
            <w:tcBorders>
              <w:bottom w:val="single" w:sz="8" w:color="CCCCCC"/>
            </w:tcBorders>
            <w:shd w:val="clear" w:color="auto" w:fill="F2F2F2"/>
          </w:tcPr>
          <w:p>
            <w:pPr>
              <w:spacing w:after="0"/>
              <w:rPr>
                <w:sz w:val="8"/>
                <w:szCs w:val="8"/>
                <w:color w:val="auto"/>
              </w:rPr>
            </w:pPr>
          </w:p>
        </w:tc>
        <w:tc>
          <w:tcPr>
            <w:tcW w:w="540" w:type="dxa"/>
            <w:vAlign w:val="bottom"/>
            <w:tcBorders>
              <w:bottom w:val="single" w:sz="8" w:color="CCCCCC"/>
            </w:tcBorders>
            <w:shd w:val="clear" w:color="auto" w:fill="F2F2F2"/>
          </w:tcPr>
          <w:p>
            <w:pPr>
              <w:spacing w:after="0"/>
              <w:rPr>
                <w:sz w:val="8"/>
                <w:szCs w:val="8"/>
                <w:color w:val="auto"/>
              </w:rPr>
            </w:pPr>
          </w:p>
        </w:tc>
        <w:tc>
          <w:tcPr>
            <w:tcW w:w="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vMerge w:val="continue"/>
            <w:shd w:val="clear" w:color="auto" w:fill="F2F2F2"/>
          </w:tcPr>
          <w:p>
            <w:pPr>
              <w:spacing w:after="0"/>
              <w:rPr>
                <w:sz w:val="8"/>
                <w:szCs w:val="8"/>
                <w:color w:val="auto"/>
              </w:rPr>
            </w:pPr>
          </w:p>
        </w:tc>
        <w:tc>
          <w:tcPr>
            <w:tcW w:w="160" w:type="dxa"/>
            <w:vAlign w:val="bottom"/>
            <w:tcBorders>
              <w:bottom w:val="single" w:sz="8" w:color="CCCCCC"/>
            </w:tcBorders>
            <w:vMerge w:val="continue"/>
            <w:shd w:val="clear" w:color="auto" w:fill="F2F2F2"/>
          </w:tcPr>
          <w:p>
            <w:pPr>
              <w:spacing w:after="0"/>
              <w:rPr>
                <w:sz w:val="8"/>
                <w:szCs w:val="8"/>
                <w:color w:val="auto"/>
              </w:rPr>
            </w:pPr>
          </w:p>
        </w:tc>
        <w:tc>
          <w:tcPr>
            <w:tcW w:w="40" w:type="dxa"/>
            <w:vAlign w:val="bottom"/>
            <w:tcBorders>
              <w:bottom w:val="single" w:sz="8" w:color="CCCCCC"/>
            </w:tcBorders>
            <w:shd w:val="clear" w:color="auto" w:fill="F2F2F2"/>
          </w:tcPr>
          <w:p>
            <w:pPr>
              <w:spacing w:after="0"/>
              <w:rPr>
                <w:sz w:val="8"/>
                <w:szCs w:val="8"/>
                <w:color w:val="auto"/>
              </w:rPr>
            </w:pP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gridSpan w:val="2"/>
            <w:vMerge w:val="continue"/>
            <w:shd w:val="clear" w:color="auto" w:fill="F2F2F2"/>
          </w:tcPr>
          <w:p>
            <w:pPr>
              <w:spacing w:after="0"/>
              <w:rPr>
                <w:sz w:val="8"/>
                <w:szCs w:val="8"/>
                <w:color w:val="auto"/>
              </w:rPr>
            </w:pPr>
          </w:p>
        </w:tc>
        <w:tc>
          <w:tcPr>
            <w:tcW w:w="1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Deduction for Amounts Reported under the “Change in Pension Value 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Nonqualified Deferred Compensation Earnings” column in the SCT</w:t>
            </w:r>
          </w:p>
        </w:tc>
        <w:tc>
          <w:tcPr>
            <w:tcW w:w="340" w:type="dxa"/>
            <w:vAlign w:val="bottom"/>
            <w:tcBorders>
              <w:bottom w:val="single" w:sz="8" w:color="CCCCCC"/>
            </w:tcBorders>
            <w:gridSpan w:val="4"/>
          </w:tcPr>
          <w:p>
            <w:pPr>
              <w:ind w:left="40"/>
              <w:spacing w:after="0" w:line="221"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5"/>
                <w:szCs w:val="25"/>
                <w:color w:val="auto"/>
                <w:vertAlign w:val="superscript"/>
              </w:rPr>
              <w:t>​</w:t>
            </w:r>
          </w:p>
        </w:tc>
        <w:tc>
          <w:tcPr>
            <w:tcW w:w="420" w:type="dxa"/>
            <w:vAlign w:val="bottom"/>
            <w:tcBorders>
              <w:bottom w:val="single" w:sz="8" w:color="CCCCCC"/>
            </w:tcBorders>
          </w:tcPr>
          <w:p>
            <w:pPr>
              <w:spacing w:after="0"/>
              <w:rPr>
                <w:sz w:val="19"/>
                <w:szCs w:val="19"/>
                <w:color w:val="auto"/>
              </w:rPr>
            </w:pPr>
          </w:p>
        </w:tc>
        <w:tc>
          <w:tcPr>
            <w:tcW w:w="260" w:type="dxa"/>
            <w:vAlign w:val="bottom"/>
            <w:tcBorders>
              <w:bottom w:val="single" w:sz="8" w:color="CCCCCC"/>
            </w:tcBorders>
          </w:tcPr>
          <w:p>
            <w:pPr>
              <w:jc w:val="right"/>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CCCC"/>
            </w:tcBorders>
          </w:tcPr>
          <w:p>
            <w:pPr>
              <w:ind w:left="40"/>
              <w:spacing w:after="0" w:line="221" w:lineRule="exact"/>
              <w:rPr>
                <w:sz w:val="20"/>
                <w:szCs w:val="20"/>
                <w:color w:val="auto"/>
              </w:rPr>
            </w:pPr>
            <w:r>
              <w:rPr>
                <w:rFonts w:ascii="Arial" w:cs="Arial" w:eastAsia="Arial" w:hAnsi="Arial"/>
                <w:sz w:val="25"/>
                <w:szCs w:val="25"/>
                <w:color w:val="auto"/>
                <w:w w:val="82"/>
                <w:vertAlign w:val="subscript"/>
              </w:rPr>
              <w:t>​</w:t>
            </w:r>
            <w:r>
              <w:rPr>
                <w:rFonts w:ascii="Arial" w:cs="Arial" w:eastAsia="Arial" w:hAnsi="Arial"/>
                <w:sz w:val="13"/>
                <w:szCs w:val="13"/>
                <w:color w:val="auto"/>
                <w:w w:val="82"/>
              </w:rPr>
              <w:t>$</w:t>
            </w:r>
          </w:p>
        </w:tc>
        <w:tc>
          <w:tcPr>
            <w:tcW w:w="80" w:type="dxa"/>
            <w:vAlign w:val="bottom"/>
            <w:tcBorders>
              <w:bottom w:val="single" w:sz="8" w:color="CCCCCC"/>
            </w:tcBorders>
          </w:tcPr>
          <w:p>
            <w:pPr>
              <w:spacing w:after="0"/>
              <w:rPr>
                <w:sz w:val="19"/>
                <w:szCs w:val="19"/>
                <w:color w:val="auto"/>
              </w:rPr>
            </w:pPr>
          </w:p>
        </w:tc>
        <w:tc>
          <w:tcPr>
            <w:tcW w:w="700" w:type="dxa"/>
            <w:vAlign w:val="bottom"/>
            <w:tcBorders>
              <w:bottom w:val="single" w:sz="8" w:color="CCCCCC"/>
            </w:tcBorders>
            <w:gridSpan w:val="3"/>
          </w:tcPr>
          <w:p>
            <w:pPr>
              <w:jc w:val="right"/>
              <w:spacing w:after="0" w:line="221" w:lineRule="exact"/>
              <w:rPr>
                <w:sz w:val="20"/>
                <w:szCs w:val="20"/>
                <w:color w:val="auto"/>
              </w:rPr>
            </w:pPr>
            <w:r>
              <w:rPr>
                <w:rFonts w:ascii="Arial" w:cs="Arial" w:eastAsia="Arial" w:hAnsi="Arial"/>
                <w:sz w:val="13"/>
                <w:szCs w:val="13"/>
                <w:color w:val="auto"/>
              </w:rPr>
              <w:t>(8,929)</w:t>
            </w:r>
            <w:r>
              <w:rPr>
                <w:rFonts w:ascii="Arial" w:cs="Arial" w:eastAsia="Arial" w:hAnsi="Arial"/>
                <w:sz w:val="25"/>
                <w:szCs w:val="25"/>
                <w:color w:val="auto"/>
                <w:vertAlign w:val="subscript"/>
              </w:rPr>
              <w:t>​​</w:t>
            </w:r>
          </w:p>
        </w:tc>
        <w:tc>
          <w:tcPr>
            <w:tcW w:w="160" w:type="dxa"/>
            <w:vAlign w:val="bottom"/>
            <w:tcBorders>
              <w:bottom w:val="single" w:sz="8" w:color="CCCCCC"/>
            </w:tcBorders>
          </w:tcPr>
          <w:p>
            <w:pPr>
              <w:ind w:left="20"/>
              <w:spacing w:after="0" w:line="221"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tcPr>
          <w:p>
            <w:pPr>
              <w:spacing w:after="0"/>
              <w:rPr>
                <w:sz w:val="19"/>
                <w:szCs w:val="19"/>
                <w:color w:val="auto"/>
              </w:rPr>
            </w:pPr>
          </w:p>
        </w:tc>
        <w:tc>
          <w:tcPr>
            <w:tcW w:w="760" w:type="dxa"/>
            <w:vAlign w:val="bottom"/>
            <w:tcBorders>
              <w:bottom w:val="single" w:sz="8" w:color="CCCCCC"/>
            </w:tcBorders>
            <w:gridSpan w:val="3"/>
          </w:tcPr>
          <w:p>
            <w:pPr>
              <w:jc w:val="right"/>
              <w:ind w:right="20"/>
              <w:spacing w:after="0" w:line="221" w:lineRule="exact"/>
              <w:rPr>
                <w:sz w:val="20"/>
                <w:szCs w:val="20"/>
                <w:color w:val="auto"/>
              </w:rPr>
            </w:pPr>
            <w:r>
              <w:rPr>
                <w:rFonts w:ascii="Arial" w:cs="Arial" w:eastAsia="Arial" w:hAnsi="Arial"/>
                <w:sz w:val="13"/>
                <w:szCs w:val="13"/>
                <w:color w:val="auto"/>
              </w:rPr>
              <w:t>1,008,367</w:t>
            </w:r>
            <w:r>
              <w:rPr>
                <w:rFonts w:ascii="Arial" w:cs="Arial" w:eastAsia="Arial" w:hAnsi="Arial"/>
                <w:sz w:val="25"/>
                <w:szCs w:val="25"/>
                <w:color w:val="auto"/>
                <w:vertAlign w:val="subscript"/>
              </w:rPr>
              <w:t>​​ ​</w:t>
            </w:r>
          </w:p>
        </w:tc>
        <w:tc>
          <w:tcPr>
            <w:tcW w:w="160" w:type="dxa"/>
            <w:vAlign w:val="bottom"/>
            <w:tcBorders>
              <w:bottom w:val="single" w:sz="8" w:color="CCCCCC"/>
            </w:tcBorders>
          </w:tcPr>
          <w:p>
            <w:pPr>
              <w:jc w:val="right"/>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76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 xml:space="preserve">(59,849)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Service Cost and Prior Service Cost for Pension Plans</w:t>
            </w:r>
          </w:p>
        </w:tc>
        <w:tc>
          <w:tcPr>
            <w:tcW w:w="340" w:type="dxa"/>
            <w:vAlign w:val="bottom"/>
            <w:tcBorders>
              <w:bottom w:val="single" w:sz="8" w:color="CCCCCC"/>
            </w:tcBorders>
            <w:gridSpan w:val="4"/>
            <w:shd w:val="clear" w:color="auto" w:fill="F2F2F2"/>
          </w:tcPr>
          <w:p>
            <w:pPr>
              <w:ind w:left="40"/>
              <w:spacing w:after="0" w:line="250"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5"/>
                <w:szCs w:val="25"/>
                <w:color w:val="auto"/>
                <w:vertAlign w:val="superscript"/>
              </w:rPr>
              <w:t>​</w:t>
            </w:r>
          </w:p>
        </w:tc>
        <w:tc>
          <w:tcPr>
            <w:tcW w:w="420" w:type="dxa"/>
            <w:vAlign w:val="bottom"/>
            <w:tcBorders>
              <w:bottom w:val="single" w:sz="8" w:color="CCCCCC"/>
            </w:tcBorders>
            <w:shd w:val="clear" w:color="auto" w:fill="F2F2F2"/>
          </w:tcPr>
          <w:p>
            <w:pPr>
              <w:spacing w:after="0"/>
              <w:rPr>
                <w:sz w:val="21"/>
                <w:szCs w:val="21"/>
                <w:color w:val="auto"/>
              </w:rPr>
            </w:pPr>
          </w:p>
        </w:tc>
        <w:tc>
          <w:tcPr>
            <w:tcW w:w="26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700" w:type="dxa"/>
            <w:vAlign w:val="bottom"/>
            <w:tcBorders>
              <w:bottom w:val="single" w:sz="8" w:color="CCCCCC"/>
            </w:tcBorders>
            <w:gridSpan w:val="3"/>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60" w:type="dxa"/>
            <w:vAlign w:val="bottom"/>
            <w:tcBorders>
              <w:bottom w:val="single" w:sz="8" w:color="CCCCCC"/>
            </w:tcBorders>
            <w:shd w:val="clear" w:color="auto" w:fill="F2F2F2"/>
          </w:tcPr>
          <w:p>
            <w:pPr>
              <w:ind w:left="20"/>
              <w:spacing w:after="0" w:line="250"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shd w:val="clear" w:color="auto" w:fill="F2F2F2"/>
          </w:tcPr>
          <w:p>
            <w:pPr>
              <w:spacing w:after="0"/>
              <w:rPr>
                <w:sz w:val="21"/>
                <w:szCs w:val="21"/>
                <w:color w:val="auto"/>
              </w:rPr>
            </w:pPr>
          </w:p>
        </w:tc>
        <w:tc>
          <w:tcPr>
            <w:tcW w:w="760" w:type="dxa"/>
            <w:vAlign w:val="bottom"/>
            <w:tcBorders>
              <w:bottom w:val="single" w:sz="8" w:color="CCCCCC"/>
            </w:tcBorders>
            <w:gridSpan w:val="3"/>
            <w:shd w:val="clear" w:color="auto" w:fill="F2F2F2"/>
          </w:tcPr>
          <w:p>
            <w:pPr>
              <w:jc w:val="right"/>
              <w:ind w:right="20"/>
              <w:spacing w:after="0" w:line="250" w:lineRule="exact"/>
              <w:rPr>
                <w:sz w:val="20"/>
                <w:szCs w:val="20"/>
                <w:color w:val="auto"/>
              </w:rPr>
            </w:pPr>
            <w:r>
              <w:rPr>
                <w:rFonts w:ascii="Arial" w:cs="Arial" w:eastAsia="Arial" w:hAnsi="Arial"/>
                <w:sz w:val="13"/>
                <w:szCs w:val="13"/>
                <w:color w:val="auto"/>
              </w:rPr>
              <w:t>140,749</w:t>
            </w:r>
            <w:r>
              <w:rPr>
                <w:rFonts w:ascii="Arial" w:cs="Arial" w:eastAsia="Arial" w:hAnsi="Arial"/>
                <w:sz w:val="25"/>
                <w:szCs w:val="25"/>
                <w:color w:val="auto"/>
                <w:vertAlign w:val="subscript"/>
              </w:rPr>
              <w:t>​​ ​</w:t>
            </w:r>
          </w:p>
        </w:tc>
        <w:tc>
          <w:tcPr>
            <w:tcW w:w="16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14,403</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w w:val="98"/>
              </w:rPr>
              <w:t>Increase for Fair Value of Awards Granted During Year that Remain Unvested as of Year-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End</w:t>
            </w:r>
          </w:p>
        </w:tc>
        <w:tc>
          <w:tcPr>
            <w:tcW w:w="280" w:type="dxa"/>
            <w:vAlign w:val="bottom"/>
            <w:tcBorders>
              <w:bottom w:val="single" w:sz="8" w:color="CCCCCC"/>
            </w:tcBorders>
            <w:gridSpan w:val="3"/>
          </w:tcPr>
          <w:p>
            <w:pPr>
              <w:ind w:left="40"/>
              <w:spacing w:after="0" w:line="221" w:lineRule="exact"/>
              <w:rPr>
                <w:sz w:val="20"/>
                <w:szCs w:val="20"/>
                <w:color w:val="auto"/>
              </w:rPr>
            </w:pPr>
            <w:r>
              <w:rPr>
                <w:rFonts w:ascii="Arial" w:cs="Arial" w:eastAsia="Arial" w:hAnsi="Arial"/>
                <w:sz w:val="13"/>
                <w:szCs w:val="13"/>
                <w:color w:val="auto"/>
              </w:rPr>
              <w:t>​ ​ ​</w:t>
            </w:r>
            <w:r>
              <w:rPr>
                <w:rFonts w:ascii="Arial" w:cs="Arial" w:eastAsia="Arial" w:hAnsi="Arial"/>
                <w:sz w:val="25"/>
                <w:szCs w:val="25"/>
                <w:color w:val="auto"/>
                <w:vertAlign w:val="superscript"/>
              </w:rPr>
              <w:t>$</w:t>
            </w:r>
          </w:p>
        </w:tc>
        <w:tc>
          <w:tcPr>
            <w:tcW w:w="60" w:type="dxa"/>
            <w:vAlign w:val="bottom"/>
            <w:tcBorders>
              <w:bottom w:val="single" w:sz="8" w:color="CCCCCC"/>
            </w:tcBorders>
          </w:tcPr>
          <w:p>
            <w:pPr>
              <w:spacing w:after="0"/>
              <w:rPr>
                <w:sz w:val="19"/>
                <w:szCs w:val="19"/>
                <w:color w:val="auto"/>
              </w:rPr>
            </w:pPr>
          </w:p>
        </w:tc>
        <w:tc>
          <w:tcPr>
            <w:tcW w:w="68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9,382,862</w:t>
            </w:r>
            <w:r>
              <w:rPr>
                <w:rFonts w:ascii="Arial" w:cs="Arial" w:eastAsia="Arial" w:hAnsi="Arial"/>
                <w:sz w:val="25"/>
                <w:szCs w:val="25"/>
                <w:color w:val="auto"/>
                <w:vertAlign w:val="subscript"/>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CCCC"/>
            </w:tcBorders>
            <w:gridSpan w:val="2"/>
          </w:tcPr>
          <w:p>
            <w:pPr>
              <w:jc w:val="right"/>
              <w:spacing w:after="0" w:line="221"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700" w:type="dxa"/>
            <w:vAlign w:val="bottom"/>
            <w:tcBorders>
              <w:bottom w:val="single" w:sz="8" w:color="CCCCCC"/>
            </w:tcBorders>
            <w:gridSpan w:val="3"/>
          </w:tcPr>
          <w:p>
            <w:pPr>
              <w:jc w:val="right"/>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200" w:type="dxa"/>
            <w:vAlign w:val="bottom"/>
            <w:tcBorders>
              <w:bottom w:val="single" w:sz="8" w:color="CCCCCC"/>
            </w:tcBorders>
            <w:gridSpan w:val="2"/>
          </w:tcPr>
          <w:p>
            <w:pPr>
              <w:ind w:left="2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760" w:type="dxa"/>
            <w:vAlign w:val="bottom"/>
            <w:tcBorders>
              <w:bottom w:val="single" w:sz="8" w:color="CCCCCC"/>
            </w:tcBorders>
            <w:gridSpan w:val="3"/>
          </w:tcPr>
          <w:p>
            <w:pPr>
              <w:jc w:val="right"/>
              <w:ind w:right="20"/>
              <w:spacing w:after="0" w:line="221"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60" w:type="dxa"/>
            <w:vAlign w:val="bottom"/>
            <w:tcBorders>
              <w:bottom w:val="single" w:sz="8" w:color="CCCCCC"/>
            </w:tcBorders>
          </w:tcPr>
          <w:p>
            <w:pPr>
              <w:jc w:val="right"/>
              <w:spacing w:after="0" w:line="221"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1,305,346</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CCCC"/>
            </w:tcBorders>
            <w:gridSpan w:val="2"/>
            <w:shd w:val="clear" w:color="auto" w:fill="F2F2F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Fair Value of Awards Granted During Year that Vest During Year</w:t>
            </w:r>
          </w:p>
        </w:tc>
        <w:tc>
          <w:tcPr>
            <w:tcW w:w="280" w:type="dxa"/>
            <w:vAlign w:val="bottom"/>
            <w:tcBorders>
              <w:bottom w:val="single" w:sz="8" w:color="CCCCCC"/>
            </w:tcBorders>
            <w:gridSpan w:val="3"/>
            <w:shd w:val="clear" w:color="auto" w:fill="F2F2F2"/>
          </w:tcPr>
          <w:p>
            <w:pPr>
              <w:ind w:left="40"/>
              <w:spacing w:after="0" w:line="250" w:lineRule="exact"/>
              <w:rPr>
                <w:sz w:val="20"/>
                <w:szCs w:val="20"/>
                <w:color w:val="auto"/>
              </w:rPr>
            </w:pPr>
            <w:r>
              <w:rPr>
                <w:rFonts w:ascii="Arial" w:cs="Arial" w:eastAsia="Arial" w:hAnsi="Arial"/>
                <w:sz w:val="13"/>
                <w:szCs w:val="13"/>
                <w:color w:val="auto"/>
              </w:rPr>
              <w:t>​ ​ ​</w:t>
            </w:r>
            <w:r>
              <w:rPr>
                <w:rFonts w:ascii="Arial" w:cs="Arial" w:eastAsia="Arial" w:hAnsi="Arial"/>
                <w:sz w:val="25"/>
                <w:szCs w:val="25"/>
                <w:color w:val="auto"/>
                <w:vertAlign w:val="superscript"/>
              </w:rPr>
              <w:t>$</w:t>
            </w:r>
          </w:p>
        </w:tc>
        <w:tc>
          <w:tcPr>
            <w:tcW w:w="60" w:type="dxa"/>
            <w:vAlign w:val="bottom"/>
            <w:tcBorders>
              <w:bottom w:val="single" w:sz="8" w:color="CCCCCC"/>
            </w:tcBorders>
            <w:shd w:val="clear" w:color="auto" w:fill="F2F2F2"/>
          </w:tcPr>
          <w:p>
            <w:pPr>
              <w:spacing w:after="0"/>
              <w:rPr>
                <w:sz w:val="21"/>
                <w:szCs w:val="21"/>
                <w:color w:val="auto"/>
              </w:rPr>
            </w:pPr>
          </w:p>
        </w:tc>
        <w:tc>
          <w:tcPr>
            <w:tcW w:w="680" w:type="dxa"/>
            <w:vAlign w:val="bottom"/>
            <w:tcBorders>
              <w:bottom w:val="single" w:sz="8" w:color="CCCCCC"/>
            </w:tcBorders>
            <w:gridSpan w:val="2"/>
            <w:shd w:val="clear" w:color="auto" w:fill="F2F2F2"/>
          </w:tcPr>
          <w:p>
            <w:pPr>
              <w:jc w:val="right"/>
              <w:spacing w:after="0" w:line="250" w:lineRule="exact"/>
              <w:rPr>
                <w:sz w:val="20"/>
                <w:szCs w:val="20"/>
                <w:color w:val="auto"/>
              </w:rPr>
            </w:pPr>
            <w:r>
              <w:rPr>
                <w:rFonts w:ascii="Arial" w:cs="Arial" w:eastAsia="Arial" w:hAnsi="Arial"/>
                <w:sz w:val="13"/>
                <w:szCs w:val="13"/>
                <w:color w:val="auto"/>
              </w:rPr>
              <w:t>149,996</w:t>
            </w:r>
            <w:r>
              <w:rPr>
                <w:rFonts w:ascii="Arial" w:cs="Arial" w:eastAsia="Arial" w:hAnsi="Arial"/>
                <w:sz w:val="25"/>
                <w:szCs w:val="25"/>
                <w:color w:val="auto"/>
                <w:vertAlign w:val="subscript"/>
              </w:rPr>
              <w:t>​​</w:t>
            </w:r>
          </w:p>
        </w:tc>
        <w:tc>
          <w:tcPr>
            <w:tcW w:w="1000" w:type="dxa"/>
            <w:vAlign w:val="bottom"/>
            <w:tcBorders>
              <w:bottom w:val="single" w:sz="8" w:color="CCCCCC"/>
            </w:tcBorders>
            <w:gridSpan w:val="6"/>
            <w:shd w:val="clear" w:color="auto" w:fill="F2F2F2"/>
          </w:tcPr>
          <w:p>
            <w:pPr>
              <w:jc w:val="right"/>
              <w:spacing w:after="0" w:line="250"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$ 2,272,619 </w:t>
            </w:r>
            <w:r>
              <w:rPr>
                <w:rFonts w:ascii="Arial" w:cs="Arial" w:eastAsia="Arial" w:hAnsi="Arial"/>
                <w:sz w:val="25"/>
                <w:szCs w:val="25"/>
                <w:color w:val="auto"/>
                <w:vertAlign w:val="subscript"/>
              </w:rPr>
              <w:t>​​</w:t>
            </w:r>
          </w:p>
        </w:tc>
        <w:tc>
          <w:tcPr>
            <w:tcW w:w="200" w:type="dxa"/>
            <w:vAlign w:val="bottom"/>
            <w:tcBorders>
              <w:bottom w:val="single" w:sz="8" w:color="CCCCCC"/>
            </w:tcBorders>
            <w:gridSpan w:val="2"/>
            <w:shd w:val="clear" w:color="auto" w:fill="F2F2F2"/>
          </w:tcPr>
          <w:p>
            <w:pPr>
              <w:ind w:left="2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760" w:type="dxa"/>
            <w:vAlign w:val="bottom"/>
            <w:tcBorders>
              <w:bottom w:val="single" w:sz="8" w:color="CCCCCC"/>
            </w:tcBorders>
            <w:gridSpan w:val="3"/>
            <w:shd w:val="clear" w:color="auto" w:fill="F2F2F2"/>
          </w:tcPr>
          <w:p>
            <w:pPr>
              <w:jc w:val="right"/>
              <w:ind w:right="20"/>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p>
        </w:tc>
        <w:tc>
          <w:tcPr>
            <w:tcW w:w="160" w:type="dxa"/>
            <w:vAlign w:val="bottom"/>
            <w:tcBorders>
              <w:bottom w:val="single" w:sz="8" w:color="CCCCCC"/>
            </w:tcBorders>
            <w:shd w:val="clear" w:color="auto" w:fill="F2F2F2"/>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71,428</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CCCC"/>
            </w:tcBorders>
            <w:gridSpan w:val="2"/>
          </w:tcPr>
          <w:p>
            <w:pPr>
              <w:ind w:left="60"/>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Increase for Dividends Paid on Unvested Shares/Share Units &amp; Stock Options</w:t>
            </w:r>
          </w:p>
        </w:tc>
        <w:tc>
          <w:tcPr>
            <w:tcW w:w="280" w:type="dxa"/>
            <w:vAlign w:val="bottom"/>
            <w:tcBorders>
              <w:bottom w:val="single" w:sz="8" w:color="CCCCCC"/>
            </w:tcBorders>
            <w:gridSpan w:val="3"/>
          </w:tcPr>
          <w:p>
            <w:pPr>
              <w:ind w:left="40"/>
              <w:spacing w:after="0" w:line="250" w:lineRule="exact"/>
              <w:rPr>
                <w:sz w:val="20"/>
                <w:szCs w:val="20"/>
                <w:color w:val="auto"/>
              </w:rPr>
            </w:pPr>
            <w:r>
              <w:rPr>
                <w:rFonts w:ascii="Arial" w:cs="Arial" w:eastAsia="Arial" w:hAnsi="Arial"/>
                <w:sz w:val="13"/>
                <w:szCs w:val="13"/>
                <w:color w:val="auto"/>
              </w:rPr>
              <w:t>​ ​ ​</w:t>
            </w:r>
            <w:r>
              <w:rPr>
                <w:rFonts w:ascii="Arial" w:cs="Arial" w:eastAsia="Arial" w:hAnsi="Arial"/>
                <w:sz w:val="25"/>
                <w:szCs w:val="25"/>
                <w:color w:val="auto"/>
                <w:vertAlign w:val="superscript"/>
              </w:rPr>
              <w:t>$</w:t>
            </w:r>
          </w:p>
        </w:tc>
        <w:tc>
          <w:tcPr>
            <w:tcW w:w="60" w:type="dxa"/>
            <w:vAlign w:val="bottom"/>
            <w:tcBorders>
              <w:bottom w:val="single" w:sz="8" w:color="CCCCCC"/>
            </w:tcBorders>
          </w:tcPr>
          <w:p>
            <w:pPr>
              <w:spacing w:after="0"/>
              <w:rPr>
                <w:sz w:val="21"/>
                <w:szCs w:val="21"/>
                <w:color w:val="auto"/>
              </w:rPr>
            </w:pPr>
          </w:p>
        </w:tc>
        <w:tc>
          <w:tcPr>
            <w:tcW w:w="680" w:type="dxa"/>
            <w:vAlign w:val="bottom"/>
            <w:tcBorders>
              <w:bottom w:val="single" w:sz="8" w:color="CCCCCC"/>
            </w:tcBorders>
            <w:gridSpan w:val="2"/>
          </w:tcPr>
          <w:p>
            <w:pPr>
              <w:jc w:val="right"/>
              <w:spacing w:after="0" w:line="250" w:lineRule="exact"/>
              <w:rPr>
                <w:sz w:val="20"/>
                <w:szCs w:val="20"/>
                <w:color w:val="auto"/>
              </w:rPr>
            </w:pPr>
            <w:r>
              <w:rPr>
                <w:rFonts w:ascii="Arial" w:cs="Arial" w:eastAsia="Arial" w:hAnsi="Arial"/>
                <w:sz w:val="13"/>
                <w:szCs w:val="13"/>
                <w:color w:val="auto"/>
              </w:rPr>
              <w:t>237,061</w:t>
            </w:r>
            <w:r>
              <w:rPr>
                <w:rFonts w:ascii="Arial" w:cs="Arial" w:eastAsia="Arial" w:hAnsi="Arial"/>
                <w:sz w:val="25"/>
                <w:szCs w:val="25"/>
                <w:color w:val="auto"/>
                <w:vertAlign w:val="subscript"/>
              </w:rPr>
              <w:t>​​</w:t>
            </w:r>
          </w:p>
        </w:tc>
        <w:tc>
          <w:tcPr>
            <w:tcW w:w="300" w:type="dxa"/>
            <w:vAlign w:val="bottom"/>
            <w:tcBorders>
              <w:bottom w:val="single" w:sz="8" w:color="CCCCCC"/>
            </w:tcBorders>
            <w:gridSpan w:val="3"/>
          </w:tcPr>
          <w:p>
            <w:pPr>
              <w:ind w:left="40"/>
              <w:spacing w:after="0" w:line="25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700" w:type="dxa"/>
            <w:vAlign w:val="bottom"/>
            <w:tcBorders>
              <w:bottom w:val="single" w:sz="8" w:color="CCCCCC"/>
            </w:tcBorders>
            <w:gridSpan w:val="3"/>
          </w:tcPr>
          <w:p>
            <w:pPr>
              <w:jc w:val="right"/>
              <w:spacing w:after="0" w:line="25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160" w:type="dxa"/>
            <w:vAlign w:val="bottom"/>
            <w:tcBorders>
              <w:bottom w:val="single" w:sz="8" w:color="CCCCCC"/>
            </w:tcBorders>
          </w:tcPr>
          <w:p>
            <w:pPr>
              <w:ind w:left="20"/>
              <w:spacing w:after="0" w:line="250"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tcPr>
          <w:p>
            <w:pPr>
              <w:spacing w:after="0"/>
              <w:rPr>
                <w:sz w:val="21"/>
                <w:szCs w:val="21"/>
                <w:color w:val="auto"/>
              </w:rPr>
            </w:pPr>
          </w:p>
        </w:tc>
        <w:tc>
          <w:tcPr>
            <w:tcW w:w="760" w:type="dxa"/>
            <w:vAlign w:val="bottom"/>
            <w:tcBorders>
              <w:bottom w:val="single" w:sz="8" w:color="CCCCCC"/>
            </w:tcBorders>
            <w:gridSpan w:val="3"/>
          </w:tcPr>
          <w:p>
            <w:pPr>
              <w:jc w:val="right"/>
              <w:ind w:right="20"/>
              <w:spacing w:after="0" w:line="250" w:lineRule="exact"/>
              <w:rPr>
                <w:sz w:val="20"/>
                <w:szCs w:val="20"/>
                <w:color w:val="auto"/>
              </w:rPr>
            </w:pPr>
            <w:r>
              <w:rPr>
                <w:rFonts w:ascii="Arial" w:cs="Arial" w:eastAsia="Arial" w:hAnsi="Arial"/>
                <w:sz w:val="13"/>
                <w:szCs w:val="13"/>
                <w:color w:val="auto"/>
              </w:rPr>
              <w:t>528,003</w:t>
            </w:r>
            <w:r>
              <w:rPr>
                <w:rFonts w:ascii="Arial" w:cs="Arial" w:eastAsia="Arial" w:hAnsi="Arial"/>
                <w:sz w:val="25"/>
                <w:szCs w:val="25"/>
                <w:color w:val="auto"/>
                <w:vertAlign w:val="subscript"/>
              </w:rPr>
              <w:t>​​ ​</w:t>
            </w:r>
          </w:p>
        </w:tc>
        <w:tc>
          <w:tcPr>
            <w:tcW w:w="160" w:type="dxa"/>
            <w:vAlign w:val="bottom"/>
            <w:tcBorders>
              <w:bottom w:val="single" w:sz="8" w:color="CCCCCC"/>
            </w:tcBorders>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79,014</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80" w:type="dxa"/>
            <w:vAlign w:val="bottom"/>
            <w:shd w:val="clear" w:color="auto" w:fill="F2F2F2"/>
          </w:tcPr>
          <w:p>
            <w:pPr>
              <w:spacing w:after="0"/>
              <w:rPr>
                <w:sz w:val="15"/>
                <w:szCs w:val="15"/>
                <w:color w:val="auto"/>
              </w:rPr>
            </w:pPr>
          </w:p>
        </w:tc>
        <w:tc>
          <w:tcPr>
            <w:tcW w:w="5120" w:type="dxa"/>
            <w:vAlign w:val="bottom"/>
            <w:shd w:val="clear" w:color="auto" w:fill="F2F2F2"/>
          </w:tcPr>
          <w:p>
            <w:pPr>
              <w:ind w:left="20"/>
              <w:spacing w:after="0"/>
              <w:rPr>
                <w:sz w:val="20"/>
                <w:szCs w:val="20"/>
                <w:color w:val="auto"/>
              </w:rPr>
            </w:pPr>
            <w:r>
              <w:rPr>
                <w:rFonts w:ascii="Arial" w:cs="Arial" w:eastAsia="Arial" w:hAnsi="Arial"/>
                <w:sz w:val="13"/>
                <w:szCs w:val="13"/>
                <w:color w:val="auto"/>
                <w:w w:val="95"/>
              </w:rPr>
              <w:t>Increase/Deduction for Change in Fair Value from Prior Year-End to Vesting Date of Awards</w:t>
            </w:r>
          </w:p>
        </w:tc>
        <w:tc>
          <w:tcPr>
            <w:tcW w:w="8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60" w:type="dxa"/>
            <w:vAlign w:val="bottom"/>
            <w:shd w:val="clear" w:color="auto" w:fill="F2F2F2"/>
          </w:tcPr>
          <w:p>
            <w:pPr>
              <w:spacing w:after="0"/>
              <w:rPr>
                <w:sz w:val="15"/>
                <w:szCs w:val="15"/>
                <w:color w:val="auto"/>
              </w:rPr>
            </w:pPr>
          </w:p>
        </w:tc>
        <w:tc>
          <w:tcPr>
            <w:tcW w:w="42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6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shd w:val="clear" w:color="auto" w:fill="F2F2F2"/>
          </w:tcPr>
          <w:p>
            <w:pPr>
              <w:ind w:left="140"/>
              <w:spacing w:after="0" w:line="126" w:lineRule="exact"/>
              <w:rPr>
                <w:sz w:val="20"/>
                <w:szCs w:val="20"/>
                <w:color w:val="auto"/>
              </w:rPr>
            </w:pPr>
            <w:r>
              <w:rPr>
                <w:rFonts w:ascii="Arial" w:cs="Arial" w:eastAsia="Arial" w:hAnsi="Arial"/>
                <w:sz w:val="13"/>
                <w:szCs w:val="13"/>
                <w:color w:val="auto"/>
              </w:rPr>
              <w:t>Granted Prior to Year that Vest During Year</w:t>
            </w:r>
          </w:p>
        </w:tc>
        <w:tc>
          <w:tcPr>
            <w:tcW w:w="280" w:type="dxa"/>
            <w:vAlign w:val="bottom"/>
            <w:gridSpan w:val="3"/>
            <w:vMerge w:val="restart"/>
            <w:shd w:val="clear" w:color="auto" w:fill="F2F2F2"/>
          </w:tcPr>
          <w:p>
            <w:pPr>
              <w:ind w:left="40"/>
              <w:spacing w:after="0"/>
              <w:rPr>
                <w:sz w:val="20"/>
                <w:szCs w:val="20"/>
                <w:color w:val="auto"/>
              </w:rPr>
            </w:pPr>
            <w:r>
              <w:rPr>
                <w:rFonts w:ascii="Arial" w:cs="Arial" w:eastAsia="Arial" w:hAnsi="Arial"/>
                <w:sz w:val="13"/>
                <w:szCs w:val="13"/>
                <w:color w:val="auto"/>
              </w:rPr>
              <w:t>​ ​ ​</w:t>
            </w:r>
          </w:p>
        </w:tc>
        <w:tc>
          <w:tcPr>
            <w:tcW w:w="60" w:type="dxa"/>
            <w:vAlign w:val="bottom"/>
            <w:shd w:val="clear" w:color="auto" w:fill="F2F2F2"/>
          </w:tcPr>
          <w:p>
            <w:pPr>
              <w:spacing w:after="0" w:line="126" w:lineRule="exact"/>
              <w:rPr>
                <w:sz w:val="20"/>
                <w:szCs w:val="20"/>
                <w:color w:val="auto"/>
              </w:rPr>
            </w:pPr>
            <w:r>
              <w:rPr>
                <w:rFonts w:ascii="Arial" w:cs="Arial" w:eastAsia="Arial" w:hAnsi="Arial"/>
                <w:sz w:val="13"/>
                <w:szCs w:val="13"/>
                <w:color w:val="auto"/>
              </w:rPr>
              <w:t>​</w:t>
            </w:r>
          </w:p>
        </w:tc>
        <w:tc>
          <w:tcPr>
            <w:tcW w:w="420" w:type="dxa"/>
            <w:vAlign w:val="bottom"/>
            <w:shd w:val="clear" w:color="auto" w:fill="F2F2F2"/>
          </w:tcPr>
          <w:p>
            <w:pPr>
              <w:spacing w:after="0"/>
              <w:rPr>
                <w:sz w:val="10"/>
                <w:szCs w:val="10"/>
                <w:color w:val="auto"/>
              </w:rPr>
            </w:pPr>
          </w:p>
        </w:tc>
        <w:tc>
          <w:tcPr>
            <w:tcW w:w="260" w:type="dxa"/>
            <w:vAlign w:val="bottom"/>
            <w:shd w:val="clear" w:color="auto" w:fill="F2F2F2"/>
          </w:tcPr>
          <w:p>
            <w:pPr>
              <w:jc w:val="right"/>
              <w:ind w:right="41"/>
              <w:spacing w:after="0" w:line="126" w:lineRule="exact"/>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 ​</w:t>
            </w:r>
          </w:p>
        </w:tc>
        <w:tc>
          <w:tcPr>
            <w:tcW w:w="8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rPr>
              <w:t>​</w:t>
            </w:r>
          </w:p>
        </w:tc>
        <w:tc>
          <w:tcPr>
            <w:tcW w:w="54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rPr>
              <w:t>—</w:t>
            </w:r>
          </w:p>
        </w:tc>
        <w:tc>
          <w:tcPr>
            <w:tcW w:w="40" w:type="dxa"/>
            <w:vAlign w:val="bottom"/>
            <w:shd w:val="clear" w:color="auto" w:fill="F2F2F2"/>
          </w:tcPr>
          <w:p>
            <w:pPr>
              <w:spacing w:after="0"/>
              <w:rPr>
                <w:sz w:val="10"/>
                <w:szCs w:val="10"/>
                <w:color w:val="auto"/>
              </w:rPr>
            </w:pPr>
          </w:p>
        </w:tc>
        <w:tc>
          <w:tcPr>
            <w:tcW w:w="1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F2F2F2"/>
          </w:tcPr>
          <w:p>
            <w:pPr>
              <w:spacing w:after="0"/>
              <w:rPr>
                <w:sz w:val="10"/>
                <w:szCs w:val="10"/>
                <w:color w:val="auto"/>
              </w:rPr>
            </w:pPr>
          </w:p>
        </w:tc>
        <w:tc>
          <w:tcPr>
            <w:tcW w:w="660" w:type="dxa"/>
            <w:vAlign w:val="bottom"/>
            <w:gridSpan w:val="2"/>
            <w:shd w:val="clear" w:color="auto" w:fill="F2F2F2"/>
          </w:tcPr>
          <w:p>
            <w:pPr>
              <w:jc w:val="right"/>
              <w:spacing w:after="0" w:line="126" w:lineRule="exact"/>
              <w:rPr>
                <w:sz w:val="20"/>
                <w:szCs w:val="20"/>
                <w:color w:val="auto"/>
              </w:rPr>
            </w:pPr>
            <w:r>
              <w:rPr>
                <w:rFonts w:ascii="Arial" w:cs="Arial" w:eastAsia="Arial" w:hAnsi="Arial"/>
                <w:sz w:val="13"/>
                <w:szCs w:val="13"/>
                <w:color w:val="auto"/>
              </w:rPr>
              <w:t>(777,086)</w:t>
            </w:r>
          </w:p>
        </w:tc>
        <w:tc>
          <w:tcPr>
            <w:tcW w:w="100" w:type="dxa"/>
            <w:vAlign w:val="bottom"/>
            <w:shd w:val="clear" w:color="auto" w:fill="F2F2F2"/>
          </w:tcPr>
          <w:p>
            <w:pPr>
              <w:spacing w:after="0"/>
              <w:rPr>
                <w:sz w:val="10"/>
                <w:szCs w:val="10"/>
                <w:color w:val="auto"/>
              </w:rPr>
            </w:pPr>
          </w:p>
        </w:tc>
        <w:tc>
          <w:tcPr>
            <w:tcW w:w="16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rPr>
              <w:t>$</w:t>
            </w:r>
          </w:p>
        </w:tc>
        <w:tc>
          <w:tcPr>
            <w:tcW w:w="660" w:type="dxa"/>
            <w:vAlign w:val="bottom"/>
            <w:shd w:val="clear" w:color="auto" w:fill="F2F2F2"/>
          </w:tcPr>
          <w:p>
            <w:pPr>
              <w:jc w:val="right"/>
              <w:spacing w:after="0" w:line="126" w:lineRule="exact"/>
              <w:rPr>
                <w:sz w:val="20"/>
                <w:szCs w:val="20"/>
                <w:color w:val="auto"/>
              </w:rPr>
            </w:pPr>
            <w:r>
              <w:rPr>
                <w:rFonts w:ascii="Arial" w:cs="Arial" w:eastAsia="Arial" w:hAnsi="Arial"/>
                <w:sz w:val="13"/>
                <w:szCs w:val="13"/>
                <w:color w:val="auto"/>
              </w:rPr>
              <w:t>(82,302)</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5120" w:type="dxa"/>
            <w:vAlign w:val="bottom"/>
            <w:tcBorders>
              <w:bottom w:val="single" w:sz="8" w:color="CCCCCC"/>
            </w:tcBorders>
            <w:shd w:val="clear" w:color="auto" w:fill="F2F2F2"/>
          </w:tcPr>
          <w:p>
            <w:pPr>
              <w:spacing w:after="0"/>
              <w:rPr>
                <w:sz w:val="8"/>
                <w:szCs w:val="8"/>
                <w:color w:val="auto"/>
              </w:rPr>
            </w:pPr>
          </w:p>
        </w:tc>
        <w:tc>
          <w:tcPr>
            <w:tcW w:w="280" w:type="dxa"/>
            <w:vAlign w:val="bottom"/>
            <w:tcBorders>
              <w:bottom w:val="single" w:sz="8" w:color="CCCCCC"/>
            </w:tcBorders>
            <w:gridSpan w:val="3"/>
            <w:vMerge w:val="continue"/>
            <w:shd w:val="clear" w:color="auto" w:fill="F2F2F2"/>
          </w:tcPr>
          <w:p>
            <w:pPr>
              <w:spacing w:after="0"/>
              <w:rPr>
                <w:sz w:val="8"/>
                <w:szCs w:val="8"/>
                <w:color w:val="auto"/>
              </w:rPr>
            </w:pPr>
          </w:p>
        </w:tc>
        <w:tc>
          <w:tcPr>
            <w:tcW w:w="60" w:type="dxa"/>
            <w:vAlign w:val="bottom"/>
            <w:tcBorders>
              <w:bottom w:val="single" w:sz="8" w:color="CCCCCC"/>
            </w:tcBorders>
            <w:shd w:val="clear" w:color="auto" w:fill="F2F2F2"/>
          </w:tcPr>
          <w:p>
            <w:pPr>
              <w:spacing w:after="0"/>
              <w:rPr>
                <w:sz w:val="8"/>
                <w:szCs w:val="8"/>
                <w:color w:val="auto"/>
              </w:rPr>
            </w:pPr>
          </w:p>
        </w:tc>
        <w:tc>
          <w:tcPr>
            <w:tcW w:w="420" w:type="dxa"/>
            <w:vAlign w:val="bottom"/>
            <w:tcBorders>
              <w:bottom w:val="single" w:sz="8" w:color="CCCCCC"/>
            </w:tcBorders>
            <w:shd w:val="clear" w:color="auto" w:fill="F2F2F2"/>
          </w:tcPr>
          <w:p>
            <w:pPr>
              <w:spacing w:after="0"/>
              <w:rPr>
                <w:sz w:val="8"/>
                <w:szCs w:val="8"/>
                <w:color w:val="auto"/>
              </w:rPr>
            </w:pPr>
          </w:p>
        </w:tc>
        <w:tc>
          <w:tcPr>
            <w:tcW w:w="2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CCCC"/>
            </w:tcBorders>
            <w:gridSpan w:val="2"/>
            <w:vMerge w:val="continue"/>
            <w:shd w:val="clear" w:color="auto" w:fill="F2F2F2"/>
          </w:tcPr>
          <w:p>
            <w:pPr>
              <w:spacing w:after="0"/>
              <w:rPr>
                <w:sz w:val="8"/>
                <w:szCs w:val="8"/>
                <w:color w:val="auto"/>
              </w:rPr>
            </w:pPr>
          </w:p>
        </w:tc>
        <w:tc>
          <w:tcPr>
            <w:tcW w:w="80" w:type="dxa"/>
            <w:vAlign w:val="bottom"/>
            <w:tcBorders>
              <w:bottom w:val="single" w:sz="8" w:color="CCCCCC"/>
            </w:tcBorders>
            <w:shd w:val="clear" w:color="auto" w:fill="F2F2F2"/>
          </w:tcPr>
          <w:p>
            <w:pPr>
              <w:spacing w:after="0"/>
              <w:rPr>
                <w:sz w:val="8"/>
                <w:szCs w:val="8"/>
                <w:color w:val="auto"/>
              </w:rPr>
            </w:pPr>
          </w:p>
        </w:tc>
        <w:tc>
          <w:tcPr>
            <w:tcW w:w="540" w:type="dxa"/>
            <w:vAlign w:val="bottom"/>
            <w:tcBorders>
              <w:bottom w:val="single" w:sz="8" w:color="CCCCCC"/>
            </w:tcBorders>
            <w:shd w:val="clear" w:color="auto" w:fill="F2F2F2"/>
          </w:tcPr>
          <w:p>
            <w:pPr>
              <w:spacing w:after="0"/>
              <w:rPr>
                <w:sz w:val="8"/>
                <w:szCs w:val="8"/>
                <w:color w:val="auto"/>
              </w:rPr>
            </w:pPr>
          </w:p>
        </w:tc>
        <w:tc>
          <w:tcPr>
            <w:tcW w:w="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vMerge w:val="continue"/>
            <w:shd w:val="clear" w:color="auto" w:fill="F2F2F2"/>
          </w:tcPr>
          <w:p>
            <w:pPr>
              <w:spacing w:after="0"/>
              <w:rPr>
                <w:sz w:val="8"/>
                <w:szCs w:val="8"/>
                <w:color w:val="auto"/>
              </w:rPr>
            </w:pPr>
          </w:p>
        </w:tc>
        <w:tc>
          <w:tcPr>
            <w:tcW w:w="160" w:type="dxa"/>
            <w:vAlign w:val="bottom"/>
            <w:tcBorders>
              <w:bottom w:val="single" w:sz="8" w:color="CCCCCC"/>
            </w:tcBorders>
            <w:shd w:val="clear" w:color="auto" w:fill="F2F2F2"/>
          </w:tcPr>
          <w:p>
            <w:pPr>
              <w:ind w:left="20"/>
              <w:spacing w:after="0" w:line="95" w:lineRule="exact"/>
              <w:rPr>
                <w:sz w:val="20"/>
                <w:szCs w:val="20"/>
                <w:color w:val="auto"/>
              </w:rPr>
            </w:pPr>
            <w:r>
              <w:rPr>
                <w:rFonts w:ascii="Arial" w:cs="Arial" w:eastAsia="Arial" w:hAnsi="Arial"/>
                <w:sz w:val="10"/>
                <w:szCs w:val="10"/>
                <w:color w:val="auto"/>
              </w:rPr>
              <w:t>​ ​</w:t>
            </w:r>
          </w:p>
        </w:tc>
        <w:tc>
          <w:tcPr>
            <w:tcW w:w="40" w:type="dxa"/>
            <w:vAlign w:val="bottom"/>
            <w:tcBorders>
              <w:bottom w:val="single" w:sz="8" w:color="CCCCCC"/>
            </w:tcBorders>
            <w:shd w:val="clear" w:color="auto" w:fill="F2F2F2"/>
          </w:tcPr>
          <w:p>
            <w:pPr>
              <w:spacing w:after="0"/>
              <w:rPr>
                <w:sz w:val="8"/>
                <w:szCs w:val="8"/>
                <w:color w:val="auto"/>
              </w:rPr>
            </w:pP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gridSpan w:val="2"/>
            <w:shd w:val="clear" w:color="auto" w:fill="F2F2F2"/>
          </w:tcPr>
          <w:p>
            <w:pPr>
              <w:jc w:val="right"/>
              <w:ind w:right="20"/>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Increase/Deduction for Change in Fair Value from Prior Year-End to Current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120" w:type="dxa"/>
            <w:vAlign w:val="bottom"/>
          </w:tcPr>
          <w:p>
            <w:pPr>
              <w:ind w:left="140"/>
              <w:spacing w:after="0"/>
              <w:rPr>
                <w:sz w:val="20"/>
                <w:szCs w:val="20"/>
                <w:color w:val="auto"/>
              </w:rPr>
            </w:pPr>
            <w:r>
              <w:rPr>
                <w:rFonts w:ascii="Arial" w:cs="Arial" w:eastAsia="Arial" w:hAnsi="Arial"/>
                <w:sz w:val="13"/>
                <w:szCs w:val="13"/>
                <w:color w:val="auto"/>
                <w:w w:val="94"/>
              </w:rPr>
              <w:t>Year-End of Awards Granted Prior to Year that were Outstanding and Unvested as of Year-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tcPr>
          <w:p>
            <w:pPr>
              <w:ind w:left="140"/>
              <w:spacing w:after="0" w:line="126" w:lineRule="exact"/>
              <w:rPr>
                <w:sz w:val="20"/>
                <w:szCs w:val="20"/>
                <w:color w:val="auto"/>
              </w:rPr>
            </w:pPr>
            <w:r>
              <w:rPr>
                <w:rFonts w:ascii="Arial" w:cs="Arial" w:eastAsia="Arial" w:hAnsi="Arial"/>
                <w:sz w:val="13"/>
                <w:szCs w:val="13"/>
                <w:color w:val="auto"/>
              </w:rPr>
              <w:t>End</w:t>
            </w:r>
          </w:p>
        </w:tc>
        <w:tc>
          <w:tcPr>
            <w:tcW w:w="280" w:type="dxa"/>
            <w:vAlign w:val="bottom"/>
            <w:gridSpan w:val="3"/>
            <w:vMerge w:val="restart"/>
          </w:tcPr>
          <w:p>
            <w:pPr>
              <w:ind w:left="40"/>
              <w:spacing w:after="0"/>
              <w:rPr>
                <w:sz w:val="20"/>
                <w:szCs w:val="20"/>
                <w:color w:val="auto"/>
              </w:rPr>
            </w:pPr>
            <w:r>
              <w:rPr>
                <w:rFonts w:ascii="Arial" w:cs="Arial" w:eastAsia="Arial" w:hAnsi="Arial"/>
                <w:sz w:val="13"/>
                <w:szCs w:val="13"/>
                <w:color w:val="auto"/>
              </w:rPr>
              <w:t>​ ​ ​</w:t>
            </w:r>
          </w:p>
        </w:tc>
        <w:tc>
          <w:tcPr>
            <w:tcW w:w="60" w:type="dxa"/>
            <w:vAlign w:val="bottom"/>
          </w:tcPr>
          <w:p>
            <w:pPr>
              <w:spacing w:after="0" w:line="126"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260" w:type="dxa"/>
            <w:vAlign w:val="bottom"/>
          </w:tcPr>
          <w:p>
            <w:pPr>
              <w:jc w:val="right"/>
              <w:ind w:right="41"/>
              <w:spacing w:after="0" w:line="126" w:lineRule="exact"/>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26"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2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4"/>
          </w:tcPr>
          <w:p>
            <w:pPr>
              <w:ind w:left="100"/>
              <w:spacing w:after="0" w:line="126" w:lineRule="exact"/>
              <w:rPr>
                <w:sz w:val="20"/>
                <w:szCs w:val="20"/>
                <w:color w:val="auto"/>
              </w:rPr>
            </w:pPr>
            <w:r>
              <w:rPr>
                <w:rFonts w:ascii="Arial" w:cs="Arial" w:eastAsia="Arial" w:hAnsi="Arial"/>
                <w:sz w:val="13"/>
                <w:szCs w:val="13"/>
                <w:color w:val="auto"/>
              </w:rPr>
              <w:t>$(1,283,285)</w:t>
            </w:r>
          </w:p>
        </w:tc>
        <w:tc>
          <w:tcPr>
            <w:tcW w:w="100" w:type="dxa"/>
            <w:vAlign w:val="bottom"/>
          </w:tcPr>
          <w:p>
            <w:pPr>
              <w:spacing w:after="0"/>
              <w:rPr>
                <w:sz w:val="10"/>
                <w:szCs w:val="10"/>
                <w:color w:val="auto"/>
              </w:rPr>
            </w:pPr>
          </w:p>
        </w:tc>
        <w:tc>
          <w:tcPr>
            <w:tcW w:w="160" w:type="dxa"/>
            <w:vAlign w:val="bottom"/>
          </w:tcPr>
          <w:p>
            <w:pPr>
              <w:jc w:val="right"/>
              <w:spacing w:after="0" w:line="12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(117,485)</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80" w:type="dxa"/>
            <w:vAlign w:val="bottom"/>
            <w:tcBorders>
              <w:bottom w:val="single" w:sz="8" w:color="CCCCCC"/>
            </w:tcBorders>
            <w:vMerge w:val="continue"/>
          </w:tcPr>
          <w:p>
            <w:pPr>
              <w:spacing w:after="0"/>
              <w:rPr>
                <w:sz w:val="8"/>
                <w:szCs w:val="8"/>
                <w:color w:val="auto"/>
              </w:rPr>
            </w:pPr>
          </w:p>
        </w:tc>
        <w:tc>
          <w:tcPr>
            <w:tcW w:w="512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gridSpan w:val="3"/>
            <w:vMerge w:val="continue"/>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420" w:type="dxa"/>
            <w:vAlign w:val="bottom"/>
            <w:tcBorders>
              <w:bottom w:val="single" w:sz="8" w:color="CCCCCC"/>
            </w:tcBorders>
          </w:tcPr>
          <w:p>
            <w:pPr>
              <w:spacing w:after="0"/>
              <w:rPr>
                <w:sz w:val="8"/>
                <w:szCs w:val="8"/>
                <w:color w:val="auto"/>
              </w:rPr>
            </w:pPr>
          </w:p>
        </w:tc>
        <w:tc>
          <w:tcPr>
            <w:tcW w:w="26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CCCC"/>
            </w:tcBorders>
            <w:gridSpan w:val="2"/>
            <w:vMerge w:val="continue"/>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5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vMerge w:val="continue"/>
          </w:tcPr>
          <w:p>
            <w:pPr>
              <w:spacing w:after="0"/>
              <w:rPr>
                <w:sz w:val="8"/>
                <w:szCs w:val="8"/>
                <w:color w:val="auto"/>
              </w:rPr>
            </w:pPr>
          </w:p>
        </w:tc>
        <w:tc>
          <w:tcPr>
            <w:tcW w:w="160" w:type="dxa"/>
            <w:vAlign w:val="bottom"/>
            <w:tcBorders>
              <w:bottom w:val="single" w:sz="8" w:color="CCCCCC"/>
            </w:tcBorders>
          </w:tcPr>
          <w:p>
            <w:pPr>
              <w:ind w:left="20"/>
              <w:spacing w:after="0" w:line="95" w:lineRule="exact"/>
              <w:rPr>
                <w:sz w:val="20"/>
                <w:szCs w:val="20"/>
                <w:color w:val="auto"/>
              </w:rPr>
            </w:pPr>
            <w:r>
              <w:rPr>
                <w:rFonts w:ascii="Arial" w:cs="Arial" w:eastAsia="Arial" w:hAnsi="Arial"/>
                <w:sz w:val="10"/>
                <w:szCs w:val="10"/>
                <w:color w:val="auto"/>
              </w:rPr>
              <w:t>​ ​</w:t>
            </w:r>
          </w:p>
        </w:tc>
        <w:tc>
          <w:tcPr>
            <w:tcW w:w="40" w:type="dxa"/>
            <w:vAlign w:val="bottom"/>
            <w:tcBorders>
              <w:bottom w:val="single" w:sz="8" w:color="CCCCCC"/>
            </w:tcBorders>
          </w:tcPr>
          <w:p>
            <w:pPr>
              <w:spacing w:after="0"/>
              <w:rPr>
                <w:sz w:val="8"/>
                <w:szCs w:val="8"/>
                <w:color w:val="auto"/>
              </w:rPr>
            </w:pPr>
          </w:p>
        </w:tc>
        <w:tc>
          <w:tcPr>
            <w:tcW w:w="5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gridSpan w:val="2"/>
          </w:tcPr>
          <w:p>
            <w:pPr>
              <w:jc w:val="right"/>
              <w:ind w:right="20"/>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CCCCCC"/>
            </w:tcBorders>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 w:type="dxa"/>
            <w:vAlign w:val="bottom"/>
            <w:vMerge w:val="restart"/>
            <w:shd w:val="clear" w:color="auto" w:fill="F2F2F2"/>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shd w:val="clear" w:color="auto" w:fill="F2F2F2"/>
          </w:tcPr>
          <w:p>
            <w:pPr>
              <w:ind w:left="20"/>
              <w:spacing w:after="0"/>
              <w:rPr>
                <w:sz w:val="20"/>
                <w:szCs w:val="20"/>
                <w:color w:val="auto"/>
              </w:rPr>
            </w:pPr>
            <w:r>
              <w:rPr>
                <w:rFonts w:ascii="Arial" w:cs="Arial" w:eastAsia="Arial" w:hAnsi="Arial"/>
                <w:sz w:val="13"/>
                <w:szCs w:val="13"/>
                <w:color w:val="auto"/>
              </w:rPr>
              <w:t>Deduction of Fair Value of Prior Year Awards Forfeited During the Year</w:t>
            </w:r>
          </w:p>
        </w:tc>
        <w:tc>
          <w:tcPr>
            <w:tcW w:w="280" w:type="dxa"/>
            <w:vAlign w:val="bottom"/>
            <w:gridSpan w:val="3"/>
            <w:vMerge w:val="restart"/>
            <w:shd w:val="clear" w:color="auto" w:fill="F2F2F2"/>
          </w:tcPr>
          <w:p>
            <w:pPr>
              <w:ind w:left="40"/>
              <w:spacing w:after="0"/>
              <w:rPr>
                <w:sz w:val="20"/>
                <w:szCs w:val="20"/>
                <w:color w:val="auto"/>
              </w:rPr>
            </w:pPr>
            <w:r>
              <w:rPr>
                <w:rFonts w:ascii="Arial" w:cs="Arial" w:eastAsia="Arial" w:hAnsi="Arial"/>
                <w:sz w:val="13"/>
                <w:szCs w:val="13"/>
                <w:color w:val="auto"/>
              </w:rPr>
              <w:t>​ ​ ​</w:t>
            </w:r>
          </w:p>
        </w:tc>
        <w:tc>
          <w:tcPr>
            <w:tcW w:w="60" w:type="dxa"/>
            <w:vAlign w:val="bottom"/>
            <w:shd w:val="clear" w:color="auto" w:fill="F2F2F2"/>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F2F2F2"/>
          </w:tcPr>
          <w:p>
            <w:pPr>
              <w:spacing w:after="0"/>
              <w:rPr>
                <w:sz w:val="13"/>
                <w:szCs w:val="13"/>
                <w:color w:val="auto"/>
              </w:rPr>
            </w:pPr>
          </w:p>
        </w:tc>
        <w:tc>
          <w:tcPr>
            <w:tcW w:w="260" w:type="dxa"/>
            <w:vAlign w:val="bottom"/>
            <w:shd w:val="clear" w:color="auto" w:fill="F2F2F2"/>
          </w:tcPr>
          <w:p>
            <w:pPr>
              <w:jc w:val="right"/>
              <w:ind w:right="41"/>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F2F2F2"/>
          </w:tcPr>
          <w:p>
            <w:pPr>
              <w:ind w:left="40"/>
              <w:spacing w:after="0"/>
              <w:rPr>
                <w:sz w:val="20"/>
                <w:szCs w:val="20"/>
                <w:color w:val="auto"/>
              </w:rPr>
            </w:pPr>
            <w:r>
              <w:rPr>
                <w:rFonts w:ascii="Arial" w:cs="Arial" w:eastAsia="Arial" w:hAnsi="Arial"/>
                <w:sz w:val="13"/>
                <w:szCs w:val="13"/>
                <w:color w:val="auto"/>
              </w:rPr>
              <w:t>​ ​</w:t>
            </w:r>
          </w:p>
        </w:tc>
        <w:tc>
          <w:tcPr>
            <w:tcW w:w="8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F2F2F2"/>
          </w:tcPr>
          <w:p>
            <w:pPr>
              <w:spacing w:after="0"/>
              <w:rPr>
                <w:sz w:val="13"/>
                <w:szCs w:val="13"/>
                <w:color w:val="auto"/>
              </w:rPr>
            </w:pPr>
          </w:p>
        </w:tc>
        <w:tc>
          <w:tcPr>
            <w:tcW w:w="12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F2F2F2"/>
          </w:tcPr>
          <w:p>
            <w:pPr>
              <w:spacing w:after="0"/>
              <w:rPr>
                <w:sz w:val="13"/>
                <w:szCs w:val="13"/>
                <w:color w:val="auto"/>
              </w:rPr>
            </w:pPr>
          </w:p>
        </w:tc>
        <w:tc>
          <w:tcPr>
            <w:tcW w:w="66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(568,399)</w:t>
            </w:r>
          </w:p>
        </w:tc>
        <w:tc>
          <w:tcPr>
            <w:tcW w:w="100" w:type="dxa"/>
            <w:vAlign w:val="bottom"/>
            <w:shd w:val="clear" w:color="auto" w:fill="F2F2F2"/>
          </w:tcPr>
          <w:p>
            <w:pPr>
              <w:spacing w:after="0"/>
              <w:rPr>
                <w:sz w:val="13"/>
                <w:szCs w:val="13"/>
                <w:color w:val="auto"/>
              </w:rPr>
            </w:pPr>
          </w:p>
        </w:tc>
        <w:tc>
          <w:tcPr>
            <w:tcW w:w="1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(212,986)</w:t>
            </w:r>
          </w:p>
        </w:tc>
        <w:tc>
          <w:tcPr>
            <w:tcW w:w="100" w:type="dxa"/>
            <w:vAlign w:val="bottom"/>
            <w:vMerge w:val="restart"/>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80" w:type="dxa"/>
            <w:vAlign w:val="bottom"/>
            <w:tcBorders>
              <w:bottom w:val="single" w:sz="8" w:color="CCCCCC"/>
            </w:tcBorders>
            <w:vMerge w:val="continue"/>
            <w:shd w:val="clear" w:color="auto" w:fill="F2F2F2"/>
          </w:tcPr>
          <w:p>
            <w:pPr>
              <w:spacing w:after="0"/>
              <w:rPr>
                <w:sz w:val="8"/>
                <w:szCs w:val="8"/>
                <w:color w:val="auto"/>
              </w:rPr>
            </w:pPr>
          </w:p>
        </w:tc>
        <w:tc>
          <w:tcPr>
            <w:tcW w:w="5120" w:type="dxa"/>
            <w:vAlign w:val="bottom"/>
            <w:tcBorders>
              <w:bottom w:val="single" w:sz="8" w:color="CCCCCC"/>
            </w:tcBorders>
            <w:shd w:val="clear" w:color="auto" w:fill="F2F2F2"/>
          </w:tcPr>
          <w:p>
            <w:pPr>
              <w:spacing w:after="0"/>
              <w:rPr>
                <w:sz w:val="8"/>
                <w:szCs w:val="8"/>
                <w:color w:val="auto"/>
              </w:rPr>
            </w:pPr>
          </w:p>
        </w:tc>
        <w:tc>
          <w:tcPr>
            <w:tcW w:w="280" w:type="dxa"/>
            <w:vAlign w:val="bottom"/>
            <w:tcBorders>
              <w:bottom w:val="single" w:sz="8" w:color="CCCCCC"/>
            </w:tcBorders>
            <w:gridSpan w:val="3"/>
            <w:vMerge w:val="continue"/>
            <w:shd w:val="clear" w:color="auto" w:fill="F2F2F2"/>
          </w:tcPr>
          <w:p>
            <w:pPr>
              <w:spacing w:after="0"/>
              <w:rPr>
                <w:sz w:val="8"/>
                <w:szCs w:val="8"/>
                <w:color w:val="auto"/>
              </w:rPr>
            </w:pPr>
          </w:p>
        </w:tc>
        <w:tc>
          <w:tcPr>
            <w:tcW w:w="60" w:type="dxa"/>
            <w:vAlign w:val="bottom"/>
            <w:tcBorders>
              <w:bottom w:val="single" w:sz="8" w:color="CCCCCC"/>
            </w:tcBorders>
            <w:shd w:val="clear" w:color="auto" w:fill="F2F2F2"/>
          </w:tcPr>
          <w:p>
            <w:pPr>
              <w:spacing w:after="0"/>
              <w:rPr>
                <w:sz w:val="8"/>
                <w:szCs w:val="8"/>
                <w:color w:val="auto"/>
              </w:rPr>
            </w:pPr>
          </w:p>
        </w:tc>
        <w:tc>
          <w:tcPr>
            <w:tcW w:w="420" w:type="dxa"/>
            <w:vAlign w:val="bottom"/>
            <w:tcBorders>
              <w:bottom w:val="single" w:sz="8" w:color="CCCCCC"/>
            </w:tcBorders>
            <w:shd w:val="clear" w:color="auto" w:fill="F2F2F2"/>
          </w:tcPr>
          <w:p>
            <w:pPr>
              <w:spacing w:after="0"/>
              <w:rPr>
                <w:sz w:val="8"/>
                <w:szCs w:val="8"/>
                <w:color w:val="auto"/>
              </w:rPr>
            </w:pPr>
          </w:p>
        </w:tc>
        <w:tc>
          <w:tcPr>
            <w:tcW w:w="2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CCCCC"/>
            </w:tcBorders>
            <w:gridSpan w:val="2"/>
            <w:vMerge w:val="continue"/>
            <w:shd w:val="clear" w:color="auto" w:fill="F2F2F2"/>
          </w:tcPr>
          <w:p>
            <w:pPr>
              <w:spacing w:after="0"/>
              <w:rPr>
                <w:sz w:val="8"/>
                <w:szCs w:val="8"/>
                <w:color w:val="auto"/>
              </w:rPr>
            </w:pPr>
          </w:p>
        </w:tc>
        <w:tc>
          <w:tcPr>
            <w:tcW w:w="80" w:type="dxa"/>
            <w:vAlign w:val="bottom"/>
            <w:tcBorders>
              <w:bottom w:val="single" w:sz="8" w:color="CCCCCC"/>
            </w:tcBorders>
            <w:shd w:val="clear" w:color="auto" w:fill="F2F2F2"/>
          </w:tcPr>
          <w:p>
            <w:pPr>
              <w:spacing w:after="0"/>
              <w:rPr>
                <w:sz w:val="8"/>
                <w:szCs w:val="8"/>
                <w:color w:val="auto"/>
              </w:rPr>
            </w:pPr>
          </w:p>
        </w:tc>
        <w:tc>
          <w:tcPr>
            <w:tcW w:w="540" w:type="dxa"/>
            <w:vAlign w:val="bottom"/>
            <w:tcBorders>
              <w:bottom w:val="single" w:sz="8" w:color="CCCCCC"/>
            </w:tcBorders>
            <w:shd w:val="clear" w:color="auto" w:fill="F2F2F2"/>
          </w:tcPr>
          <w:p>
            <w:pPr>
              <w:spacing w:after="0"/>
              <w:rPr>
                <w:sz w:val="8"/>
                <w:szCs w:val="8"/>
                <w:color w:val="auto"/>
              </w:rPr>
            </w:pPr>
          </w:p>
        </w:tc>
        <w:tc>
          <w:tcPr>
            <w:tcW w:w="40" w:type="dxa"/>
            <w:vAlign w:val="bottom"/>
            <w:tcBorders>
              <w:bottom w:val="single" w:sz="8" w:color="CCCCCC"/>
            </w:tcBorders>
            <w:shd w:val="clear" w:color="auto" w:fill="F2F2F2"/>
          </w:tcPr>
          <w:p>
            <w:pPr>
              <w:spacing w:after="0"/>
              <w:rPr>
                <w:sz w:val="8"/>
                <w:szCs w:val="8"/>
                <w:color w:val="auto"/>
              </w:rPr>
            </w:pPr>
          </w:p>
        </w:tc>
        <w:tc>
          <w:tcPr>
            <w:tcW w:w="120" w:type="dxa"/>
            <w:vAlign w:val="bottom"/>
            <w:tcBorders>
              <w:bottom w:val="single" w:sz="8" w:color="CCCCCC"/>
            </w:tcBorders>
            <w:vMerge w:val="continue"/>
            <w:shd w:val="clear" w:color="auto" w:fill="F2F2F2"/>
          </w:tcPr>
          <w:p>
            <w:pPr>
              <w:spacing w:after="0"/>
              <w:rPr>
                <w:sz w:val="8"/>
                <w:szCs w:val="8"/>
                <w:color w:val="auto"/>
              </w:rPr>
            </w:pPr>
          </w:p>
        </w:tc>
        <w:tc>
          <w:tcPr>
            <w:tcW w:w="160" w:type="dxa"/>
            <w:vAlign w:val="bottom"/>
            <w:tcBorders>
              <w:bottom w:val="single" w:sz="8" w:color="CCCCCC"/>
            </w:tcBorders>
            <w:shd w:val="clear" w:color="auto" w:fill="F2F2F2"/>
          </w:tcPr>
          <w:p>
            <w:pPr>
              <w:ind w:left="20"/>
              <w:spacing w:after="0" w:line="95" w:lineRule="exact"/>
              <w:rPr>
                <w:sz w:val="20"/>
                <w:szCs w:val="20"/>
                <w:color w:val="auto"/>
              </w:rPr>
            </w:pPr>
            <w:r>
              <w:rPr>
                <w:rFonts w:ascii="Arial" w:cs="Arial" w:eastAsia="Arial" w:hAnsi="Arial"/>
                <w:sz w:val="10"/>
                <w:szCs w:val="10"/>
                <w:color w:val="auto"/>
              </w:rPr>
              <w:t>​ ​</w:t>
            </w:r>
          </w:p>
        </w:tc>
        <w:tc>
          <w:tcPr>
            <w:tcW w:w="40" w:type="dxa"/>
            <w:vAlign w:val="bottom"/>
            <w:tcBorders>
              <w:bottom w:val="single" w:sz="8" w:color="CCCCCC"/>
            </w:tcBorders>
            <w:shd w:val="clear" w:color="auto" w:fill="F2F2F2"/>
          </w:tcPr>
          <w:p>
            <w:pPr>
              <w:spacing w:after="0"/>
              <w:rPr>
                <w:sz w:val="8"/>
                <w:szCs w:val="8"/>
                <w:color w:val="auto"/>
              </w:rPr>
            </w:pPr>
          </w:p>
        </w:tc>
        <w:tc>
          <w:tcPr>
            <w:tcW w:w="560" w:type="dxa"/>
            <w:vAlign w:val="bottom"/>
            <w:tcBorders>
              <w:bottom w:val="single" w:sz="8" w:color="CCCCCC"/>
            </w:tcBorders>
            <w:shd w:val="clear" w:color="auto" w:fill="F2F2F2"/>
          </w:tcPr>
          <w:p>
            <w:pPr>
              <w:spacing w:after="0"/>
              <w:rPr>
                <w:sz w:val="8"/>
                <w:szCs w:val="8"/>
                <w:color w:val="auto"/>
              </w:rPr>
            </w:pPr>
          </w:p>
        </w:tc>
        <w:tc>
          <w:tcPr>
            <w:tcW w:w="200" w:type="dxa"/>
            <w:vAlign w:val="bottom"/>
            <w:tcBorders>
              <w:bottom w:val="single" w:sz="8" w:color="CCCCCC"/>
            </w:tcBorders>
            <w:gridSpan w:val="2"/>
            <w:shd w:val="clear" w:color="auto" w:fill="F2F2F2"/>
          </w:tcPr>
          <w:p>
            <w:pPr>
              <w:jc w:val="right"/>
              <w:ind w:right="20"/>
              <w:spacing w:after="0" w:line="95" w:lineRule="exact"/>
              <w:rPr>
                <w:sz w:val="20"/>
                <w:szCs w:val="20"/>
                <w:color w:val="auto"/>
              </w:rPr>
            </w:pPr>
            <w:r>
              <w:rPr>
                <w:rFonts w:ascii="Arial" w:cs="Arial" w:eastAsia="Arial" w:hAnsi="Arial"/>
                <w:sz w:val="10"/>
                <w:szCs w:val="10"/>
                <w:color w:val="auto"/>
              </w:rPr>
              <w:t>​​ ​</w:t>
            </w:r>
          </w:p>
        </w:tc>
        <w:tc>
          <w:tcPr>
            <w:tcW w:w="160" w:type="dxa"/>
            <w:vAlign w:val="bottom"/>
            <w:tcBorders>
              <w:bottom w:val="single" w:sz="8" w:color="CCCCCC"/>
            </w:tcBorders>
            <w:shd w:val="clear" w:color="auto" w:fill="F2F2F2"/>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shd w:val="clear" w:color="auto" w:fill="F2F2F2"/>
          </w:tcPr>
          <w:p>
            <w:pPr>
              <w:spacing w:after="0"/>
              <w:rPr>
                <w:sz w:val="8"/>
                <w:szCs w:val="8"/>
                <w:color w:val="auto"/>
              </w:rPr>
            </w:pPr>
          </w:p>
        </w:tc>
        <w:tc>
          <w:tcPr>
            <w:tcW w:w="100" w:type="dxa"/>
            <w:vAlign w:val="bottom"/>
            <w:tcBorders>
              <w:bottom w:val="single" w:sz="8" w:color="CCCCCC"/>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CCCCCC"/>
            </w:tcBorders>
          </w:tcPr>
          <w:p>
            <w:pPr>
              <w:ind w:left="60"/>
              <w:spacing w:after="0"/>
              <w:rPr>
                <w:sz w:val="20"/>
                <w:szCs w:val="20"/>
                <w:color w:val="auto"/>
              </w:rPr>
            </w:pPr>
            <w:r>
              <w:rPr>
                <w:rFonts w:ascii="Arial" w:cs="Arial" w:eastAsia="Arial" w:hAnsi="Arial"/>
                <w:sz w:val="1"/>
                <w:szCs w:val="1"/>
                <w:color w:val="auto"/>
                <w:w w:val="4294942296"/>
              </w:rPr>
              <w:t>​</w:t>
            </w:r>
          </w:p>
        </w:tc>
        <w:tc>
          <w:tcPr>
            <w:tcW w:w="5120" w:type="dxa"/>
            <w:vAlign w:val="bottom"/>
            <w:tcBorders>
              <w:bottom w:val="single" w:sz="8" w:color="CCCCCC"/>
            </w:tcBorders>
          </w:tcPr>
          <w:p>
            <w:pPr>
              <w:ind w:left="140"/>
              <w:spacing w:after="0"/>
              <w:rPr>
                <w:sz w:val="20"/>
                <w:szCs w:val="20"/>
                <w:color w:val="auto"/>
              </w:rPr>
            </w:pPr>
            <w:r>
              <w:rPr>
                <w:rFonts w:ascii="Arial" w:cs="Arial" w:eastAsia="Arial" w:hAnsi="Arial"/>
                <w:sz w:val="13"/>
                <w:szCs w:val="13"/>
                <w:color w:val="auto"/>
              </w:rPr>
              <w:t>Total Compensation Actually Paid</w:t>
            </w:r>
          </w:p>
        </w:tc>
        <w:tc>
          <w:tcPr>
            <w:tcW w:w="1020" w:type="dxa"/>
            <w:vAlign w:val="bottom"/>
            <w:tcBorders>
              <w:bottom w:val="single" w:sz="8" w:color="CCCCCC"/>
            </w:tcBorders>
            <w:gridSpan w:val="6"/>
          </w:tcPr>
          <w:p>
            <w:pPr>
              <w:jc w:val="right"/>
              <w:spacing w:after="0" w:line="250"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3"/>
                <w:szCs w:val="13"/>
                <w:color w:val="auto"/>
              </w:rPr>
              <w:t>$13,546,218</w:t>
            </w:r>
            <w:r>
              <w:rPr>
                <w:rFonts w:ascii="Arial" w:cs="Arial" w:eastAsia="Arial" w:hAnsi="Arial"/>
                <w:sz w:val="25"/>
                <w:szCs w:val="25"/>
                <w:color w:val="auto"/>
                <w:vertAlign w:val="subscript"/>
              </w:rPr>
              <w:t>​​</w:t>
            </w:r>
          </w:p>
        </w:tc>
        <w:tc>
          <w:tcPr>
            <w:tcW w:w="100" w:type="dxa"/>
            <w:vAlign w:val="bottom"/>
            <w:tcBorders>
              <w:bottom w:val="single" w:sz="8" w:color="CCCCCC"/>
            </w:tcBorders>
          </w:tcPr>
          <w:p>
            <w:pPr>
              <w:ind w:left="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CCCC"/>
            </w:tcBorders>
            <w:gridSpan w:val="5"/>
          </w:tcPr>
          <w:p>
            <w:pPr>
              <w:jc w:val="right"/>
              <w:spacing w:after="0" w:line="25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$ 3,066,727 </w:t>
            </w:r>
            <w:r>
              <w:rPr>
                <w:rFonts w:ascii="Arial" w:cs="Arial" w:eastAsia="Arial" w:hAnsi="Arial"/>
                <w:sz w:val="25"/>
                <w:szCs w:val="25"/>
                <w:color w:val="auto"/>
                <w:vertAlign w:val="subscript"/>
              </w:rPr>
              <w:t>​​</w:t>
            </w:r>
          </w:p>
        </w:tc>
        <w:tc>
          <w:tcPr>
            <w:tcW w:w="160" w:type="dxa"/>
            <w:vAlign w:val="bottom"/>
            <w:tcBorders>
              <w:bottom w:val="single" w:sz="8" w:color="CCCCCC"/>
            </w:tcBorders>
          </w:tcPr>
          <w:p>
            <w:pPr>
              <w:ind w:left="20"/>
              <w:spacing w:after="0" w:line="250" w:lineRule="exact"/>
              <w:rPr>
                <w:sz w:val="20"/>
                <w:szCs w:val="20"/>
                <w:color w:val="auto"/>
              </w:rPr>
            </w:pPr>
            <w:r>
              <w:rPr>
                <w:rFonts w:ascii="Arial" w:cs="Arial" w:eastAsia="Arial" w:hAnsi="Arial"/>
                <w:sz w:val="13"/>
                <w:szCs w:val="13"/>
                <w:color w:val="auto"/>
                <w:w w:val="92"/>
              </w:rPr>
              <w:t>​ ​</w:t>
            </w:r>
            <w:r>
              <w:rPr>
                <w:rFonts w:ascii="Arial" w:cs="Arial" w:eastAsia="Arial" w:hAnsi="Arial"/>
                <w:sz w:val="25"/>
                <w:szCs w:val="25"/>
                <w:color w:val="auto"/>
                <w:w w:val="92"/>
                <w:vertAlign w:val="superscript"/>
              </w:rPr>
              <w:t>$</w:t>
            </w:r>
          </w:p>
        </w:tc>
        <w:tc>
          <w:tcPr>
            <w:tcW w:w="40" w:type="dxa"/>
            <w:vAlign w:val="bottom"/>
            <w:tcBorders>
              <w:bottom w:val="single" w:sz="8" w:color="CCCCCC"/>
            </w:tcBorders>
          </w:tcPr>
          <w:p>
            <w:pPr>
              <w:spacing w:after="0"/>
              <w:rPr>
                <w:sz w:val="21"/>
                <w:szCs w:val="21"/>
                <w:color w:val="auto"/>
              </w:rPr>
            </w:pPr>
          </w:p>
        </w:tc>
        <w:tc>
          <w:tcPr>
            <w:tcW w:w="760" w:type="dxa"/>
            <w:vAlign w:val="bottom"/>
            <w:tcBorders>
              <w:bottom w:val="single" w:sz="8" w:color="CCCCCC"/>
            </w:tcBorders>
            <w:gridSpan w:val="3"/>
          </w:tcPr>
          <w:p>
            <w:pPr>
              <w:jc w:val="right"/>
              <w:ind w:right="20"/>
              <w:spacing w:after="0" w:line="250" w:lineRule="exact"/>
              <w:rPr>
                <w:sz w:val="20"/>
                <w:szCs w:val="20"/>
                <w:color w:val="auto"/>
              </w:rPr>
            </w:pPr>
            <w:r>
              <w:rPr>
                <w:rFonts w:ascii="Arial" w:cs="Arial" w:eastAsia="Arial" w:hAnsi="Arial"/>
                <w:sz w:val="13"/>
                <w:szCs w:val="13"/>
                <w:color w:val="auto"/>
              </w:rPr>
              <w:t>5,704,640</w:t>
            </w:r>
            <w:r>
              <w:rPr>
                <w:rFonts w:ascii="Arial" w:cs="Arial" w:eastAsia="Arial" w:hAnsi="Arial"/>
                <w:sz w:val="25"/>
                <w:szCs w:val="25"/>
                <w:color w:val="auto"/>
                <w:vertAlign w:val="subscript"/>
              </w:rPr>
              <w:t>​​ ​</w:t>
            </w:r>
          </w:p>
        </w:tc>
        <w:tc>
          <w:tcPr>
            <w:tcW w:w="160" w:type="dxa"/>
            <w:vAlign w:val="bottom"/>
            <w:tcBorders>
              <w:bottom w:val="single" w:sz="8" w:color="CCCCCC"/>
            </w:tcBorders>
          </w:tcPr>
          <w:p>
            <w:pPr>
              <w:jc w:val="right"/>
              <w:spacing w:after="0" w:line="250"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2,201,357</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-2639695</wp:posOffset>
            </wp:positionV>
            <wp:extent cx="1654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-2819400</wp:posOffset>
            </wp:positionV>
            <wp:extent cx="23145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0" w:lineRule="exact"/>
        <w:rPr>
          <w:sz w:val="20"/>
          <w:szCs w:val="20"/>
          <w:color w:val="auto"/>
        </w:rPr>
      </w:pPr>
    </w:p>
    <w:p>
      <w:pPr>
        <w:ind w:left="920" w:right="260" w:hanging="189"/>
        <w:spacing w:after="0" w:line="210" w:lineRule="auto"/>
        <w:tabs>
          <w:tab w:leader="none" w:pos="920" w:val="left"/>
        </w:tabs>
        <w:numPr>
          <w:ilvl w:val="0"/>
          <w:numId w:val="135"/>
        </w:numPr>
        <w:rPr>
          <w:rFonts w:ascii="Arial" w:cs="Arial" w:eastAsia="Arial" w:hAnsi="Arial"/>
          <w:sz w:val="20"/>
          <w:szCs w:val="20"/>
          <w:color w:val="auto"/>
          <w:vertAlign w:val="superscript"/>
        </w:rPr>
      </w:pPr>
      <w:r>
        <w:rPr>
          <w:rFonts w:ascii="Arial" w:cs="Arial" w:eastAsia="Arial" w:hAnsi="Arial"/>
          <w:sz w:val="13"/>
          <w:szCs w:val="13"/>
          <w:color w:val="auto"/>
        </w:rPr>
        <w:t>Cumulative TSR is determined for the measurement period starting 12/31/2019 and ending on 12/31/2024, 12/31/2023, 12/31/2022, 12/31/2021, and 12/31/2020, respectively. Peer group TSR is weighted based on market capitalization as of 12/31/2019 and is based on PHLX Utility Sector Index (UTY) TSR sourced from FactSet.</w:t>
      </w:r>
    </w:p>
    <w:p>
      <w:pPr>
        <w:ind w:left="920" w:hanging="189"/>
        <w:spacing w:after="0" w:line="211" w:lineRule="auto"/>
        <w:tabs>
          <w:tab w:leader="none" w:pos="920" w:val="left"/>
        </w:tabs>
        <w:numPr>
          <w:ilvl w:val="0"/>
          <w:numId w:val="135"/>
        </w:numPr>
        <w:rPr>
          <w:rFonts w:ascii="Arial" w:cs="Arial" w:eastAsia="Arial" w:hAnsi="Arial"/>
          <w:sz w:val="20"/>
          <w:szCs w:val="20"/>
          <w:color w:val="auto"/>
          <w:vertAlign w:val="superscript"/>
        </w:rPr>
      </w:pPr>
      <w:r>
        <w:rPr>
          <w:rFonts w:ascii="Arial" w:cs="Arial" w:eastAsia="Arial" w:hAnsi="Arial"/>
          <w:sz w:val="13"/>
          <w:szCs w:val="13"/>
          <w:color w:val="auto"/>
        </w:rPr>
        <w:t>Amounts shown are consolidated net income reported pursuant to GAAP in our annual report on Form 10-K.</w:t>
      </w:r>
    </w:p>
    <w:p>
      <w:pPr>
        <w:spacing w:after="0" w:line="48" w:lineRule="exact"/>
        <w:rPr>
          <w:rFonts w:ascii="Arial" w:cs="Arial" w:eastAsia="Arial" w:hAnsi="Arial"/>
          <w:sz w:val="20"/>
          <w:szCs w:val="20"/>
          <w:color w:val="auto"/>
          <w:vertAlign w:val="superscript"/>
        </w:rPr>
      </w:pPr>
    </w:p>
    <w:p>
      <w:pPr>
        <w:ind w:left="920" w:right="20" w:hanging="189"/>
        <w:spacing w:after="0" w:line="233" w:lineRule="auto"/>
        <w:tabs>
          <w:tab w:leader="none" w:pos="920" w:val="left"/>
        </w:tabs>
        <w:numPr>
          <w:ilvl w:val="0"/>
          <w:numId w:val="135"/>
        </w:numPr>
        <w:rPr>
          <w:rFonts w:ascii="Arial" w:cs="Arial" w:eastAsia="Arial" w:hAnsi="Arial"/>
          <w:sz w:val="20"/>
          <w:szCs w:val="20"/>
          <w:color w:val="auto"/>
          <w:vertAlign w:val="superscript"/>
        </w:rPr>
      </w:pPr>
      <w:r>
        <w:rPr>
          <w:rFonts w:ascii="Arial" w:cs="Arial" w:eastAsia="Arial" w:hAnsi="Arial"/>
          <w:sz w:val="13"/>
          <w:szCs w:val="13"/>
          <w:color w:val="auto"/>
        </w:rPr>
        <w:t>The company-selected measure represents what the company believes is the most important financial performance measure (other than company TSR or net income) used to link company performance and the compensation actually paid to our named executive officers. The company-selected measure is Adjusted EPS. An EPS financial measure aligns with our commitment to return value to investors through earnings and dividends paid. Adjusted EPS is a non-GAAP metric which includes net income from electric and natural gas segments, as well as after tax corporate and other operating income and corporate overhead and adjusted for certain factors to reflect what we consider to be our fundamental business performance. Adjusted EPS excludes, among other items, earnings and losses from the change of value of ZENS and related securities, income and expenses related to ownership and disposal of certain midstream units, a corresponding amount of debt related to the units and allocation of associated corporate overhead, gain and impact including expenses associated with certain mergers and divestitures and other potential impact, such as changes in accounting standards, impairments or unusual items, which could have a material impact on GAAP reported results. For a full list of adjustments and reconciliation of Adjusted GAAP to consolidated income (loss) available to common shareholders and diluted EPS, the nearest GAAP metrics, please see Appendix A.</w:t>
      </w:r>
    </w:p>
    <w:p>
      <w:pPr>
        <w:spacing w:after="0" w:line="109" w:lineRule="exact"/>
        <w:rPr>
          <w:sz w:val="20"/>
          <w:szCs w:val="20"/>
          <w:color w:val="auto"/>
        </w:rPr>
      </w:pPr>
    </w:p>
    <w:p>
      <w:pPr>
        <w:ind w:left="740" w:right="60"/>
        <w:spacing w:after="0" w:line="259" w:lineRule="auto"/>
        <w:rPr>
          <w:sz w:val="20"/>
          <w:szCs w:val="20"/>
          <w:color w:val="auto"/>
        </w:rPr>
      </w:pPr>
      <w:r>
        <w:rPr>
          <w:rFonts w:ascii="Arial" w:cs="Arial" w:eastAsia="Arial" w:hAnsi="Arial"/>
          <w:sz w:val="16"/>
          <w:szCs w:val="16"/>
          <w:color w:val="auto"/>
        </w:rPr>
        <w:t>The following graphics show the relationships between executive compensation actually paid and cumulative TSR, net income, and Adjusted EPS for the last five completed fiscal years. Compensation actually paid to Non-PEO NEOs are shown as averages. The graphic that shows the relationship between executive compensation actually paid and cumulative TSR includes a comparison of cumulative TSR of the Company and cumulative TSR of the peer group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70485</wp:posOffset>
            </wp:positionV>
            <wp:extent cx="3968750" cy="2802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68750" cy="28028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​76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458470</wp:posOffset>
            </wp:positionV>
            <wp:extent cx="3968750" cy="5743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968750" cy="574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Chief Executive Officer Pay Ratio</w:t>
      </w:r>
    </w:p>
    <w:p>
      <w:pPr>
        <w:spacing w:after="0" w:line="126" w:lineRule="exact"/>
        <w:rPr>
          <w:sz w:val="20"/>
          <w:szCs w:val="20"/>
          <w:color w:val="auto"/>
        </w:rPr>
      </w:pPr>
    </w:p>
    <w:p>
      <w:pPr>
        <w:ind w:left="740" w:right="20"/>
        <w:spacing w:after="0" w:line="254"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Chief Executive Officer for 2024. The annual total compensation for our Chief Executive Officer for 2024 was determined by calculating the sum of the compensation provided to each of Mr. Lesar and Mr. Wells for the period during which each served as our Chief Executive Officer in 2024. Mr. Lesar served as our Chief Executive Officer until January 5, 2024, and Mr. Wells has served as our Chief Executive Officer since January 5, 2024.</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2024, our last completed fiscal year:</w:t>
      </w:r>
    </w:p>
    <w:p>
      <w:pPr>
        <w:spacing w:after="0" w:line="113" w:lineRule="exact"/>
        <w:rPr>
          <w:sz w:val="20"/>
          <w:szCs w:val="20"/>
          <w:color w:val="auto"/>
        </w:rPr>
      </w:pPr>
    </w:p>
    <w:p>
      <w:pPr>
        <w:ind w:left="920" w:right="280" w:hanging="189"/>
        <w:spacing w:after="0" w:line="304" w:lineRule="auto"/>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CenterPoint Energy, excluding the compensation for Messrs. Lesar and Wells for serving as our Chief Executive Officer in 2024, was $121,266 and</w:t>
      </w:r>
    </w:p>
    <w:p>
      <w:pPr>
        <w:spacing w:after="0" w:line="33" w:lineRule="exact"/>
        <w:rPr>
          <w:rFonts w:ascii="Arial" w:cs="Arial" w:eastAsia="Arial" w:hAnsi="Arial"/>
          <w:sz w:val="16"/>
          <w:szCs w:val="16"/>
          <w:color w:val="auto"/>
        </w:rPr>
      </w:pPr>
    </w:p>
    <w:p>
      <w:pPr>
        <w:jc w:val="both"/>
        <w:ind w:left="920" w:right="240" w:hanging="189"/>
        <w:spacing w:after="0" w:line="275" w:lineRule="auto"/>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annual total compensation of our Chief Executive Officer for 2024, determined by calculating the sum of the compensation provided to each of Mr. Lesar and Mr. Wells for the period during which each served as our Chief Executive Officer in 2024, as reported in the Summary Compensation Table, was $9,591,964.</w:t>
      </w:r>
    </w:p>
    <w:p>
      <w:pPr>
        <w:sectPr>
          <w:pgSz w:w="11900" w:h="16838" w:orient="portrait"/>
          <w:cols w:equalWidth="0" w:num="1">
            <w:col w:w="10020"/>
          </w:cols>
          <w:pgMar w:left="580" w:top="97" w:right="1299" w:bottom="1440" w:gutter="0" w:footer="0" w:header="0"/>
        </w:sectPr>
      </w:pPr>
    </w:p>
    <w:p>
      <w:pPr>
        <w:spacing w:after="0" w:line="214"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520"/>
        <w:spacing w:after="0" w:line="286" w:lineRule="auto"/>
        <w:rPr>
          <w:sz w:val="20"/>
          <w:szCs w:val="20"/>
          <w:color w:val="auto"/>
        </w:rPr>
      </w:pPr>
      <w:r>
        <w:rPr>
          <w:rFonts w:ascii="Arial" w:cs="Arial" w:eastAsia="Arial" w:hAnsi="Arial"/>
          <w:sz w:val="16"/>
          <w:szCs w:val="16"/>
          <w:color w:val="auto"/>
        </w:rPr>
        <w:t>Based on this information, for 2024, the ratio of our Chief Executive Officer’s annual total compensation to that of our median employee was approximately 79 to 1.</w:t>
      </w:r>
    </w:p>
    <w:p>
      <w:pPr>
        <w:spacing w:after="0" w:line="88" w:lineRule="exact"/>
        <w:rPr>
          <w:sz w:val="20"/>
          <w:szCs w:val="20"/>
          <w:color w:val="auto"/>
        </w:rPr>
      </w:pPr>
    </w:p>
    <w:p>
      <w:pPr>
        <w:ind w:left="740" w:right="40"/>
        <w:spacing w:after="0" w:line="304" w:lineRule="auto"/>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and our Chief Executive Officer for 2024, we took the following steps:</w:t>
      </w:r>
    </w:p>
    <w:p>
      <w:pPr>
        <w:spacing w:after="0" w:line="47" w:lineRule="exact"/>
        <w:rPr>
          <w:sz w:val="20"/>
          <w:szCs w:val="20"/>
          <w:color w:val="auto"/>
        </w:rPr>
      </w:pPr>
    </w:p>
    <w:p>
      <w:pPr>
        <w:ind w:left="920" w:right="40" w:hanging="189"/>
        <w:spacing w:after="0" w:line="262" w:lineRule="auto"/>
        <w:tabs>
          <w:tab w:leader="none" w:pos="9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We selected November 1, 2022 as the date to identify our median employee, at which time our employee population consisted of approximately 9,100 individuals located in the United States. This population consisted of our full-time, part-time and temporary employees. The applicable SEC rules require us to identify a “median employee” only once every three years, as long as there have been no changes in our employee population or employee compensation arrangements that we reasonably believe would result in a significant change to our pay ratio disclosure. Because there have been no changes in our employee population or compensation arrangements that we believe would significantly impact our pay ratio disclosure for 2024, we are using the same median employee for our 2024 pay ratio that we used for our 2022 pay ratio, although we have updated the calculation of the total compensation earned by that employee for 2024.</w:t>
      </w:r>
    </w:p>
    <w:p>
      <w:pPr>
        <w:spacing w:after="0" w:line="80" w:lineRule="exact"/>
        <w:rPr>
          <w:rFonts w:ascii="Arial" w:cs="Arial" w:eastAsia="Arial" w:hAnsi="Arial"/>
          <w:sz w:val="16"/>
          <w:szCs w:val="16"/>
          <w:color w:val="auto"/>
        </w:rPr>
      </w:pPr>
    </w:p>
    <w:p>
      <w:pPr>
        <w:ind w:left="920" w:right="180" w:hanging="189"/>
        <w:spacing w:after="0" w:line="275" w:lineRule="auto"/>
        <w:tabs>
          <w:tab w:leader="none" w:pos="9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identify the “median employee” from our employee population in 2022, we compared employees’ trailing twelve months total gross wages (consisting of base salary, short-term and long-term incentives, overtime and other compensation excluding imputed income) from our payroll records.</w:t>
      </w:r>
    </w:p>
    <w:p>
      <w:pPr>
        <w:spacing w:after="0" w:line="69" w:lineRule="exact"/>
        <w:rPr>
          <w:rFonts w:ascii="Arial" w:cs="Arial" w:eastAsia="Arial" w:hAnsi="Arial"/>
          <w:sz w:val="16"/>
          <w:szCs w:val="16"/>
          <w:color w:val="auto"/>
        </w:rPr>
      </w:pPr>
    </w:p>
    <w:p>
      <w:pPr>
        <w:jc w:val="both"/>
        <w:ind w:left="920" w:right="440" w:hanging="189"/>
        <w:spacing w:after="0" w:line="275" w:lineRule="auto"/>
        <w:tabs>
          <w:tab w:leader="none" w:pos="9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We identified our median employee using this compensation measure, which was consistently applied to all our employees included in the calculation. There has been no change in the median employee’s circumstances that we reasonably believe would result in a significant change in our pay ratio.</w:t>
      </w:r>
    </w:p>
    <w:p>
      <w:pPr>
        <w:spacing w:after="0" w:line="69" w:lineRule="exact"/>
        <w:rPr>
          <w:rFonts w:ascii="Arial" w:cs="Arial" w:eastAsia="Arial" w:hAnsi="Arial"/>
          <w:sz w:val="16"/>
          <w:szCs w:val="16"/>
          <w:color w:val="auto"/>
        </w:rPr>
      </w:pPr>
    </w:p>
    <w:p>
      <w:pPr>
        <w:jc w:val="both"/>
        <w:ind w:left="920" w:right="340" w:hanging="189"/>
        <w:spacing w:after="0" w:line="271" w:lineRule="auto"/>
        <w:tabs>
          <w:tab w:leader="none" w:pos="9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Using the median employee identified in 2022, we combined all of the elements of this employee’s compensation for 2024 in accordance with Item 402(c)(2)(x) of Regulation S-K, resulting in total annual compensation of $121,266. With respect to the annual total compensation of our Chief Executive Officer for 2024, we used the sum of the compensation provided to each of Mr. Lesar and Mr. Wells for the period during which each served as our Chief Executive Officer in 2024.</w:t>
      </w:r>
    </w:p>
    <w:p>
      <w:pPr>
        <w:spacing w:after="0" w:line="100" w:lineRule="exact"/>
        <w:rPr>
          <w:sz w:val="20"/>
          <w:szCs w:val="20"/>
          <w:color w:val="auto"/>
        </w:rPr>
      </w:pPr>
    </w:p>
    <w:p>
      <w:pPr>
        <w:ind w:left="740" w:right="100"/>
        <w:spacing w:after="0" w:line="268" w:lineRule="auto"/>
        <w:rPr>
          <w:sz w:val="20"/>
          <w:szCs w:val="20"/>
          <w:color w:val="auto"/>
        </w:rPr>
      </w:pPr>
      <w:r>
        <w:rPr>
          <w:rFonts w:ascii="Arial" w:cs="Arial" w:eastAsia="Arial" w:hAnsi="Arial"/>
          <w:sz w:val="16"/>
          <w:szCs w:val="16"/>
          <w:color w:val="auto"/>
        </w:rPr>
        <w:t>We believe that the above pay ratio is a reasonable estimate calculated in a manner consistent with Item 402(u) of Regulation S-K. In addition, because the SEC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​78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Equity Compensation Plan Information</w:t>
      </w:r>
    </w:p>
    <w:p>
      <w:pPr>
        <w:spacing w:after="0" w:line="200" w:lineRule="exact"/>
        <w:rPr>
          <w:sz w:val="20"/>
          <w:szCs w:val="20"/>
          <w:color w:val="auto"/>
        </w:rPr>
      </w:pPr>
    </w:p>
    <w:p>
      <w:pPr>
        <w:spacing w:after="0" w:line="265" w:lineRule="exact"/>
        <w:rPr>
          <w:sz w:val="20"/>
          <w:szCs w:val="20"/>
          <w:color w:val="auto"/>
        </w:rPr>
      </w:pPr>
    </w:p>
    <w:p>
      <w:pPr>
        <w:ind w:left="740" w:right="200"/>
        <w:spacing w:after="0" w:line="304" w:lineRule="auto"/>
        <w:rPr>
          <w:sz w:val="20"/>
          <w:szCs w:val="20"/>
          <w:color w:val="auto"/>
        </w:rPr>
      </w:pPr>
      <w:r>
        <w:rPr>
          <w:rFonts w:ascii="Arial" w:cs="Arial" w:eastAsia="Arial" w:hAnsi="Arial"/>
          <w:sz w:val="16"/>
          <w:szCs w:val="16"/>
          <w:color w:val="auto"/>
        </w:rPr>
        <w:t>The following table sets forth information about CenterPoint Energy’s common stock that may be issued under our existing equity compensation plans as of December 31, 2024.</w:t>
      </w:r>
    </w:p>
    <w:p>
      <w:pPr>
        <w:spacing w:after="0" w:line="12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46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86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900" w:type="dxa"/>
            <w:vAlign w:val="bottom"/>
            <w:shd w:val="clear" w:color="auto" w:fill="003763"/>
          </w:tcPr>
          <w:p>
            <w:pPr>
              <w:spacing w:after="0"/>
              <w:rPr>
                <w:sz w:val="14"/>
                <w:szCs w:val="14"/>
                <w:color w:val="auto"/>
              </w:rPr>
            </w:pPr>
          </w:p>
        </w:tc>
        <w:tc>
          <w:tcPr>
            <w:tcW w:w="22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820" w:type="dxa"/>
            <w:vAlign w:val="bottom"/>
            <w:shd w:val="clear" w:color="auto" w:fill="003763"/>
          </w:tcPr>
          <w:p>
            <w:pPr>
              <w:jc w:val="center"/>
              <w:ind w:right="75"/>
              <w:spacing w:after="0"/>
              <w:rPr>
                <w:sz w:val="20"/>
                <w:szCs w:val="20"/>
                <w:color w:val="auto"/>
              </w:rPr>
            </w:pPr>
            <w:r>
              <w:rPr>
                <w:rFonts w:ascii="Arial" w:cs="Arial" w:eastAsia="Arial" w:hAnsi="Arial"/>
                <w:sz w:val="13"/>
                <w:szCs w:val="13"/>
                <w:b w:val="1"/>
                <w:bCs w:val="1"/>
                <w:color w:val="FFFFFF"/>
                <w:w w:val="98"/>
              </w:rPr>
              <w:t>Number of</w:t>
            </w: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003763"/>
          </w:tcPr>
          <w:p>
            <w:pPr>
              <w:spacing w:after="0"/>
              <w:rPr>
                <w:sz w:val="12"/>
                <w:szCs w:val="12"/>
                <w:color w:val="auto"/>
              </w:rPr>
            </w:pPr>
          </w:p>
        </w:tc>
        <w:tc>
          <w:tcPr>
            <w:tcW w:w="46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200" w:type="dxa"/>
            <w:vAlign w:val="bottom"/>
            <w:shd w:val="clear" w:color="auto" w:fill="003763"/>
          </w:tcPr>
          <w:p>
            <w:pPr>
              <w:spacing w:after="0"/>
              <w:rPr>
                <w:sz w:val="12"/>
                <w:szCs w:val="12"/>
                <w:color w:val="auto"/>
              </w:rPr>
            </w:pPr>
          </w:p>
        </w:tc>
        <w:tc>
          <w:tcPr>
            <w:tcW w:w="860" w:type="dxa"/>
            <w:vAlign w:val="bottom"/>
            <w:shd w:val="clear" w:color="auto" w:fill="003763"/>
          </w:tcPr>
          <w:p>
            <w:pPr>
              <w:jc w:val="center"/>
              <w:ind w:right="134"/>
              <w:spacing w:after="0"/>
              <w:rPr>
                <w:sz w:val="20"/>
                <w:szCs w:val="20"/>
                <w:color w:val="auto"/>
              </w:rPr>
            </w:pPr>
            <w:r>
              <w:rPr>
                <w:rFonts w:ascii="Arial" w:cs="Arial" w:eastAsia="Arial" w:hAnsi="Arial"/>
                <w:sz w:val="13"/>
                <w:szCs w:val="13"/>
                <w:b w:val="1"/>
                <w:bCs w:val="1"/>
                <w:color w:val="FFFFFF"/>
                <w:w w:val="95"/>
              </w:rPr>
              <w:t>Number of</w:t>
            </w:r>
          </w:p>
        </w:tc>
        <w:tc>
          <w:tcPr>
            <w:tcW w:w="240" w:type="dxa"/>
            <w:vAlign w:val="bottom"/>
            <w:shd w:val="clear" w:color="auto" w:fill="003763"/>
          </w:tcPr>
          <w:p>
            <w:pPr>
              <w:spacing w:after="0"/>
              <w:rPr>
                <w:sz w:val="12"/>
                <w:szCs w:val="12"/>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220" w:type="dxa"/>
            <w:vAlign w:val="bottom"/>
            <w:shd w:val="clear" w:color="auto" w:fill="003763"/>
          </w:tcPr>
          <w:p>
            <w:pPr>
              <w:spacing w:after="0"/>
              <w:rPr>
                <w:sz w:val="12"/>
                <w:szCs w:val="12"/>
                <w:color w:val="auto"/>
              </w:rPr>
            </w:pPr>
          </w:p>
        </w:tc>
        <w:tc>
          <w:tcPr>
            <w:tcW w:w="140" w:type="dxa"/>
            <w:vAlign w:val="bottom"/>
            <w:shd w:val="clear" w:color="auto" w:fill="003763"/>
          </w:tcPr>
          <w:p>
            <w:pPr>
              <w:spacing w:after="0"/>
              <w:rPr>
                <w:sz w:val="12"/>
                <w:szCs w:val="12"/>
                <w:color w:val="auto"/>
              </w:rPr>
            </w:pPr>
          </w:p>
        </w:tc>
        <w:tc>
          <w:tcPr>
            <w:tcW w:w="820" w:type="dxa"/>
            <w:vAlign w:val="bottom"/>
            <w:shd w:val="clear" w:color="auto" w:fill="003763"/>
          </w:tcPr>
          <w:p>
            <w:pPr>
              <w:jc w:val="center"/>
              <w:ind w:right="75"/>
              <w:spacing w:after="0"/>
              <w:rPr>
                <w:sz w:val="20"/>
                <w:szCs w:val="20"/>
                <w:color w:val="auto"/>
              </w:rPr>
            </w:pPr>
            <w:r>
              <w:rPr>
                <w:rFonts w:ascii="Arial" w:cs="Arial" w:eastAsia="Arial" w:hAnsi="Arial"/>
                <w:sz w:val="13"/>
                <w:szCs w:val="13"/>
                <w:b w:val="1"/>
                <w:bCs w:val="1"/>
                <w:color w:val="FFFFFF"/>
                <w:w w:val="98"/>
              </w:rPr>
              <w:t>securities</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46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10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securities to be</w:t>
            </w:r>
          </w:p>
        </w:tc>
        <w:tc>
          <w:tcPr>
            <w:tcW w:w="240" w:type="dxa"/>
            <w:vAlign w:val="bottom"/>
            <w:shd w:val="clear" w:color="auto" w:fill="003763"/>
          </w:tcPr>
          <w:p>
            <w:pPr>
              <w:spacing w:after="0"/>
              <w:rPr>
                <w:sz w:val="14"/>
                <w:szCs w:val="14"/>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220" w:type="dxa"/>
            <w:vAlign w:val="bottom"/>
            <w:shd w:val="clear" w:color="auto" w:fill="003763"/>
          </w:tcPr>
          <w:p>
            <w:pPr>
              <w:spacing w:after="0"/>
              <w:rPr>
                <w:sz w:val="14"/>
                <w:szCs w:val="14"/>
                <w:color w:val="auto"/>
              </w:rPr>
            </w:pPr>
          </w:p>
        </w:tc>
        <w:tc>
          <w:tcPr>
            <w:tcW w:w="140" w:type="dxa"/>
            <w:vAlign w:val="bottom"/>
            <w:shd w:val="clear" w:color="auto" w:fill="003763"/>
          </w:tcPr>
          <w:p>
            <w:pPr>
              <w:spacing w:after="0"/>
              <w:rPr>
                <w:sz w:val="14"/>
                <w:szCs w:val="14"/>
                <w:color w:val="auto"/>
              </w:rPr>
            </w:pPr>
          </w:p>
        </w:tc>
        <w:tc>
          <w:tcPr>
            <w:tcW w:w="820" w:type="dxa"/>
            <w:vAlign w:val="bottom"/>
            <w:shd w:val="clear" w:color="auto" w:fill="003763"/>
          </w:tcPr>
          <w:p>
            <w:pPr>
              <w:jc w:val="center"/>
              <w:ind w:right="75"/>
              <w:spacing w:after="0"/>
              <w:rPr>
                <w:sz w:val="20"/>
                <w:szCs w:val="20"/>
                <w:color w:val="auto"/>
              </w:rPr>
            </w:pPr>
            <w:r>
              <w:rPr>
                <w:rFonts w:ascii="Arial" w:cs="Arial" w:eastAsia="Arial" w:hAnsi="Arial"/>
                <w:sz w:val="13"/>
                <w:szCs w:val="13"/>
                <w:b w:val="1"/>
                <w:bCs w:val="1"/>
                <w:color w:val="FFFFFF"/>
                <w:w w:val="96"/>
              </w:rPr>
              <w:t>remaining</w:t>
            </w: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46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0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issued upon</w:t>
            </w:r>
          </w:p>
        </w:tc>
        <w:tc>
          <w:tcPr>
            <w:tcW w:w="240" w:type="dxa"/>
            <w:vAlign w:val="bottom"/>
            <w:shd w:val="clear" w:color="auto" w:fill="003763"/>
          </w:tcPr>
          <w:p>
            <w:pPr>
              <w:spacing w:after="0"/>
              <w:rPr>
                <w:sz w:val="12"/>
                <w:szCs w:val="12"/>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exercise price</w:t>
            </w:r>
          </w:p>
        </w:tc>
        <w:tc>
          <w:tcPr>
            <w:tcW w:w="220" w:type="dxa"/>
            <w:vAlign w:val="bottom"/>
            <w:shd w:val="clear" w:color="auto" w:fill="003763"/>
          </w:tcPr>
          <w:p>
            <w:pPr>
              <w:spacing w:after="0"/>
              <w:rPr>
                <w:sz w:val="12"/>
                <w:szCs w:val="12"/>
                <w:color w:val="auto"/>
              </w:rPr>
            </w:pPr>
          </w:p>
        </w:tc>
        <w:tc>
          <w:tcPr>
            <w:tcW w:w="9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available for</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46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0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exercise of</w:t>
            </w:r>
          </w:p>
        </w:tc>
        <w:tc>
          <w:tcPr>
            <w:tcW w:w="240" w:type="dxa"/>
            <w:vAlign w:val="bottom"/>
            <w:shd w:val="clear" w:color="auto" w:fill="003763"/>
          </w:tcPr>
          <w:p>
            <w:pPr>
              <w:spacing w:after="0"/>
              <w:rPr>
                <w:sz w:val="12"/>
                <w:szCs w:val="12"/>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of outstanding</w:t>
            </w:r>
          </w:p>
        </w:tc>
        <w:tc>
          <w:tcPr>
            <w:tcW w:w="220" w:type="dxa"/>
            <w:vAlign w:val="bottom"/>
            <w:shd w:val="clear" w:color="auto" w:fill="003763"/>
          </w:tcPr>
          <w:p>
            <w:pPr>
              <w:spacing w:after="0"/>
              <w:rPr>
                <w:sz w:val="12"/>
                <w:szCs w:val="12"/>
                <w:color w:val="auto"/>
              </w:rPr>
            </w:pPr>
          </w:p>
        </w:tc>
        <w:tc>
          <w:tcPr>
            <w:tcW w:w="9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future issuance</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3763"/>
          </w:tcPr>
          <w:p>
            <w:pPr>
              <w:spacing w:after="0"/>
              <w:rPr>
                <w:sz w:val="14"/>
                <w:szCs w:val="14"/>
                <w:color w:val="auto"/>
              </w:rPr>
            </w:pPr>
          </w:p>
        </w:tc>
        <w:tc>
          <w:tcPr>
            <w:tcW w:w="4660" w:type="dxa"/>
            <w:vAlign w:val="bottom"/>
            <w:shd w:val="clear" w:color="auto" w:fill="003763"/>
          </w:tcPr>
          <w:p>
            <w:pPr>
              <w:spacing w:after="0"/>
              <w:rPr>
                <w:sz w:val="14"/>
                <w:szCs w:val="14"/>
                <w:color w:val="auto"/>
              </w:rPr>
            </w:pPr>
          </w:p>
        </w:tc>
        <w:tc>
          <w:tcPr>
            <w:tcW w:w="1040" w:type="dxa"/>
            <w:vAlign w:val="bottom"/>
            <w:shd w:val="clear" w:color="auto" w:fill="003763"/>
          </w:tcPr>
          <w:p>
            <w:pPr>
              <w:spacing w:after="0"/>
              <w:rPr>
                <w:sz w:val="14"/>
                <w:szCs w:val="14"/>
                <w:color w:val="auto"/>
              </w:rPr>
            </w:pPr>
          </w:p>
        </w:tc>
        <w:tc>
          <w:tcPr>
            <w:tcW w:w="10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outstanding</w:t>
            </w:r>
          </w:p>
        </w:tc>
        <w:tc>
          <w:tcPr>
            <w:tcW w:w="240" w:type="dxa"/>
            <w:vAlign w:val="bottom"/>
            <w:shd w:val="clear" w:color="auto" w:fill="003763"/>
          </w:tcPr>
          <w:p>
            <w:pPr>
              <w:spacing w:after="0"/>
              <w:rPr>
                <w:sz w:val="14"/>
                <w:szCs w:val="14"/>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options,</w:t>
            </w:r>
          </w:p>
        </w:tc>
        <w:tc>
          <w:tcPr>
            <w:tcW w:w="220" w:type="dxa"/>
            <w:vAlign w:val="bottom"/>
            <w:shd w:val="clear" w:color="auto" w:fill="003763"/>
          </w:tcPr>
          <w:p>
            <w:pPr>
              <w:spacing w:after="0"/>
              <w:rPr>
                <w:sz w:val="14"/>
                <w:szCs w:val="14"/>
                <w:color w:val="auto"/>
              </w:rPr>
            </w:pPr>
          </w:p>
        </w:tc>
        <w:tc>
          <w:tcPr>
            <w:tcW w:w="9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under equity</w:t>
            </w:r>
          </w:p>
        </w:tc>
        <w:tc>
          <w:tcPr>
            <w:tcW w:w="10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3763"/>
          </w:tcPr>
          <w:p>
            <w:pPr>
              <w:spacing w:after="0"/>
              <w:rPr>
                <w:sz w:val="12"/>
                <w:szCs w:val="12"/>
                <w:color w:val="auto"/>
              </w:rPr>
            </w:pPr>
          </w:p>
        </w:tc>
        <w:tc>
          <w:tcPr>
            <w:tcW w:w="4660" w:type="dxa"/>
            <w:vAlign w:val="bottom"/>
            <w:shd w:val="clear" w:color="auto" w:fill="003763"/>
          </w:tcPr>
          <w:p>
            <w:pPr>
              <w:spacing w:after="0"/>
              <w:rPr>
                <w:sz w:val="12"/>
                <w:szCs w:val="12"/>
                <w:color w:val="auto"/>
              </w:rPr>
            </w:pPr>
          </w:p>
        </w:tc>
        <w:tc>
          <w:tcPr>
            <w:tcW w:w="1040" w:type="dxa"/>
            <w:vAlign w:val="bottom"/>
            <w:shd w:val="clear" w:color="auto" w:fill="003763"/>
          </w:tcPr>
          <w:p>
            <w:pPr>
              <w:spacing w:after="0"/>
              <w:rPr>
                <w:sz w:val="12"/>
                <w:szCs w:val="12"/>
                <w:color w:val="auto"/>
              </w:rPr>
            </w:pPr>
          </w:p>
        </w:tc>
        <w:tc>
          <w:tcPr>
            <w:tcW w:w="10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options, warrants</w:t>
            </w:r>
          </w:p>
        </w:tc>
        <w:tc>
          <w:tcPr>
            <w:tcW w:w="240" w:type="dxa"/>
            <w:vAlign w:val="bottom"/>
            <w:shd w:val="clear" w:color="auto" w:fill="003763"/>
          </w:tcPr>
          <w:p>
            <w:pPr>
              <w:spacing w:after="0"/>
              <w:rPr>
                <w:sz w:val="12"/>
                <w:szCs w:val="12"/>
                <w:color w:val="auto"/>
              </w:rPr>
            </w:pP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8"/>
              </w:rPr>
              <w:t>warrants and</w:t>
            </w:r>
          </w:p>
        </w:tc>
        <w:tc>
          <w:tcPr>
            <w:tcW w:w="220" w:type="dxa"/>
            <w:vAlign w:val="bottom"/>
            <w:shd w:val="clear" w:color="auto" w:fill="003763"/>
          </w:tcPr>
          <w:p>
            <w:pPr>
              <w:spacing w:after="0"/>
              <w:rPr>
                <w:sz w:val="12"/>
                <w:szCs w:val="12"/>
                <w:color w:val="auto"/>
              </w:rPr>
            </w:pPr>
          </w:p>
        </w:tc>
        <w:tc>
          <w:tcPr>
            <w:tcW w:w="96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00" w:type="dxa"/>
            <w:vAlign w:val="bottom"/>
            <w:shd w:val="clear" w:color="auto" w:fill="003763"/>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740" w:type="dxa"/>
            <w:vAlign w:val="bottom"/>
            <w:gridSpan w:val="2"/>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w:t>
            </w:r>
          </w:p>
        </w:tc>
        <w:tc>
          <w:tcPr>
            <w:tcW w:w="1040" w:type="dxa"/>
            <w:vAlign w:val="bottom"/>
            <w:shd w:val="clear" w:color="auto" w:fill="003763"/>
          </w:tcPr>
          <w:p>
            <w:pPr>
              <w:ind w:left="880"/>
              <w:spacing w:after="0"/>
              <w:rPr>
                <w:sz w:val="20"/>
                <w:szCs w:val="20"/>
                <w:color w:val="auto"/>
              </w:rPr>
            </w:pPr>
            <w:r>
              <w:rPr>
                <w:rFonts w:ascii="Arial" w:cs="Arial" w:eastAsia="Arial" w:hAnsi="Arial"/>
                <w:sz w:val="13"/>
                <w:szCs w:val="13"/>
                <w:b w:val="1"/>
                <w:bCs w:val="1"/>
                <w:color w:val="FFFFFF"/>
              </w:rPr>
              <w:t>​ ​</w:t>
            </w:r>
          </w:p>
        </w:tc>
        <w:tc>
          <w:tcPr>
            <w:tcW w:w="200" w:type="dxa"/>
            <w:vAlign w:val="bottom"/>
            <w:shd w:val="clear" w:color="auto" w:fill="003763"/>
          </w:tcPr>
          <w:p>
            <w:pPr>
              <w:spacing w:after="0"/>
              <w:rPr>
                <w:sz w:val="20"/>
                <w:szCs w:val="20"/>
                <w:color w:val="auto"/>
              </w:rPr>
            </w:pPr>
          </w:p>
        </w:tc>
        <w:tc>
          <w:tcPr>
            <w:tcW w:w="860" w:type="dxa"/>
            <w:vAlign w:val="bottom"/>
            <w:shd w:val="clear" w:color="auto" w:fill="003763"/>
          </w:tcPr>
          <w:p>
            <w:pPr>
              <w:jc w:val="center"/>
              <w:ind w:right="114"/>
              <w:spacing w:after="0"/>
              <w:rPr>
                <w:sz w:val="20"/>
                <w:szCs w:val="20"/>
                <w:color w:val="auto"/>
              </w:rPr>
            </w:pPr>
            <w:r>
              <w:rPr>
                <w:rFonts w:ascii="Arial" w:cs="Arial" w:eastAsia="Arial" w:hAnsi="Arial"/>
                <w:sz w:val="13"/>
                <w:szCs w:val="13"/>
                <w:b w:val="1"/>
                <w:bCs w:val="1"/>
                <w:color w:val="FFFFFF"/>
                <w:w w:val="95"/>
              </w:rPr>
              <w:t>and rights</w:t>
            </w:r>
          </w:p>
        </w:tc>
        <w:tc>
          <w:tcPr>
            <w:tcW w:w="2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90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9"/>
              </w:rPr>
              <w:t>rights</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140" w:type="dxa"/>
            <w:vAlign w:val="bottom"/>
            <w:shd w:val="clear" w:color="auto" w:fill="003763"/>
          </w:tcPr>
          <w:p>
            <w:pPr>
              <w:spacing w:after="0"/>
              <w:rPr>
                <w:sz w:val="20"/>
                <w:szCs w:val="20"/>
                <w:color w:val="auto"/>
              </w:rPr>
            </w:pPr>
          </w:p>
        </w:tc>
        <w:tc>
          <w:tcPr>
            <w:tcW w:w="820" w:type="dxa"/>
            <w:vAlign w:val="bottom"/>
            <w:shd w:val="clear" w:color="auto" w:fill="003763"/>
          </w:tcPr>
          <w:p>
            <w:pPr>
              <w:jc w:val="center"/>
              <w:ind w:right="35"/>
              <w:spacing w:after="0"/>
              <w:rPr>
                <w:sz w:val="20"/>
                <w:szCs w:val="20"/>
                <w:color w:val="auto"/>
              </w:rPr>
            </w:pPr>
            <w:r>
              <w:rPr>
                <w:rFonts w:ascii="Arial" w:cs="Arial" w:eastAsia="Arial" w:hAnsi="Arial"/>
                <w:sz w:val="13"/>
                <w:szCs w:val="13"/>
                <w:b w:val="1"/>
                <w:bCs w:val="1"/>
                <w:color w:val="FFFFFF"/>
                <w:w w:val="94"/>
              </w:rPr>
              <w:t>plans</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660" w:type="dxa"/>
            <w:vAlign w:val="bottom"/>
          </w:tcPr>
          <w:p>
            <w:pPr>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7"/>
                <w:szCs w:val="17"/>
                <w:color w:val="auto"/>
                <w:vertAlign w:val="superscript"/>
              </w:rPr>
              <w:t>(1)</w:t>
            </w:r>
          </w:p>
        </w:tc>
        <w:tc>
          <w:tcPr>
            <w:tcW w:w="1040" w:type="dxa"/>
            <w:vAlign w:val="bottom"/>
            <w:vMerge w:val="restart"/>
          </w:tcPr>
          <w:p>
            <w:pPr>
              <w:ind w:left="88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ind w:left="1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5,641,344</w:t>
            </w:r>
            <w:r>
              <w:rPr>
                <w:rFonts w:ascii="Arial" w:cs="Arial" w:eastAsia="Arial" w:hAnsi="Arial"/>
                <w:sz w:val="15"/>
                <w:szCs w:val="15"/>
                <w:color w:val="auto"/>
                <w:vertAlign w:val="superscript"/>
              </w:rPr>
              <w:t>(2)</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900" w:type="dxa"/>
            <w:vAlign w:val="bottom"/>
          </w:tcPr>
          <w:p>
            <w:pPr>
              <w:ind w:left="3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960" w:type="dxa"/>
            <w:vAlign w:val="bottom"/>
            <w:gridSpan w:val="2"/>
          </w:tcPr>
          <w:p>
            <w:pPr>
              <w:ind w:left="8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14,315,418</w:t>
            </w:r>
            <w:r>
              <w:rPr>
                <w:rFonts w:ascii="Arial" w:cs="Arial" w:eastAsia="Arial" w:hAnsi="Arial"/>
                <w:sz w:val="15"/>
                <w:szCs w:val="15"/>
                <w:color w:val="auto"/>
                <w:vertAlign w:val="superscript"/>
              </w:rPr>
              <w:t>(3)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0" w:type="dxa"/>
            <w:vAlign w:val="bottom"/>
            <w:tcBorders>
              <w:bottom w:val="single" w:sz="8" w:color="CCCCCC"/>
            </w:tcBorders>
            <w:vMerge w:val="continue"/>
          </w:tcPr>
          <w:p>
            <w:pPr>
              <w:spacing w:after="0"/>
              <w:rPr>
                <w:sz w:val="9"/>
                <w:szCs w:val="9"/>
                <w:color w:val="auto"/>
              </w:rPr>
            </w:pPr>
          </w:p>
        </w:tc>
        <w:tc>
          <w:tcPr>
            <w:tcW w:w="4660" w:type="dxa"/>
            <w:vAlign w:val="bottom"/>
            <w:tcBorders>
              <w:bottom w:val="single" w:sz="8" w:color="CCCCCC"/>
            </w:tcBorders>
          </w:tcPr>
          <w:p>
            <w:pPr>
              <w:spacing w:after="0"/>
              <w:rPr>
                <w:sz w:val="9"/>
                <w:szCs w:val="9"/>
                <w:color w:val="auto"/>
              </w:rPr>
            </w:pPr>
          </w:p>
        </w:tc>
        <w:tc>
          <w:tcPr>
            <w:tcW w:w="1040" w:type="dxa"/>
            <w:vAlign w:val="bottom"/>
            <w:tcBorders>
              <w:bottom w:val="single" w:sz="8" w:color="CCCCCC"/>
            </w:tcBorders>
            <w:vMerge w:val="continue"/>
          </w:tcPr>
          <w:p>
            <w:pPr>
              <w:spacing w:after="0"/>
              <w:rPr>
                <w:sz w:val="9"/>
                <w:szCs w:val="9"/>
                <w:color w:val="auto"/>
              </w:rPr>
            </w:pPr>
          </w:p>
        </w:tc>
        <w:tc>
          <w:tcPr>
            <w:tcW w:w="200" w:type="dxa"/>
            <w:vAlign w:val="bottom"/>
            <w:tcBorders>
              <w:bottom w:val="single" w:sz="8" w:color="CCCCCC"/>
            </w:tcBorders>
          </w:tcPr>
          <w:p>
            <w:pPr>
              <w:ind w:left="160"/>
              <w:spacing w:after="0" w:line="108"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CCCCCC"/>
            </w:tcBorders>
          </w:tcPr>
          <w:p>
            <w:pPr>
              <w:spacing w:after="0"/>
              <w:rPr>
                <w:sz w:val="9"/>
                <w:szCs w:val="9"/>
                <w:color w:val="auto"/>
              </w:rPr>
            </w:pPr>
          </w:p>
        </w:tc>
        <w:tc>
          <w:tcPr>
            <w:tcW w:w="240" w:type="dxa"/>
            <w:vAlign w:val="bottom"/>
            <w:tcBorders>
              <w:bottom w:val="single" w:sz="8" w:color="CCCCCC"/>
            </w:tcBorders>
            <w:vMerge w:val="continue"/>
          </w:tcPr>
          <w:p>
            <w:pPr>
              <w:spacing w:after="0"/>
              <w:rPr>
                <w:sz w:val="9"/>
                <w:szCs w:val="9"/>
                <w:color w:val="auto"/>
              </w:rPr>
            </w:pPr>
          </w:p>
        </w:tc>
        <w:tc>
          <w:tcPr>
            <w:tcW w:w="900" w:type="dxa"/>
            <w:vAlign w:val="bottom"/>
            <w:tcBorders>
              <w:bottom w:val="single" w:sz="8" w:color="CCCCCC"/>
            </w:tcBorders>
          </w:tcPr>
          <w:p>
            <w:pPr>
              <w:ind w:left="300"/>
              <w:spacing w:after="0" w:line="108"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CCCCCC"/>
            </w:tcBorders>
            <w:gridSpan w:val="2"/>
          </w:tcPr>
          <w:p>
            <w:pPr>
              <w:spacing w:after="0" w:line="108" w:lineRule="exact"/>
              <w:rPr>
                <w:sz w:val="20"/>
                <w:szCs w:val="20"/>
                <w:color w:val="auto"/>
              </w:rPr>
            </w:pPr>
            <w:r>
              <w:rPr>
                <w:rFonts w:ascii="Arial" w:cs="Arial" w:eastAsia="Arial" w:hAnsi="Arial"/>
                <w:sz w:val="12"/>
                <w:szCs w:val="12"/>
                <w:color w:val="auto"/>
              </w:rPr>
              <w:t>​ ​ ​ ​</w:t>
            </w:r>
          </w:p>
        </w:tc>
        <w:tc>
          <w:tcPr>
            <w:tcW w:w="820" w:type="dxa"/>
            <w:vAlign w:val="bottom"/>
            <w:tcBorders>
              <w:bottom w:val="single" w:sz="8" w:color="CCCCCC"/>
            </w:tcBorders>
          </w:tcPr>
          <w:p>
            <w:pPr>
              <w:spacing w:after="0"/>
              <w:rPr>
                <w:sz w:val="9"/>
                <w:szCs w:val="9"/>
                <w:color w:val="auto"/>
              </w:rPr>
            </w:pPr>
          </w:p>
        </w:tc>
        <w:tc>
          <w:tcPr>
            <w:tcW w:w="100" w:type="dxa"/>
            <w:vAlign w:val="bottom"/>
            <w:tcBorders>
              <w:bottom w:val="single" w:sz="8" w:color="CCCC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Equity compensation plans not approved by security holders</w:t>
            </w:r>
          </w:p>
        </w:tc>
        <w:tc>
          <w:tcPr>
            <w:tcW w:w="1040" w:type="dxa"/>
            <w:vAlign w:val="bottom"/>
            <w:tcBorders>
              <w:bottom w:val="single" w:sz="8" w:color="CCCCCC"/>
            </w:tcBorders>
            <w:shd w:val="clear" w:color="auto" w:fill="F2F2F2"/>
          </w:tcPr>
          <w:p>
            <w:pPr>
              <w:ind w:left="880"/>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CCCC"/>
            </w:tcBorders>
            <w:shd w:val="clear" w:color="auto" w:fill="F2F2F2"/>
          </w:tcPr>
          <w:p>
            <w:pPr>
              <w:ind w:left="1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60" w:type="dxa"/>
            <w:vAlign w:val="bottom"/>
            <w:tcBorders>
              <w:bottom w:val="single" w:sz="8" w:color="CCCCCC"/>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900" w:type="dxa"/>
            <w:vAlign w:val="bottom"/>
            <w:tcBorders>
              <w:bottom w:val="single" w:sz="8" w:color="CCCCCC"/>
            </w:tcBorders>
            <w:shd w:val="clear" w:color="auto" w:fill="F2F2F2"/>
          </w:tcPr>
          <w:p>
            <w:pPr>
              <w:ind w:left="3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 ​</w:t>
            </w:r>
          </w:p>
        </w:tc>
        <w:tc>
          <w:tcPr>
            <w:tcW w:w="140" w:type="dxa"/>
            <w:vAlign w:val="bottom"/>
            <w:tcBorders>
              <w:bottom w:val="single" w:sz="8" w:color="CCCCCC"/>
            </w:tcBorders>
            <w:shd w:val="clear" w:color="auto" w:fill="F2F2F2"/>
          </w:tcPr>
          <w:p>
            <w:pPr>
              <w:ind w:left="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2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Totals</w:t>
            </w:r>
          </w:p>
        </w:tc>
        <w:tc>
          <w:tcPr>
            <w:tcW w:w="1040" w:type="dxa"/>
            <w:vAlign w:val="bottom"/>
            <w:tcBorders>
              <w:bottom w:val="single" w:sz="8" w:color="CCCCCC"/>
            </w:tcBorders>
          </w:tcPr>
          <w:p>
            <w:pPr>
              <w:ind w:left="880"/>
              <w:spacing w:after="0"/>
              <w:rPr>
                <w:sz w:val="20"/>
                <w:szCs w:val="20"/>
                <w:color w:val="auto"/>
              </w:rPr>
            </w:pPr>
            <w:r>
              <w:rPr>
                <w:rFonts w:ascii="Arial" w:cs="Arial" w:eastAsia="Arial" w:hAnsi="Arial"/>
                <w:sz w:val="14"/>
                <w:szCs w:val="14"/>
                <w:color w:val="auto"/>
              </w:rPr>
              <w:t>​ ​</w:t>
            </w:r>
          </w:p>
        </w:tc>
        <w:tc>
          <w:tcPr>
            <w:tcW w:w="1060" w:type="dxa"/>
            <w:vAlign w:val="bottom"/>
            <w:tcBorders>
              <w:bottom w:val="single" w:sz="8" w:color="CCCCCC"/>
            </w:tcBorders>
            <w:gridSpan w:val="2"/>
          </w:tcPr>
          <w:p>
            <w:pPr>
              <w:ind w:left="1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5,641,344</w:t>
            </w:r>
          </w:p>
        </w:tc>
        <w:tc>
          <w:tcPr>
            <w:tcW w:w="2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900" w:type="dxa"/>
            <w:vAlign w:val="bottom"/>
            <w:tcBorders>
              <w:bottom w:val="single" w:sz="8" w:color="CCCCCC"/>
            </w:tcBorders>
          </w:tcPr>
          <w:p>
            <w:pPr>
              <w:ind w:left="3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 ​</w:t>
            </w:r>
          </w:p>
        </w:tc>
        <w:tc>
          <w:tcPr>
            <w:tcW w:w="960" w:type="dxa"/>
            <w:vAlign w:val="bottom"/>
            <w:tcBorders>
              <w:bottom w:val="single" w:sz="8" w:color="CCCCCC"/>
            </w:tcBorders>
            <w:gridSpan w:val="2"/>
          </w:tcPr>
          <w:p>
            <w:pPr>
              <w:ind w:left="8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14,315,418</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20" w:right="100" w:hanging="189"/>
        <w:spacing w:after="0" w:line="216" w:lineRule="auto"/>
        <w:tabs>
          <w:tab w:leader="none" w:pos="920" w:val="left"/>
        </w:tabs>
        <w:numPr>
          <w:ilvl w:val="0"/>
          <w:numId w:val="138"/>
        </w:numPr>
        <w:rPr>
          <w:rFonts w:ascii="Arial" w:cs="Arial" w:eastAsia="Arial" w:hAnsi="Arial"/>
          <w:sz w:val="20"/>
          <w:szCs w:val="20"/>
          <w:color w:val="auto"/>
          <w:vertAlign w:val="superscript"/>
        </w:rPr>
      </w:pPr>
      <w:r>
        <w:rPr>
          <w:rFonts w:ascii="Arial" w:cs="Arial" w:eastAsia="Arial" w:hAnsi="Arial"/>
          <w:sz w:val="13"/>
          <w:szCs w:val="13"/>
          <w:color w:val="auto"/>
        </w:rPr>
        <w:t>Plans approved by shareholders consist of the 2009 Long-Term Incentive Plan, the 2022 Long-Term Incentive Plan, and the CenterPoint Energy, Inc. Stock Plan for Outside Directors (excluding the additional securities that are subject to the proposed amendment described in Item 4 to this Proxy Statement). No future grants may be made under the 2009 Long-Term Incentive Plan.</w:t>
      </w:r>
    </w:p>
    <w:p>
      <w:pPr>
        <w:spacing w:after="0" w:line="63" w:lineRule="exact"/>
        <w:rPr>
          <w:rFonts w:ascii="Arial" w:cs="Arial" w:eastAsia="Arial" w:hAnsi="Arial"/>
          <w:sz w:val="20"/>
          <w:szCs w:val="20"/>
          <w:color w:val="auto"/>
          <w:vertAlign w:val="superscript"/>
        </w:rPr>
      </w:pPr>
    </w:p>
    <w:p>
      <w:pPr>
        <w:ind w:left="920" w:right="320" w:hanging="189"/>
        <w:spacing w:after="0" w:line="210" w:lineRule="auto"/>
        <w:tabs>
          <w:tab w:leader="none" w:pos="920" w:val="left"/>
        </w:tabs>
        <w:numPr>
          <w:ilvl w:val="0"/>
          <w:numId w:val="138"/>
        </w:numPr>
        <w:rPr>
          <w:rFonts w:ascii="Arial" w:cs="Arial" w:eastAsia="Arial" w:hAnsi="Arial"/>
          <w:sz w:val="20"/>
          <w:szCs w:val="20"/>
          <w:color w:val="auto"/>
          <w:vertAlign w:val="superscript"/>
        </w:rPr>
      </w:pPr>
      <w:r>
        <w:rPr>
          <w:rFonts w:ascii="Arial" w:cs="Arial" w:eastAsia="Arial" w:hAnsi="Arial"/>
          <w:sz w:val="13"/>
          <w:szCs w:val="13"/>
          <w:color w:val="auto"/>
        </w:rPr>
        <w:t>Includes outstanding grants of 4,524,813 performance share units (which includes 1,127,039 shares at actual achievement for the 2022 performance cycle and assumes maximum performance is achieved for performance cycles commencing 2023 and later) and 1,116,531 shares issuable upon settlement of outstanding grants of stock awards.</w:t>
      </w:r>
    </w:p>
    <w:p>
      <w:pPr>
        <w:spacing w:after="0" w:line="63" w:lineRule="exact"/>
        <w:rPr>
          <w:rFonts w:ascii="Arial" w:cs="Arial" w:eastAsia="Arial" w:hAnsi="Arial"/>
          <w:sz w:val="20"/>
          <w:szCs w:val="20"/>
          <w:color w:val="auto"/>
          <w:vertAlign w:val="superscript"/>
        </w:rPr>
      </w:pPr>
    </w:p>
    <w:p>
      <w:pPr>
        <w:ind w:left="920" w:right="340" w:hanging="189"/>
        <w:spacing w:after="0" w:line="216" w:lineRule="auto"/>
        <w:tabs>
          <w:tab w:leader="none" w:pos="920" w:val="left"/>
        </w:tabs>
        <w:numPr>
          <w:ilvl w:val="0"/>
          <w:numId w:val="138"/>
        </w:numPr>
        <w:rPr>
          <w:rFonts w:ascii="Arial" w:cs="Arial" w:eastAsia="Arial" w:hAnsi="Arial"/>
          <w:sz w:val="20"/>
          <w:szCs w:val="20"/>
          <w:color w:val="auto"/>
          <w:vertAlign w:val="superscript"/>
        </w:rPr>
      </w:pPr>
      <w:r>
        <w:rPr>
          <w:rFonts w:ascii="Arial" w:cs="Arial" w:eastAsia="Arial" w:hAnsi="Arial"/>
          <w:sz w:val="13"/>
          <w:szCs w:val="13"/>
          <w:color w:val="auto"/>
        </w:rPr>
        <w:t>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Report of the Human Capital and Compensation Committee</w:t>
      </w:r>
    </w:p>
    <w:p>
      <w:pPr>
        <w:spacing w:after="0" w:line="200" w:lineRule="exact"/>
        <w:rPr>
          <w:sz w:val="20"/>
          <w:szCs w:val="20"/>
          <w:color w:val="auto"/>
        </w:rPr>
      </w:pPr>
    </w:p>
    <w:p>
      <w:pPr>
        <w:spacing w:after="0" w:line="265" w:lineRule="exact"/>
        <w:rPr>
          <w:sz w:val="20"/>
          <w:szCs w:val="20"/>
          <w:color w:val="auto"/>
        </w:rPr>
      </w:pPr>
    </w:p>
    <w:p>
      <w:pPr>
        <w:ind w:left="740" w:right="120"/>
        <w:spacing w:after="0" w:line="269" w:lineRule="auto"/>
        <w:rPr>
          <w:sz w:val="20"/>
          <w:szCs w:val="20"/>
          <w:color w:val="auto"/>
        </w:rPr>
      </w:pPr>
      <w:r>
        <w:rPr>
          <w:rFonts w:ascii="Arial" w:cs="Arial" w:eastAsia="Arial" w:hAnsi="Arial"/>
          <w:sz w:val="16"/>
          <w:szCs w:val="16"/>
          <w:color w:val="auto"/>
        </w:rPr>
        <w:t>The Human Capital and Compensation Committee reviewed and discussed the Compensation Discussion and Analysis with management. Based upon this review and discussion, the Human Capital and Compensation Committee recommended to the Board of Directors that the Compensation Discussion and Analysis be included in CenterPoint Energy’s proxy statement on Schedule 14A for its 2024 annual meeting, which is incorporated by reference in CenterPoint Energy’s Annual Report on Form 10-K for the fiscal year ended December 31, 2024, each as filed with the Securities and Exchange Commission.</w:t>
      </w:r>
    </w:p>
    <w:p>
      <w:pPr>
        <w:spacing w:after="0" w:line="10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Theodore F. Pound, Chair</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Wendy Montoya Cloonan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Raquelle W. Lewis</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Thaddeus J. Malik</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Report of the Audit Committee</w:t>
      </w:r>
    </w:p>
    <w:p>
      <w:pPr>
        <w:spacing w:after="0" w:line="200" w:lineRule="exact"/>
        <w:rPr>
          <w:sz w:val="20"/>
          <w:szCs w:val="20"/>
          <w:color w:val="auto"/>
        </w:rPr>
      </w:pPr>
    </w:p>
    <w:p>
      <w:pPr>
        <w:spacing w:after="0" w:line="265" w:lineRule="exact"/>
        <w:rPr>
          <w:sz w:val="20"/>
          <w:szCs w:val="20"/>
          <w:color w:val="auto"/>
        </w:rPr>
      </w:pPr>
    </w:p>
    <w:p>
      <w:pPr>
        <w:ind w:left="740" w:right="60"/>
        <w:spacing w:after="0" w:line="264" w:lineRule="auto"/>
        <w:rPr>
          <w:sz w:val="20"/>
          <w:szCs w:val="20"/>
          <w:color w:val="auto"/>
        </w:rPr>
      </w:pPr>
      <w:r>
        <w:rPr>
          <w:rFonts w:ascii="Arial" w:cs="Arial" w:eastAsia="Arial" w:hAnsi="Arial"/>
          <w:sz w:val="16"/>
          <w:szCs w:val="16"/>
          <w:color w:val="auto"/>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five directors, each of whom is independent as defined by the NYSE listing standards. The Audit Committee Charter further describes the committee’s responsibilities and is available at </w:t>
      </w:r>
      <w:r>
        <w:rPr>
          <w:rFonts w:ascii="Arial" w:cs="Arial" w:eastAsia="Arial" w:hAnsi="Arial"/>
          <w:sz w:val="16"/>
          <w:szCs w:val="16"/>
          <w:i w:val="1"/>
          <w:iCs w:val="1"/>
          <w:color w:val="auto"/>
        </w:rPr>
        <w:t xml:space="preserve">https://investors.centerpointenergy.com/governance. </w:t>
      </w:r>
      <w:r>
        <w:rPr>
          <w:rFonts w:ascii="Arial" w:cs="Arial" w:eastAsia="Arial" w:hAnsi="Arial"/>
          <w:sz w:val="16"/>
          <w:szCs w:val="16"/>
          <w:color w:val="auto"/>
        </w:rPr>
        <w:t>During 2024, the Audit Committee met 8 times, including meetings to discuss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interim financial information contained in each quarterly earnings announcement with management and Deloitte &amp; Touche LLP, CenterPoint Energy’s independent registered public accounting firm (independent auditors), prior to public release.</w:t>
      </w:r>
    </w:p>
    <w:p>
      <w:pPr>
        <w:spacing w:after="0" w:line="109" w:lineRule="exact"/>
        <w:rPr>
          <w:sz w:val="20"/>
          <w:szCs w:val="20"/>
          <w:color w:val="auto"/>
        </w:rPr>
      </w:pPr>
    </w:p>
    <w:p>
      <w:pPr>
        <w:ind w:left="740" w:right="80"/>
        <w:spacing w:after="0" w:line="264" w:lineRule="auto"/>
        <w:rPr>
          <w:sz w:val="20"/>
          <w:szCs w:val="20"/>
          <w:color w:val="auto"/>
        </w:rPr>
      </w:pPr>
      <w:r>
        <w:rPr>
          <w:rFonts w:ascii="Arial" w:cs="Arial" w:eastAsia="Arial" w:hAnsi="Arial"/>
          <w:sz w:val="16"/>
          <w:szCs w:val="16"/>
          <w:color w:val="auto"/>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 (b) 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p>
    <w:p>
      <w:pPr>
        <w:spacing w:after="0" w:line="109" w:lineRule="exact"/>
        <w:rPr>
          <w:sz w:val="20"/>
          <w:szCs w:val="20"/>
          <w:color w:val="auto"/>
        </w:rPr>
      </w:pPr>
    </w:p>
    <w:p>
      <w:pPr>
        <w:jc w:val="both"/>
        <w:ind w:left="740" w:right="180"/>
        <w:spacing w:after="0" w:line="271" w:lineRule="auto"/>
        <w:rPr>
          <w:sz w:val="20"/>
          <w:szCs w:val="20"/>
          <w:color w:val="auto"/>
        </w:rPr>
      </w:pPr>
      <w:r>
        <w:rPr>
          <w:rFonts w:ascii="Arial" w:cs="Arial" w:eastAsia="Arial" w:hAnsi="Arial"/>
          <w:sz w:val="16"/>
          <w:szCs w:val="16"/>
          <w:color w:val="auto"/>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p>
    <w:p>
      <w:pPr>
        <w:spacing w:after="0" w:line="114" w:lineRule="exact"/>
        <w:rPr>
          <w:sz w:val="20"/>
          <w:szCs w:val="20"/>
          <w:color w:val="auto"/>
        </w:rPr>
      </w:pPr>
    </w:p>
    <w:p>
      <w:pPr>
        <w:ind w:left="740" w:right="60"/>
        <w:spacing w:after="0" w:line="262" w:lineRule="auto"/>
        <w:rPr>
          <w:sz w:val="20"/>
          <w:szCs w:val="20"/>
          <w:color w:val="auto"/>
        </w:rPr>
      </w:pPr>
      <w:r>
        <w:rPr>
          <w:rFonts w:ascii="Arial" w:cs="Arial" w:eastAsia="Arial" w:hAnsi="Arial"/>
          <w:sz w:val="16"/>
          <w:szCs w:val="16"/>
          <w:color w:val="auto"/>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2024,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p>
    <w:p>
      <w:pPr>
        <w:spacing w:after="0" w:line="121" w:lineRule="exact"/>
        <w:rPr>
          <w:sz w:val="20"/>
          <w:szCs w:val="20"/>
          <w:color w:val="auto"/>
        </w:rPr>
      </w:pPr>
    </w:p>
    <w:p>
      <w:pPr>
        <w:ind w:left="740" w:right="160"/>
        <w:spacing w:after="0" w:line="265" w:lineRule="auto"/>
        <w:rPr>
          <w:sz w:val="20"/>
          <w:szCs w:val="20"/>
          <w:color w:val="auto"/>
        </w:rPr>
      </w:pPr>
      <w:r>
        <w:rPr>
          <w:rFonts w:ascii="Arial" w:cs="Arial" w:eastAsia="Arial" w:hAnsi="Arial"/>
          <w:sz w:val="16"/>
          <w:szCs w:val="16"/>
          <w:color w:val="auto"/>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2024, for filing with the Securities and Exchange Commission. The Audit Committee also reappointed, subject to ratification, Deloitte &amp; Touche LLP as CenterPoint Energy’s independent auditors for the fiscal year ending December 31, 2025.</w:t>
      </w:r>
    </w:p>
    <w:p>
      <w:pPr>
        <w:spacing w:after="0" w:line="10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Barbara J. Duganier, Chair</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Earl M. Cummings</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Christopher H. Franklin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Raquelle W. Lewis</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Ricky A. Raven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Principal Accounting Firm Fees</w:t>
      </w:r>
    </w:p>
    <w:p>
      <w:pPr>
        <w:spacing w:after="0" w:line="200" w:lineRule="exact"/>
        <w:rPr>
          <w:sz w:val="20"/>
          <w:szCs w:val="20"/>
          <w:color w:val="auto"/>
        </w:rPr>
      </w:pPr>
    </w:p>
    <w:p>
      <w:pPr>
        <w:spacing w:after="0" w:line="265" w:lineRule="exact"/>
        <w:rPr>
          <w:sz w:val="20"/>
          <w:szCs w:val="20"/>
          <w:color w:val="auto"/>
        </w:rPr>
      </w:pPr>
    </w:p>
    <w:p>
      <w:pPr>
        <w:ind w:left="740" w:right="20"/>
        <w:spacing w:after="0" w:line="275" w:lineRule="auto"/>
        <w:rPr>
          <w:sz w:val="20"/>
          <w:szCs w:val="20"/>
          <w:color w:val="auto"/>
        </w:rPr>
      </w:pPr>
      <w:r>
        <w:rPr>
          <w:rFonts w:ascii="Arial" w:cs="Arial" w:eastAsia="Arial" w:hAnsi="Arial"/>
          <w:sz w:val="16"/>
          <w:szCs w:val="16"/>
          <w:color w:val="auto"/>
        </w:rPr>
        <w:t>Aggregate fees related to services provided to CenterPoint Energy as a consolidated entity for the fiscal years ended December 31, 2024 and 2023 by CenterPoint Energy’s principal independent registered public accounting firm, Deloitte &amp; Touche LLP, the member firms of Deloitte Touche Tohmatsu, and their respective affiliates, are set forth below.</w:t>
      </w:r>
    </w:p>
    <w:p>
      <w:pPr>
        <w:spacing w:after="0" w:line="151"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80" w:type="dxa"/>
            <w:vAlign w:val="bottom"/>
            <w:shd w:val="clear" w:color="auto" w:fill="003763"/>
          </w:tcPr>
          <w:p>
            <w:pPr>
              <w:spacing w:after="0"/>
              <w:rPr>
                <w:sz w:val="16"/>
                <w:szCs w:val="16"/>
                <w:color w:val="auto"/>
              </w:rPr>
            </w:pPr>
          </w:p>
        </w:tc>
        <w:tc>
          <w:tcPr>
            <w:tcW w:w="6220" w:type="dxa"/>
            <w:vAlign w:val="bottom"/>
            <w:shd w:val="clear" w:color="auto" w:fill="003763"/>
          </w:tcPr>
          <w:p>
            <w:pPr>
              <w:spacing w:after="0"/>
              <w:rPr>
                <w:sz w:val="16"/>
                <w:szCs w:val="16"/>
                <w:color w:val="auto"/>
              </w:rPr>
            </w:pPr>
          </w:p>
        </w:tc>
        <w:tc>
          <w:tcPr>
            <w:tcW w:w="1060" w:type="dxa"/>
            <w:vAlign w:val="bottom"/>
            <w:shd w:val="clear" w:color="auto" w:fill="003763"/>
          </w:tcPr>
          <w:p>
            <w:pPr>
              <w:spacing w:after="0"/>
              <w:rPr>
                <w:sz w:val="16"/>
                <w:szCs w:val="16"/>
                <w:color w:val="auto"/>
              </w:rPr>
            </w:pPr>
          </w:p>
        </w:tc>
        <w:tc>
          <w:tcPr>
            <w:tcW w:w="300" w:type="dxa"/>
            <w:vAlign w:val="bottom"/>
            <w:shd w:val="clear" w:color="auto" w:fill="003763"/>
          </w:tcPr>
          <w:p>
            <w:pPr>
              <w:spacing w:after="0"/>
              <w:rPr>
                <w:sz w:val="16"/>
                <w:szCs w:val="16"/>
                <w:color w:val="auto"/>
              </w:rPr>
            </w:pPr>
          </w:p>
        </w:tc>
        <w:tc>
          <w:tcPr>
            <w:tcW w:w="1000" w:type="dxa"/>
            <w:vAlign w:val="bottom"/>
            <w:gridSpan w:val="3"/>
            <w:shd w:val="clear" w:color="auto" w:fill="003763"/>
          </w:tcPr>
          <w:p>
            <w:pPr>
              <w:jc w:val="center"/>
              <w:ind w:left="255"/>
              <w:spacing w:after="0"/>
              <w:rPr>
                <w:sz w:val="20"/>
                <w:szCs w:val="20"/>
                <w:color w:val="auto"/>
              </w:rPr>
            </w:pPr>
            <w:r>
              <w:rPr>
                <w:rFonts w:ascii="Arial" w:cs="Arial" w:eastAsia="Arial" w:hAnsi="Arial"/>
                <w:sz w:val="13"/>
                <w:szCs w:val="13"/>
                <w:b w:val="1"/>
                <w:bCs w:val="1"/>
                <w:color w:val="FFFFFF"/>
                <w:w w:val="95"/>
              </w:rPr>
              <w:t>Year Ended</w:t>
            </w:r>
          </w:p>
        </w:tc>
        <w:tc>
          <w:tcPr>
            <w:tcW w:w="340" w:type="dxa"/>
            <w:vAlign w:val="bottom"/>
            <w:shd w:val="clear" w:color="auto" w:fill="003763"/>
          </w:tcPr>
          <w:p>
            <w:pPr>
              <w:spacing w:after="0"/>
              <w:rPr>
                <w:sz w:val="16"/>
                <w:szCs w:val="16"/>
                <w:color w:val="auto"/>
              </w:rPr>
            </w:pPr>
          </w:p>
        </w:tc>
        <w:tc>
          <w:tcPr>
            <w:tcW w:w="26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6220" w:type="dxa"/>
            <w:vAlign w:val="bottom"/>
            <w:vMerge w:val="restart"/>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1060" w:type="dxa"/>
            <w:vAlign w:val="bottom"/>
            <w:vMerge w:val="restart"/>
            <w:shd w:val="clear" w:color="auto" w:fill="003763"/>
          </w:tcPr>
          <w:p>
            <w:pPr>
              <w:ind w:left="960"/>
              <w:spacing w:after="0"/>
              <w:rPr>
                <w:sz w:val="20"/>
                <w:szCs w:val="20"/>
                <w:color w:val="auto"/>
              </w:rPr>
            </w:pPr>
            <w:r>
              <w:rPr>
                <w:rFonts w:ascii="Arial" w:cs="Arial" w:eastAsia="Arial" w:hAnsi="Arial"/>
                <w:sz w:val="13"/>
                <w:szCs w:val="13"/>
                <w:b w:val="1"/>
                <w:bCs w:val="1"/>
                <w:color w:val="FFFFFF"/>
              </w:rPr>
              <w:t>​</w:t>
            </w:r>
          </w:p>
        </w:tc>
        <w:tc>
          <w:tcPr>
            <w:tcW w:w="300" w:type="dxa"/>
            <w:vAlign w:val="bottom"/>
            <w:vMerge w:val="restart"/>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1340" w:type="dxa"/>
            <w:vAlign w:val="bottom"/>
            <w:gridSpan w:val="4"/>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December 31,</w:t>
            </w:r>
          </w:p>
        </w:tc>
        <w:tc>
          <w:tcPr>
            <w:tcW w:w="26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8"/>
        </w:trPr>
        <w:tc>
          <w:tcPr>
            <w:tcW w:w="80" w:type="dxa"/>
            <w:vAlign w:val="bottom"/>
            <w:vMerge w:val="continue"/>
            <w:shd w:val="clear" w:color="auto" w:fill="003763"/>
          </w:tcPr>
          <w:p>
            <w:pPr>
              <w:spacing w:after="0"/>
              <w:rPr>
                <w:sz w:val="4"/>
                <w:szCs w:val="4"/>
                <w:color w:val="auto"/>
              </w:rPr>
            </w:pPr>
          </w:p>
        </w:tc>
        <w:tc>
          <w:tcPr>
            <w:tcW w:w="6220" w:type="dxa"/>
            <w:vAlign w:val="bottom"/>
            <w:vMerge w:val="continue"/>
            <w:shd w:val="clear" w:color="auto" w:fill="003763"/>
          </w:tcPr>
          <w:p>
            <w:pPr>
              <w:spacing w:after="0"/>
              <w:rPr>
                <w:sz w:val="4"/>
                <w:szCs w:val="4"/>
                <w:color w:val="auto"/>
              </w:rPr>
            </w:pPr>
          </w:p>
        </w:tc>
        <w:tc>
          <w:tcPr>
            <w:tcW w:w="1060" w:type="dxa"/>
            <w:vAlign w:val="bottom"/>
            <w:vMerge w:val="continue"/>
            <w:shd w:val="clear" w:color="auto" w:fill="003763"/>
          </w:tcPr>
          <w:p>
            <w:pPr>
              <w:spacing w:after="0"/>
              <w:rPr>
                <w:sz w:val="4"/>
                <w:szCs w:val="4"/>
                <w:color w:val="auto"/>
              </w:rPr>
            </w:pPr>
          </w:p>
        </w:tc>
        <w:tc>
          <w:tcPr>
            <w:tcW w:w="300" w:type="dxa"/>
            <w:vAlign w:val="bottom"/>
            <w:vMerge w:val="continue"/>
            <w:shd w:val="clear" w:color="auto" w:fill="003763"/>
          </w:tcPr>
          <w:p>
            <w:pPr>
              <w:spacing w:after="0"/>
              <w:rPr>
                <w:sz w:val="4"/>
                <w:szCs w:val="4"/>
                <w:color w:val="auto"/>
              </w:rPr>
            </w:pPr>
          </w:p>
        </w:tc>
        <w:tc>
          <w:tcPr>
            <w:tcW w:w="380" w:type="dxa"/>
            <w:vAlign w:val="bottom"/>
            <w:shd w:val="clear" w:color="auto" w:fill="003763"/>
          </w:tcPr>
          <w:p>
            <w:pPr>
              <w:spacing w:after="0"/>
              <w:rPr>
                <w:sz w:val="4"/>
                <w:szCs w:val="4"/>
                <w:color w:val="auto"/>
              </w:rPr>
            </w:pPr>
          </w:p>
        </w:tc>
        <w:tc>
          <w:tcPr>
            <w:tcW w:w="320" w:type="dxa"/>
            <w:vAlign w:val="bottom"/>
            <w:shd w:val="clear" w:color="auto" w:fill="003763"/>
          </w:tcPr>
          <w:p>
            <w:pPr>
              <w:spacing w:after="0"/>
              <w:rPr>
                <w:sz w:val="4"/>
                <w:szCs w:val="4"/>
                <w:color w:val="auto"/>
              </w:rPr>
            </w:pPr>
          </w:p>
        </w:tc>
        <w:tc>
          <w:tcPr>
            <w:tcW w:w="300" w:type="dxa"/>
            <w:vAlign w:val="bottom"/>
            <w:shd w:val="clear" w:color="auto" w:fill="003763"/>
          </w:tcPr>
          <w:p>
            <w:pPr>
              <w:spacing w:after="0"/>
              <w:rPr>
                <w:sz w:val="4"/>
                <w:szCs w:val="4"/>
                <w:color w:val="auto"/>
              </w:rPr>
            </w:pPr>
          </w:p>
        </w:tc>
        <w:tc>
          <w:tcPr>
            <w:tcW w:w="340" w:type="dxa"/>
            <w:vAlign w:val="bottom"/>
            <w:shd w:val="clear" w:color="auto" w:fill="003763"/>
          </w:tcPr>
          <w:p>
            <w:pPr>
              <w:spacing w:after="0"/>
              <w:rPr>
                <w:sz w:val="4"/>
                <w:szCs w:val="4"/>
                <w:color w:val="auto"/>
              </w:rPr>
            </w:pPr>
          </w:p>
        </w:tc>
        <w:tc>
          <w:tcPr>
            <w:tcW w:w="260" w:type="dxa"/>
            <w:vAlign w:val="bottom"/>
            <w:vMerge w:val="continue"/>
            <w:shd w:val="clear" w:color="auto" w:fill="003763"/>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622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003763"/>
          </w:tcPr>
          <w:p>
            <w:pPr>
              <w:ind w:left="1020"/>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03763"/>
          </w:tcPr>
          <w:p>
            <w:pPr>
              <w:ind w:left="60"/>
              <w:spacing w:after="0"/>
              <w:rPr>
                <w:sz w:val="20"/>
                <w:szCs w:val="20"/>
                <w:color w:val="auto"/>
              </w:rPr>
            </w:pPr>
            <w:r>
              <w:rPr>
                <w:rFonts w:ascii="Arial" w:cs="Arial" w:eastAsia="Arial" w:hAnsi="Arial"/>
                <w:sz w:val="13"/>
                <w:szCs w:val="13"/>
                <w:b w:val="1"/>
                <w:bCs w:val="1"/>
                <w:color w:val="FFFFFF"/>
              </w:rPr>
              <w:t>​</w:t>
            </w:r>
          </w:p>
        </w:tc>
        <w:tc>
          <w:tcPr>
            <w:tcW w:w="3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2024</w:t>
            </w:r>
          </w:p>
        </w:tc>
        <w:tc>
          <w:tcPr>
            <w:tcW w:w="3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w w:val="96"/>
              </w:rPr>
              <w:t>2023</w:t>
            </w:r>
          </w:p>
        </w:tc>
        <w:tc>
          <w:tcPr>
            <w:tcW w:w="2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10"/>
        </w:trPr>
        <w:tc>
          <w:tcPr>
            <w:tcW w:w="6300" w:type="dxa"/>
            <w:vAlign w:val="bottom"/>
            <w:tcBorders>
              <w:bottom w:val="single" w:sz="8" w:color="CCCCCC"/>
            </w:tcBorders>
            <w:gridSpan w:val="2"/>
          </w:tcPr>
          <w:p>
            <w:pPr>
              <w:ind w:left="40"/>
              <w:spacing w:after="0" w:line="31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Integrated audit of financial statements and internal control over financial reporting</w:t>
            </w:r>
            <w:r>
              <w:rPr>
                <w:rFonts w:ascii="Arial" w:cs="Arial" w:eastAsia="Arial" w:hAnsi="Arial"/>
                <w:sz w:val="17"/>
                <w:szCs w:val="17"/>
                <w:color w:val="auto"/>
                <w:vertAlign w:val="superscript"/>
              </w:rPr>
              <w:t>(1)</w:t>
            </w:r>
          </w:p>
        </w:tc>
        <w:tc>
          <w:tcPr>
            <w:tcW w:w="2060" w:type="dxa"/>
            <w:vAlign w:val="bottom"/>
            <w:tcBorders>
              <w:bottom w:val="single" w:sz="8" w:color="CCCCCC"/>
            </w:tcBorders>
            <w:gridSpan w:val="4"/>
          </w:tcPr>
          <w:p>
            <w:pPr>
              <w:jc w:val="right"/>
              <w:spacing w:after="0" w:line="31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$6,105,000</w:t>
            </w:r>
            <w:r>
              <w:rPr>
                <w:rFonts w:ascii="Arial" w:cs="Arial" w:eastAsia="Arial" w:hAnsi="Arial"/>
                <w:sz w:val="28"/>
                <w:szCs w:val="28"/>
                <w:color w:val="auto"/>
                <w:vertAlign w:val="subscript"/>
              </w:rPr>
              <w:t>​​</w:t>
            </w:r>
          </w:p>
        </w:tc>
        <w:tc>
          <w:tcPr>
            <w:tcW w:w="900" w:type="dxa"/>
            <w:vAlign w:val="bottom"/>
            <w:tcBorders>
              <w:bottom w:val="single" w:sz="8" w:color="CCCCCC"/>
            </w:tcBorders>
            <w:gridSpan w:val="3"/>
          </w:tcPr>
          <w:p>
            <w:pPr>
              <w:jc w:val="right"/>
              <w:spacing w:after="0" w:line="31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$5,778,500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1"/>
        </w:trPr>
        <w:tc>
          <w:tcPr>
            <w:tcW w:w="630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Audit-related fees</w:t>
            </w:r>
            <w:r>
              <w:rPr>
                <w:rFonts w:ascii="Arial" w:cs="Arial" w:eastAsia="Arial" w:hAnsi="Arial"/>
                <w:sz w:val="17"/>
                <w:szCs w:val="17"/>
                <w:color w:val="auto"/>
                <w:vertAlign w:val="superscript"/>
              </w:rPr>
              <w:t>(2)</w:t>
            </w:r>
          </w:p>
        </w:tc>
        <w:tc>
          <w:tcPr>
            <w:tcW w:w="1060" w:type="dxa"/>
            <w:vAlign w:val="bottom"/>
            <w:tcBorders>
              <w:bottom w:val="single" w:sz="8" w:color="CCCCCC"/>
            </w:tcBorders>
            <w:shd w:val="clear" w:color="auto" w:fill="F2F2F2"/>
          </w:tcPr>
          <w:p>
            <w:pPr>
              <w:ind w:left="10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​2,602,145</w:t>
            </w:r>
            <w:r>
              <w:rPr>
                <w:rFonts w:ascii="Arial" w:cs="Arial" w:eastAsia="Arial" w:hAnsi="Arial"/>
                <w:sz w:val="28"/>
                <w:szCs w:val="28"/>
                <w:color w:val="auto"/>
                <w:vertAlign w:val="subscript"/>
              </w:rPr>
              <w:t>​​</w:t>
            </w:r>
          </w:p>
        </w:tc>
        <w:tc>
          <w:tcPr>
            <w:tcW w:w="90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​1,634,000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 audit and audit-related fees</w:t>
            </w:r>
          </w:p>
        </w:tc>
        <w:tc>
          <w:tcPr>
            <w:tcW w:w="1060" w:type="dxa"/>
            <w:vAlign w:val="bottom"/>
            <w:tcBorders>
              <w:bottom w:val="single" w:sz="8" w:color="CCCCCC"/>
            </w:tcBorders>
          </w:tcPr>
          <w:p>
            <w:pPr>
              <w:ind w:left="10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​8,707,145</w:t>
            </w:r>
            <w:r>
              <w:rPr>
                <w:rFonts w:ascii="Arial" w:cs="Arial" w:eastAsia="Arial" w:hAnsi="Arial"/>
                <w:sz w:val="28"/>
                <w:szCs w:val="28"/>
                <w:color w:val="auto"/>
                <w:vertAlign w:val="subscript"/>
              </w:rPr>
              <w:t>​​</w:t>
            </w:r>
          </w:p>
        </w:tc>
        <w:tc>
          <w:tcPr>
            <w:tcW w:w="90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​7,412,500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Tax fees</w:t>
            </w:r>
          </w:p>
        </w:tc>
        <w:tc>
          <w:tcPr>
            <w:tcW w:w="1060" w:type="dxa"/>
            <w:vAlign w:val="bottom"/>
            <w:tcBorders>
              <w:bottom w:val="single" w:sz="8" w:color="CCCCCC"/>
            </w:tcBorders>
            <w:shd w:val="clear" w:color="auto" w:fill="F2F2F2"/>
          </w:tcPr>
          <w:p>
            <w:pPr>
              <w:ind w:left="10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CCCC"/>
            </w:tcBorders>
            <w:shd w:val="clear" w:color="auto" w:fill="F2F2F2"/>
          </w:tcPr>
          <w:p>
            <w:pPr>
              <w:ind w:left="6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spacing w:after="0"/>
              <w:rPr>
                <w:sz w:val="22"/>
                <w:szCs w:val="22"/>
                <w:color w:val="auto"/>
              </w:rPr>
            </w:pPr>
          </w:p>
        </w:tc>
        <w:tc>
          <w:tcPr>
            <w:tcW w:w="3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30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40" w:type="dxa"/>
            <w:vAlign w:val="bottom"/>
            <w:tcBorders>
              <w:bottom w:val="single" w:sz="8" w:color="CCCCCC"/>
            </w:tcBorders>
            <w:shd w:val="clear" w:color="auto" w:fill="F2F2F2"/>
          </w:tcPr>
          <w:p>
            <w:pPr>
              <w:spacing w:after="0"/>
              <w:rPr>
                <w:sz w:val="22"/>
                <w:szCs w:val="22"/>
                <w:color w:val="auto"/>
              </w:rPr>
            </w:pPr>
          </w:p>
        </w:tc>
        <w:tc>
          <w:tcPr>
            <w:tcW w:w="26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630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All other fees</w:t>
            </w:r>
            <w:r>
              <w:rPr>
                <w:rFonts w:ascii="Arial" w:cs="Arial" w:eastAsia="Arial" w:hAnsi="Arial"/>
                <w:sz w:val="17"/>
                <w:szCs w:val="17"/>
                <w:color w:val="auto"/>
                <w:vertAlign w:val="superscript"/>
              </w:rPr>
              <w:t>(3)</w:t>
            </w:r>
          </w:p>
        </w:tc>
        <w:tc>
          <w:tcPr>
            <w:tcW w:w="1060" w:type="dxa"/>
            <w:vAlign w:val="bottom"/>
            <w:tcBorders>
              <w:bottom w:val="single" w:sz="8" w:color="CCCCCC"/>
            </w:tcBorders>
          </w:tcPr>
          <w:p>
            <w:pPr>
              <w:ind w:left="10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CCCC"/>
            </w:tcBorders>
          </w:tcPr>
          <w:p>
            <w:pPr>
              <w:ind w:left="6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7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2,051</w:t>
            </w:r>
            <w:r>
              <w:rPr>
                <w:rFonts w:ascii="Arial" w:cs="Arial" w:eastAsia="Arial" w:hAnsi="Arial"/>
                <w:sz w:val="28"/>
                <w:szCs w:val="28"/>
                <w:color w:val="auto"/>
                <w:vertAlign w:val="subscript"/>
              </w:rPr>
              <w:t>​​</w:t>
            </w:r>
          </w:p>
        </w:tc>
        <w:tc>
          <w:tcPr>
            <w:tcW w:w="300" w:type="dxa"/>
            <w:vAlign w:val="bottom"/>
            <w:tcBorders>
              <w:bottom w:val="single" w:sz="8" w:color="CCCCCC"/>
            </w:tcBorders>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6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2,051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62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Total fees</w:t>
            </w:r>
          </w:p>
        </w:tc>
        <w:tc>
          <w:tcPr>
            <w:tcW w:w="20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$8,709,196</w:t>
            </w:r>
            <w:r>
              <w:rPr>
                <w:rFonts w:ascii="Arial" w:cs="Arial" w:eastAsia="Arial" w:hAnsi="Arial"/>
                <w:sz w:val="28"/>
                <w:szCs w:val="28"/>
                <w:color w:val="auto"/>
                <w:vertAlign w:val="subscript"/>
              </w:rPr>
              <w:t>​​</w:t>
            </w:r>
          </w:p>
        </w:tc>
        <w:tc>
          <w:tcPr>
            <w:tcW w:w="90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$7,414,551</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-1310640</wp:posOffset>
            </wp:positionV>
            <wp:extent cx="10801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38" w:lineRule="exact"/>
        <w:rPr>
          <w:sz w:val="20"/>
          <w:szCs w:val="20"/>
          <w:color w:val="auto"/>
        </w:rPr>
      </w:pPr>
    </w:p>
    <w:p>
      <w:pPr>
        <w:ind w:left="920" w:right="240" w:hanging="189"/>
        <w:spacing w:after="0" w:line="198" w:lineRule="auto"/>
        <w:tabs>
          <w:tab w:leader="none" w:pos="920" w:val="left"/>
        </w:tabs>
        <w:numPr>
          <w:ilvl w:val="0"/>
          <w:numId w:val="139"/>
        </w:numPr>
        <w:rPr>
          <w:rFonts w:ascii="Arial" w:cs="Arial" w:eastAsia="Arial" w:hAnsi="Arial"/>
          <w:sz w:val="20"/>
          <w:szCs w:val="20"/>
          <w:color w:val="auto"/>
          <w:vertAlign w:val="superscript"/>
        </w:rPr>
      </w:pPr>
      <w:r>
        <w:rPr>
          <w:rFonts w:ascii="Arial" w:cs="Arial" w:eastAsia="Arial" w:hAnsi="Arial"/>
          <w:sz w:val="13"/>
          <w:szCs w:val="13"/>
          <w:color w:val="auto"/>
        </w:rPr>
        <w:t>For 2024 and 2023, amounts include fees for services provided by the principal accounting firm relating to the integrated audit for financial statements and internal control over financial reporting, statutory audits and regulatory filings.</w:t>
      </w:r>
    </w:p>
    <w:p>
      <w:pPr>
        <w:spacing w:after="0" w:line="64" w:lineRule="exact"/>
        <w:rPr>
          <w:rFonts w:ascii="Arial" w:cs="Arial" w:eastAsia="Arial" w:hAnsi="Arial"/>
          <w:sz w:val="20"/>
          <w:szCs w:val="20"/>
          <w:color w:val="auto"/>
          <w:vertAlign w:val="superscript"/>
        </w:rPr>
      </w:pPr>
    </w:p>
    <w:p>
      <w:pPr>
        <w:ind w:left="920" w:right="100" w:hanging="189"/>
        <w:spacing w:after="0" w:line="198" w:lineRule="auto"/>
        <w:tabs>
          <w:tab w:leader="none" w:pos="920" w:val="left"/>
        </w:tabs>
        <w:numPr>
          <w:ilvl w:val="0"/>
          <w:numId w:val="139"/>
        </w:numPr>
        <w:rPr>
          <w:rFonts w:ascii="Arial" w:cs="Arial" w:eastAsia="Arial" w:hAnsi="Arial"/>
          <w:sz w:val="20"/>
          <w:szCs w:val="20"/>
          <w:color w:val="auto"/>
          <w:vertAlign w:val="superscript"/>
        </w:rPr>
      </w:pPr>
      <w:r>
        <w:rPr>
          <w:rFonts w:ascii="Arial" w:cs="Arial" w:eastAsia="Arial" w:hAnsi="Arial"/>
          <w:sz w:val="13"/>
          <w:szCs w:val="13"/>
          <w:color w:val="auto"/>
        </w:rPr>
        <w:t>For 2024 and 2023, amounts include fees for comfort letters, consents and various agreed-upon or expanded procedures related to accounting and/or billing records to comply with financial accounting or regulatory reporting matters.</w:t>
      </w:r>
    </w:p>
    <w:p>
      <w:pPr>
        <w:spacing w:after="0" w:line="1"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139"/>
        </w:numPr>
        <w:rPr>
          <w:rFonts w:ascii="Arial" w:cs="Arial" w:eastAsia="Arial" w:hAnsi="Arial"/>
          <w:sz w:val="20"/>
          <w:szCs w:val="20"/>
          <w:color w:val="auto"/>
          <w:vertAlign w:val="superscript"/>
        </w:rPr>
      </w:pPr>
      <w:r>
        <w:rPr>
          <w:rFonts w:ascii="Arial" w:cs="Arial" w:eastAsia="Arial" w:hAnsi="Arial"/>
          <w:sz w:val="13"/>
          <w:szCs w:val="13"/>
          <w:color w:val="auto"/>
        </w:rPr>
        <w:t>Fees relate to a subscription-based service which provides the Company with access to benchmarking information and Deloitte research tools.</w:t>
      </w:r>
    </w:p>
    <w:p>
      <w:pPr>
        <w:spacing w:after="0" w:line="188" w:lineRule="exact"/>
        <w:rPr>
          <w:sz w:val="20"/>
          <w:szCs w:val="20"/>
          <w:color w:val="auto"/>
        </w:rPr>
      </w:pPr>
    </w:p>
    <w:p>
      <w:pPr>
        <w:ind w:left="740" w:right="940"/>
        <w:spacing w:after="0" w:line="285" w:lineRule="auto"/>
        <w:rPr>
          <w:sz w:val="20"/>
          <w:szCs w:val="20"/>
          <w:color w:val="auto"/>
        </w:rPr>
      </w:pPr>
      <w:r>
        <w:rPr>
          <w:rFonts w:ascii="Arial" w:cs="Arial" w:eastAsia="Arial" w:hAnsi="Arial"/>
          <w:sz w:val="22"/>
          <w:szCs w:val="22"/>
          <w:b w:val="1"/>
          <w:bCs w:val="1"/>
          <w:color w:val="6EC4E8"/>
        </w:rPr>
        <w:t>Audit Committee Policies and Procedures for Preapproval of Audit and Non-Audit Services</w:t>
      </w:r>
    </w:p>
    <w:p>
      <w:pPr>
        <w:spacing w:after="0" w:line="35" w:lineRule="exact"/>
        <w:rPr>
          <w:sz w:val="20"/>
          <w:szCs w:val="20"/>
          <w:color w:val="auto"/>
        </w:rPr>
      </w:pPr>
    </w:p>
    <w:p>
      <w:pPr>
        <w:ind w:left="740" w:right="40"/>
        <w:spacing w:after="0" w:line="262" w:lineRule="auto"/>
        <w:rPr>
          <w:sz w:val="20"/>
          <w:szCs w:val="20"/>
          <w:color w:val="auto"/>
        </w:rPr>
      </w:pPr>
      <w:r>
        <w:rPr>
          <w:rFonts w:ascii="Arial" w:cs="Arial" w:eastAsia="Arial" w:hAnsi="Arial"/>
          <w:sz w:val="16"/>
          <w:szCs w:val="16"/>
          <w:color w:val="auto"/>
        </w:rPr>
        <w:t>Consistent with SEC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p>
    <w:p>
      <w:pPr>
        <w:spacing w:after="0" w:line="109" w:lineRule="exact"/>
        <w:rPr>
          <w:sz w:val="20"/>
          <w:szCs w:val="20"/>
          <w:color w:val="auto"/>
        </w:rPr>
      </w:pPr>
    </w:p>
    <w:p>
      <w:pPr>
        <w:ind w:left="740" w:right="480"/>
        <w:spacing w:after="0" w:line="304" w:lineRule="auto"/>
        <w:rPr>
          <w:sz w:val="20"/>
          <w:szCs w:val="20"/>
          <w:color w:val="auto"/>
        </w:rPr>
      </w:pPr>
      <w:r>
        <w:rPr>
          <w:rFonts w:ascii="Arial" w:cs="Arial" w:eastAsia="Arial" w:hAnsi="Arial"/>
          <w:sz w:val="16"/>
          <w:szCs w:val="16"/>
          <w:color w:val="auto"/>
        </w:rPr>
        <w:t>During 2024, no preapproval requirements were waived for services included in the Audit-related fees caption of the fee table above pursuant to the limited waiver provisions in applicable rules of the SEC.</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1905000</wp:posOffset>
            </wp:positionV>
            <wp:extent cx="6806565" cy="57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571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6806565" cy="21005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03763"/>
        </w:rPr>
        <w:t>ITEM 2:</w:t>
      </w:r>
    </w:p>
    <w:p>
      <w:pPr>
        <w:spacing w:after="0" w:line="98" w:lineRule="exact"/>
        <w:rPr>
          <w:sz w:val="20"/>
          <w:szCs w:val="20"/>
          <w:color w:val="auto"/>
        </w:rPr>
      </w:pPr>
    </w:p>
    <w:p>
      <w:pPr>
        <w:ind w:left="740" w:right="660"/>
        <w:spacing w:after="0" w:line="270" w:lineRule="auto"/>
        <w:rPr>
          <w:sz w:val="20"/>
          <w:szCs w:val="20"/>
          <w:color w:val="auto"/>
        </w:rPr>
      </w:pPr>
      <w:r>
        <w:rPr>
          <w:rFonts w:ascii="Arial" w:cs="Arial" w:eastAsia="Arial" w:hAnsi="Arial"/>
          <w:sz w:val="34"/>
          <w:szCs w:val="34"/>
          <w:color w:val="6EC4E8"/>
        </w:rPr>
        <w:t>Ratification of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40" w:right="100"/>
        <w:spacing w:after="0" w:line="265" w:lineRule="auto"/>
        <w:rPr>
          <w:sz w:val="20"/>
          <w:szCs w:val="20"/>
          <w:color w:val="auto"/>
        </w:rPr>
      </w:pPr>
      <w:r>
        <w:rPr>
          <w:rFonts w:ascii="Arial" w:cs="Arial" w:eastAsia="Arial" w:hAnsi="Arial"/>
          <w:sz w:val="16"/>
          <w:szCs w:val="16"/>
          <w:color w:val="auto"/>
        </w:rPr>
        <w:t>The Audit Committee has appointed Deloitte &amp; Touche LLP as the independent registered public accounting firm to conduct the annual audit of CenterPoint Energy’s accounts for the fiscal year ending December 31, 2025.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p>
    <w:p>
      <w:pPr>
        <w:spacing w:after="0" w:line="118" w:lineRule="exact"/>
        <w:rPr>
          <w:sz w:val="20"/>
          <w:szCs w:val="20"/>
          <w:color w:val="auto"/>
        </w:rPr>
      </w:pPr>
    </w:p>
    <w:p>
      <w:pPr>
        <w:ind w:left="740" w:right="80"/>
        <w:spacing w:after="0" w:line="286" w:lineRule="auto"/>
        <w:rPr>
          <w:sz w:val="20"/>
          <w:szCs w:val="20"/>
          <w:color w:val="auto"/>
        </w:rPr>
      </w:pPr>
      <w:r>
        <w:rPr>
          <w:rFonts w:ascii="Arial" w:cs="Arial" w:eastAsia="Arial" w:hAnsi="Arial"/>
          <w:sz w:val="16"/>
          <w:szCs w:val="16"/>
          <w:color w:val="auto"/>
        </w:rPr>
        <w:t>Representatives of Deloitte &amp; Touche LLP will be present at the annual meeting and will have an opportunity to make a statement if they wish. They will be available to respond to appropriate questions from shareholders at the meeting.</w:t>
      </w:r>
    </w:p>
    <w:p>
      <w:pPr>
        <w:spacing w:after="0" w:line="102" w:lineRule="exact"/>
        <w:rPr>
          <w:sz w:val="20"/>
          <w:szCs w:val="20"/>
          <w:color w:val="auto"/>
        </w:rPr>
      </w:pPr>
    </w:p>
    <w:p>
      <w:pPr>
        <w:ind w:left="740" w:right="40"/>
        <w:spacing w:after="0" w:line="260" w:lineRule="auto"/>
        <w:rPr>
          <w:sz w:val="20"/>
          <w:szCs w:val="20"/>
          <w:color w:val="auto"/>
        </w:rPr>
      </w:pPr>
      <w:r>
        <w:rPr>
          <w:rFonts w:ascii="Arial" w:cs="Arial" w:eastAsia="Arial" w:hAnsi="Arial"/>
          <w:sz w:val="16"/>
          <w:szCs w:val="16"/>
          <w:color w:val="auto"/>
        </w:rPr>
        <w:t>To assure continuing auditor independence, the Audit Committee periodically considers whether there should be a regular rotation of the independent registered public accounting firm. Additionally, in conjunction with the mandated rotation of the lead engagement partner every five years, the Audit Committee, the independent registered public accounting firm and management discuss the timing and process for the rotation of the lead engagement partner. At the Audit Committee’s instruction, the independent registered public accounting firm identifies candidates for consideration for the lead engagement partner role based on desired skills and experience sought by management and the Audit Committee, who are then interviewed by management. Following these interviews, management makes a recommendation to the Audit Committee Chair regarding leading candidates for the new lead engagement partner. After discussing the qualifications of the proposed lead engagement partner candidates with the current lead engagement partner, the Audit Committee Chair and the other members of the Audit Committee, individually and/or as a group, interview the leading candidates. The Audit Committee then discusses and approves the appointment of the lead engagement partner. In preparation for the current lead engagement partner mandatory rotation, which takes effect in 2026, a new lead engagement partner has been selected by the Audit Committee. The members of the Audit Committee and the Board believe that the continued retention of Deloitte &amp; Touche LLP to serve as the Company’s independent registered public accounting firm is in the best interests of the Company and its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311785</wp:posOffset>
            </wp:positionV>
            <wp:extent cx="5880735" cy="7112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807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The Board of Directors recommends a vote FOR the ratification of the appointment of Deloitte &amp;</w:t>
      </w:r>
    </w:p>
    <w:p>
      <w:pPr>
        <w:spacing w:after="0" w:line="2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b w:val="1"/>
                <w:bCs w:val="1"/>
                <w:color w:val="auto"/>
              </w:rPr>
              <w:t>​</w:t>
            </w:r>
          </w:p>
        </w:tc>
        <w:tc>
          <w:tcPr>
            <w:tcW w:w="8140" w:type="dxa"/>
            <w:vAlign w:val="bottom"/>
          </w:tcPr>
          <w:p>
            <w:pPr>
              <w:ind w:left="480"/>
              <w:spacing w:after="0"/>
              <w:rPr>
                <w:sz w:val="20"/>
                <w:szCs w:val="20"/>
                <w:color w:val="auto"/>
              </w:rPr>
            </w:pPr>
            <w:r>
              <w:rPr>
                <w:rFonts w:ascii="Arial" w:cs="Arial" w:eastAsia="Arial" w:hAnsi="Arial"/>
                <w:sz w:val="16"/>
                <w:szCs w:val="16"/>
                <w:b w:val="1"/>
                <w:bCs w:val="1"/>
                <w:color w:val="auto"/>
              </w:rPr>
              <w:t>​ ​ Touche LLP as our independent registered public accounting firm for the fiscal year ending</w:t>
            </w:r>
          </w:p>
        </w:tc>
        <w:tc>
          <w:tcPr>
            <w:tcW w:w="540" w:type="dxa"/>
            <w:vAlign w:val="bottom"/>
          </w:tcPr>
          <w:p>
            <w:pPr>
              <w:ind w:left="500"/>
              <w:spacing w:after="0"/>
              <w:rPr>
                <w:sz w:val="20"/>
                <w:szCs w:val="20"/>
                <w:color w:val="auto"/>
              </w:rPr>
            </w:pPr>
            <w:r>
              <w:rPr>
                <w:rFonts w:ascii="Arial" w:cs="Arial" w:eastAsia="Arial" w:hAnsi="Arial"/>
                <w:sz w:val="16"/>
                <w:szCs w:val="16"/>
                <w:b w:val="1"/>
                <w:bCs w:val="1"/>
                <w:color w:val="auto"/>
              </w:rPr>
              <w:t>​</w:t>
            </w:r>
          </w:p>
        </w:tc>
      </w:tr>
      <w:tr>
        <w:trPr>
          <w:trHeight w:val="223"/>
        </w:trPr>
        <w:tc>
          <w:tcPr>
            <w:tcW w:w="520" w:type="dxa"/>
            <w:vAlign w:val="bottom"/>
          </w:tcPr>
          <w:p>
            <w:pPr>
              <w:spacing w:after="0"/>
              <w:rPr>
                <w:sz w:val="19"/>
                <w:szCs w:val="19"/>
                <w:color w:val="auto"/>
              </w:rPr>
            </w:pPr>
          </w:p>
        </w:tc>
        <w:tc>
          <w:tcPr>
            <w:tcW w:w="8140" w:type="dxa"/>
            <w:vAlign w:val="bottom"/>
          </w:tcPr>
          <w:p>
            <w:pPr>
              <w:ind w:left="640"/>
              <w:spacing w:after="0"/>
              <w:rPr>
                <w:sz w:val="20"/>
                <w:szCs w:val="20"/>
                <w:color w:val="auto"/>
              </w:rPr>
            </w:pPr>
            <w:r>
              <w:rPr>
                <w:rFonts w:ascii="Arial" w:cs="Arial" w:eastAsia="Arial" w:hAnsi="Arial"/>
                <w:sz w:val="16"/>
                <w:szCs w:val="16"/>
                <w:b w:val="1"/>
                <w:bCs w:val="1"/>
                <w:color w:val="auto"/>
              </w:rPr>
              <w:t>December 31, 2025.</w:t>
            </w:r>
          </w:p>
        </w:tc>
        <w:tc>
          <w:tcPr>
            <w:tcW w:w="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8065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1579245</wp:posOffset>
            </wp:positionV>
            <wp:extent cx="6806565" cy="571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571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6806565" cy="21005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03763"/>
        </w:rPr>
        <w:t>ITEM 3:</w:t>
      </w:r>
    </w:p>
    <w:p>
      <w:pPr>
        <w:spacing w:after="0" w:line="71"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680656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right="180"/>
        <w:spacing w:after="0" w:line="248" w:lineRule="auto"/>
        <w:rPr>
          <w:sz w:val="20"/>
          <w:szCs w:val="20"/>
          <w:color w:val="auto"/>
        </w:rPr>
      </w:pPr>
      <w:r>
        <w:rPr>
          <w:rFonts w:ascii="Arial" w:cs="Arial" w:eastAsia="Arial" w:hAnsi="Arial"/>
          <w:sz w:val="16"/>
          <w:szCs w:val="16"/>
          <w:color w:val="auto"/>
        </w:rPr>
        <w:t>In accordance with Section 14A of the Exchange Act and the related rules of the SEC, we are providing our shareholders with the opportunity to cast an advisory vote on the compensation of our named executive officers at the Annual Meeting. This item, commonly referred to as a “say-on-pay” vote, provides you, as a CenterPoint Energy shareholder, the opportunity to express your views regarding the compensation of our named executive officers as disclosed in this Proxy Statement.</w:t>
      </w:r>
    </w:p>
    <w:p>
      <w:pPr>
        <w:spacing w:after="0" w:line="50" w:lineRule="exact"/>
        <w:rPr>
          <w:sz w:val="20"/>
          <w:szCs w:val="20"/>
          <w:color w:val="auto"/>
        </w:rPr>
      </w:pPr>
    </w:p>
    <w:p>
      <w:pPr>
        <w:ind w:left="740" w:right="100"/>
        <w:spacing w:after="0" w:line="243" w:lineRule="auto"/>
        <w:rPr>
          <w:sz w:val="20"/>
          <w:szCs w:val="20"/>
          <w:color w:val="auto"/>
        </w:rPr>
      </w:pPr>
      <w:r>
        <w:rPr>
          <w:rFonts w:ascii="Arial" w:cs="Arial" w:eastAsia="Arial" w:hAnsi="Arial"/>
          <w:sz w:val="16"/>
          <w:szCs w:val="16"/>
          <w:color w:val="auto"/>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p>
    <w:p>
      <w:pPr>
        <w:spacing w:after="0" w:line="14" w:lineRule="exact"/>
        <w:rPr>
          <w:sz w:val="20"/>
          <w:szCs w:val="20"/>
          <w:color w:val="auto"/>
        </w:rPr>
      </w:pPr>
    </w:p>
    <w:p>
      <w:pPr>
        <w:ind w:left="920" w:right="80" w:hanging="189"/>
        <w:spacing w:after="0" w:line="264" w:lineRule="auto"/>
        <w:tabs>
          <w:tab w:leader="none" w:pos="920"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Pay for Performance. </w:t>
      </w:r>
      <w:r>
        <w:rPr>
          <w:rFonts w:ascii="Arial" w:cs="Arial" w:eastAsia="Arial" w:hAnsi="Arial"/>
          <w:sz w:val="16"/>
          <w:szCs w:val="16"/>
          <w:color w:val="auto"/>
        </w:rPr>
        <w:t>The guiding principle of our compensation philosophy is that the interests of executives and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Human Capital and Compensation Committee. While compensation targets will to a large extent reflect the market, actual compensation in a given year will vary based on CenterPoint Energy’s performance, and to a lesser extent, on qualitative appraisals of individual performance. The following graphics reflect the components of the target total direct compensation opportunities provided to our named executive officers.</w:t>
      </w:r>
    </w:p>
    <w:p>
      <w:pPr>
        <w:spacing w:after="0" w:line="1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003763"/>
        </w:rPr>
        <w:t>Target Compensation Mix as of December 31, 2024</w:t>
      </w:r>
    </w:p>
    <w:p>
      <w:pPr>
        <w:spacing w:after="0" w:line="59"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74930</wp:posOffset>
            </wp:positionV>
            <wp:extent cx="5443220" cy="19627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4322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right="220" w:hanging="109"/>
        <w:spacing w:after="0" w:line="306" w:lineRule="auto"/>
        <w:tabs>
          <w:tab w:leader="none" w:pos="84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graphic represents the average size of each component as a percentage of each named executive officer’s total target direct compensation opportunities (other than the Chief Executive Officer’s and Ms. Wilson’s) as of December 31, 2024, approved by the Human Capital and Compensation Committee in 2024.</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8065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0" w:right="240" w:hanging="189"/>
        <w:spacing w:after="0" w:line="248"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Market-Based Compensation Targets</w:t>
      </w:r>
      <w:r>
        <w:rPr>
          <w:rFonts w:ascii="Arial" w:cs="Arial" w:eastAsia="Arial" w:hAnsi="Arial"/>
          <w:sz w:val="16"/>
          <w:szCs w:val="16"/>
          <w:color w:val="auto"/>
        </w:rPr>
        <w:t>. We generally target the middle of the market (25</w:t>
      </w:r>
      <w:r>
        <w:rPr>
          <w:rFonts w:ascii="Arial" w:cs="Arial" w:eastAsia="Arial" w:hAnsi="Arial"/>
          <w:sz w:val="25"/>
          <w:szCs w:val="25"/>
          <w:color w:val="auto"/>
          <w:vertAlign w:val="superscript"/>
        </w:rPr>
        <w:t>th</w:t>
      </w:r>
      <w:r>
        <w:rPr>
          <w:rFonts w:ascii="Arial" w:cs="Arial" w:eastAsia="Arial" w:hAnsi="Arial"/>
          <w:sz w:val="16"/>
          <w:szCs w:val="16"/>
          <w:color w:val="auto"/>
        </w:rPr>
        <w:t> – 75</w:t>
      </w:r>
      <w:r>
        <w:rPr>
          <w:rFonts w:ascii="Arial" w:cs="Arial" w:eastAsia="Arial" w:hAnsi="Arial"/>
          <w:sz w:val="25"/>
          <w:szCs w:val="25"/>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percentiles) for each major</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Human Capital and Compensation Committee considers the data provided by its independent compensation consultant, the level and nature of the executive’s responsibility, the executive’s experience and the Committee’s own qualitative assessment of the executive’s performance.</w:t>
      </w:r>
    </w:p>
    <w:p>
      <w:pPr>
        <w:spacing w:after="0" w:line="65" w:lineRule="exact"/>
        <w:rPr>
          <w:rFonts w:ascii="Arial" w:cs="Arial" w:eastAsia="Arial" w:hAnsi="Arial"/>
          <w:sz w:val="16"/>
          <w:szCs w:val="16"/>
          <w:color w:val="auto"/>
        </w:rPr>
      </w:pPr>
    </w:p>
    <w:p>
      <w:pPr>
        <w:ind w:left="920" w:right="140" w:hanging="189"/>
        <w:spacing w:after="0" w:line="275"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No Employment Agreements. </w:t>
      </w:r>
      <w:r>
        <w:rPr>
          <w:rFonts w:ascii="Arial" w:cs="Arial" w:eastAsia="Arial" w:hAnsi="Arial"/>
          <w:sz w:val="16"/>
          <w:szCs w:val="16"/>
          <w:color w:val="auto"/>
        </w:rPr>
        <w:t>We do not maintain executive employment agreements with any of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named executive officers are not entitled to guaranteed cash severance payments upon a termination of employment except pursuant to our change in control plan.</w:t>
      </w:r>
    </w:p>
    <w:p>
      <w:pPr>
        <w:spacing w:after="0" w:line="56" w:lineRule="exact"/>
        <w:rPr>
          <w:rFonts w:ascii="Arial" w:cs="Arial" w:eastAsia="Arial" w:hAnsi="Arial"/>
          <w:sz w:val="16"/>
          <w:szCs w:val="16"/>
          <w:color w:val="auto"/>
        </w:rPr>
      </w:pPr>
    </w:p>
    <w:p>
      <w:pPr>
        <w:ind w:left="920" w:right="60" w:hanging="189"/>
        <w:spacing w:after="0" w:line="265"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Plan. </w:t>
      </w:r>
      <w:r>
        <w:rPr>
          <w:rFonts w:ascii="Arial" w:cs="Arial" w:eastAsia="Arial" w:hAnsi="Arial"/>
          <w:sz w:val="16"/>
          <w:szCs w:val="16"/>
          <w:color w:val="auto"/>
        </w:rPr>
        <w:t>Our Board of Directors approved a change in control plan, as amended and restated, effective May 1,</w:t>
      </w:r>
      <w:r>
        <w:rPr>
          <w:rFonts w:ascii="Arial" w:cs="Arial" w:eastAsia="Arial" w:hAnsi="Arial"/>
          <w:sz w:val="16"/>
          <w:szCs w:val="16"/>
          <w:i w:val="1"/>
          <w:iCs w:val="1"/>
          <w:color w:val="auto"/>
        </w:rPr>
        <w:t xml:space="preserve"> </w:t>
      </w:r>
      <w:r>
        <w:rPr>
          <w:rFonts w:ascii="Arial" w:cs="Arial" w:eastAsia="Arial" w:hAnsi="Arial"/>
          <w:sz w:val="16"/>
          <w:szCs w:val="16"/>
          <w:color w:val="auto"/>
        </w:rPr>
        <w:t>2017, which was further amended effective as of March 1, 2021 and January 1, 2022, that applies to all of our named executive officers. The plan contains a “double trigger,” whereby the executive is eligible for change in control benefits only if employment is terminated under certain circumstances within a set period before or after a change in control. Our change in control plan does not provide for excise tax gross up payments.</w:t>
      </w:r>
    </w:p>
    <w:p>
      <w:pPr>
        <w:spacing w:after="0" w:line="64" w:lineRule="exact"/>
        <w:rPr>
          <w:rFonts w:ascii="Arial" w:cs="Arial" w:eastAsia="Arial" w:hAnsi="Arial"/>
          <w:sz w:val="16"/>
          <w:szCs w:val="16"/>
          <w:color w:val="auto"/>
        </w:rPr>
      </w:pPr>
    </w:p>
    <w:p>
      <w:pPr>
        <w:ind w:left="920" w:right="440" w:hanging="189"/>
        <w:spacing w:after="0" w:line="275"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Executive Severance Guidelines. </w:t>
      </w:r>
      <w:r>
        <w:rPr>
          <w:rFonts w:ascii="Arial" w:cs="Arial" w:eastAsia="Arial" w:hAnsi="Arial"/>
          <w:sz w:val="16"/>
          <w:szCs w:val="16"/>
          <w:color w:val="auto"/>
        </w:rPr>
        <w:t>The Human Capital and Compensation Committee has adopted executive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to set forth appropriate limits on any severance payments to our named executive officers. The guidelines do not entitle any executive officer to a severance payment.</w:t>
      </w:r>
    </w:p>
    <w:p>
      <w:pPr>
        <w:spacing w:after="0" w:line="42" w:lineRule="exact"/>
        <w:rPr>
          <w:rFonts w:ascii="Arial" w:cs="Arial" w:eastAsia="Arial" w:hAnsi="Arial"/>
          <w:sz w:val="16"/>
          <w:szCs w:val="16"/>
          <w:color w:val="auto"/>
        </w:rPr>
      </w:pPr>
    </w:p>
    <w:p>
      <w:pPr>
        <w:jc w:val="both"/>
        <w:ind w:left="920" w:right="240" w:hanging="189"/>
        <w:spacing w:after="0" w:line="268"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We maintain executive stock ownership guidelines applicable to certain of our officers,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to appropriately align the interests of our officers with our shareholders’ interests for CenterPoint Energy common stock. Our guidelines provide that our President and Chief Executive Officer should own CenterPoint Energy common stock having a market value of five times base salary, our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p>
    <w:p>
      <w:pPr>
        <w:spacing w:after="0" w:line="49" w:lineRule="exact"/>
        <w:rPr>
          <w:rFonts w:ascii="Arial" w:cs="Arial" w:eastAsia="Arial" w:hAnsi="Arial"/>
          <w:sz w:val="16"/>
          <w:szCs w:val="16"/>
          <w:color w:val="auto"/>
        </w:rPr>
      </w:pPr>
    </w:p>
    <w:p>
      <w:pPr>
        <w:ind w:left="920" w:right="20" w:hanging="189"/>
        <w:spacing w:after="0" w:line="265"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Anti-Hedging and Anti-Pledging Policy. </w:t>
      </w:r>
      <w:r>
        <w:rPr>
          <w:rFonts w:ascii="Arial" w:cs="Arial" w:eastAsia="Arial" w:hAnsi="Arial"/>
          <w:sz w:val="16"/>
          <w:szCs w:val="16"/>
          <w:color w:val="auto"/>
        </w:rPr>
        <w:t>As part of our Insider Trading Policy, our officers, employees, and directors are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 Additionally, our Insider Trading Policy prohibits our employees and directors from pledging CenterPoint Energy securities as collateral for a loan.</w:t>
      </w:r>
    </w:p>
    <w:p>
      <w:pPr>
        <w:spacing w:after="0" w:line="63" w:lineRule="exact"/>
        <w:rPr>
          <w:rFonts w:ascii="Arial" w:cs="Arial" w:eastAsia="Arial" w:hAnsi="Arial"/>
          <w:sz w:val="16"/>
          <w:szCs w:val="16"/>
          <w:color w:val="auto"/>
        </w:rPr>
      </w:pPr>
    </w:p>
    <w:p>
      <w:pPr>
        <w:ind w:left="920" w:right="40" w:hanging="189"/>
        <w:spacing w:after="0" w:line="262"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Recovery and Recoupment (Clawback) Policies. </w:t>
      </w:r>
      <w:r>
        <w:rPr>
          <w:rFonts w:ascii="Arial" w:cs="Arial" w:eastAsia="Arial" w:hAnsi="Arial"/>
          <w:sz w:val="16"/>
          <w:szCs w:val="16"/>
          <w:color w:val="auto"/>
        </w:rPr>
        <w:t>We have implemented an Executive Officer Recovery Policy in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NYSE listing standards issued in accordance with the Dodd Frank Act of 2010 that provides for the recovery of incentive-based compensation from executive officers in the event of an accounting restatement due to material noncompliance with any financial reporting requirement under securities laws, regardless of the executive officer’s culpability. We also maintain a separate policy for the recoupment of incentive compensation from any officer, regardless of culpability, in the event of an accounting restatement where the restatement would have resulted in a lower amount of incentive compensation and for the recoupment of any compensation, including time-based restricted awards, from any employee who is found to have engaged in wrongdoing in connection with corporate criminal misconduct.</w:t>
      </w:r>
    </w:p>
    <w:p>
      <w:pPr>
        <w:spacing w:after="0" w:line="53" w:lineRule="exact"/>
        <w:rPr>
          <w:rFonts w:ascii="Arial" w:cs="Arial" w:eastAsia="Arial" w:hAnsi="Arial"/>
          <w:sz w:val="16"/>
          <w:szCs w:val="16"/>
          <w:color w:val="auto"/>
        </w:rPr>
      </w:pPr>
    </w:p>
    <w:p>
      <w:pPr>
        <w:ind w:left="920" w:right="120" w:hanging="189"/>
        <w:spacing w:after="0" w:line="304"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100% Independent Human Capital and Compensation Committee. </w:t>
      </w:r>
      <w:r>
        <w:rPr>
          <w:rFonts w:ascii="Arial" w:cs="Arial" w:eastAsia="Arial" w:hAnsi="Arial"/>
          <w:sz w:val="16"/>
          <w:szCs w:val="16"/>
          <w:color w:val="auto"/>
        </w:rPr>
        <w:t>The Human Capital and Compensation Committee consists</w:t>
      </w:r>
      <w:r>
        <w:rPr>
          <w:rFonts w:ascii="Arial" w:cs="Arial" w:eastAsia="Arial" w:hAnsi="Arial"/>
          <w:sz w:val="16"/>
          <w:szCs w:val="16"/>
          <w:i w:val="1"/>
          <w:iCs w:val="1"/>
          <w:color w:val="auto"/>
        </w:rPr>
        <w:t xml:space="preserve"> </w:t>
      </w:r>
      <w:r>
        <w:rPr>
          <w:rFonts w:ascii="Arial" w:cs="Arial" w:eastAsia="Arial" w:hAnsi="Arial"/>
          <w:sz w:val="16"/>
          <w:szCs w:val="16"/>
          <w:color w:val="auto"/>
        </w:rPr>
        <w:t>entirely of independent directors.</w:t>
      </w:r>
    </w:p>
    <w:p>
      <w:pPr>
        <w:spacing w:after="0" w:line="19" w:lineRule="exact"/>
        <w:rPr>
          <w:rFonts w:ascii="Arial" w:cs="Arial" w:eastAsia="Arial" w:hAnsi="Arial"/>
          <w:sz w:val="16"/>
          <w:szCs w:val="16"/>
          <w:color w:val="auto"/>
        </w:rPr>
      </w:pPr>
    </w:p>
    <w:p>
      <w:pPr>
        <w:ind w:left="920" w:right="20" w:hanging="189"/>
        <w:spacing w:after="0" w:line="304" w:lineRule="auto"/>
        <w:tabs>
          <w:tab w:leader="none" w:pos="92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The Human Capital and Compensation Committee retains an independent consultant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advice on executive compensation matters.</w:t>
      </w:r>
    </w:p>
    <w:p>
      <w:pPr>
        <w:spacing w:after="0" w:line="74" w:lineRule="exact"/>
        <w:rPr>
          <w:sz w:val="20"/>
          <w:szCs w:val="20"/>
          <w:color w:val="auto"/>
        </w:rPr>
      </w:pPr>
    </w:p>
    <w:p>
      <w:pPr>
        <w:ind w:left="740" w:right="100"/>
        <w:spacing w:after="0" w:line="259" w:lineRule="auto"/>
        <w:rPr>
          <w:sz w:val="20"/>
          <w:szCs w:val="20"/>
          <w:color w:val="auto"/>
        </w:rPr>
      </w:pPr>
      <w:r>
        <w:rPr>
          <w:rFonts w:ascii="Arial" w:cs="Arial" w:eastAsia="Arial" w:hAnsi="Arial"/>
          <w:sz w:val="16"/>
          <w:szCs w:val="16"/>
          <w:color w:val="auto"/>
        </w:rPr>
        <w:t>The discussion under “Compensation Discussion and Analysis” describes our executive compensation program and the related decisions made by the Human Capital and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p>
    <w:p>
      <w:pPr>
        <w:spacing w:after="0" w:line="110" w:lineRule="exact"/>
        <w:rPr>
          <w:sz w:val="20"/>
          <w:szCs w:val="20"/>
          <w:color w:val="auto"/>
        </w:rPr>
      </w:pPr>
    </w:p>
    <w:p>
      <w:pPr>
        <w:ind w:left="740" w:right="240"/>
        <w:spacing w:after="0" w:line="286" w:lineRule="auto"/>
        <w:rPr>
          <w:sz w:val="20"/>
          <w:szCs w:val="20"/>
          <w:color w:val="auto"/>
        </w:rPr>
      </w:pPr>
      <w:r>
        <w:rPr>
          <w:rFonts w:ascii="Arial" w:cs="Arial" w:eastAsia="Arial" w:hAnsi="Arial"/>
          <w:sz w:val="16"/>
          <w:szCs w:val="16"/>
          <w:color w:val="auto"/>
        </w:rPr>
        <w:t>In accordance with Section 14A of the Exchange Act and the related rules of the SEC, we are asking our shareholders entitled to vote on the matter to approve the following resolution regarding the compensation of our named executive officers:</w:t>
      </w:r>
    </w:p>
    <w:p>
      <w:pPr>
        <w:spacing w:after="0" w:line="88" w:lineRule="exact"/>
        <w:rPr>
          <w:sz w:val="20"/>
          <w:szCs w:val="20"/>
          <w:color w:val="auto"/>
        </w:rPr>
      </w:pPr>
    </w:p>
    <w:p>
      <w:pPr>
        <w:ind w:left="1100" w:right="100"/>
        <w:spacing w:after="0" w:line="259" w:lineRule="auto"/>
        <w:rPr>
          <w:sz w:val="20"/>
          <w:szCs w:val="20"/>
          <w:color w:val="auto"/>
        </w:rPr>
      </w:pPr>
      <w:r>
        <w:rPr>
          <w:rFonts w:ascii="Arial" w:cs="Arial" w:eastAsia="Arial" w:hAnsi="Arial"/>
          <w:sz w:val="16"/>
          <w:szCs w:val="16"/>
          <w:b w:val="1"/>
          <w:bCs w:val="1"/>
          <w:color w:val="auto"/>
        </w:rPr>
        <w:t>RESOLVED, that the shareholders of CenterPoint Energy, Inc. (the “Company”) hereby approve, on an advisory basis, the compensation paid to the Company’s named executive officers, as disclosed in the proxy statement for the Company’s 2025 Annual Meeting of Shareholders pursuant to the compensation disclosure rules of the Securities and Exchange Commission, including the Compensation Discussion and Analysis, compensation tables and narrative discussion.</w:t>
      </w:r>
    </w:p>
    <w:p>
      <w:pPr>
        <w:spacing w:after="0" w:line="87" w:lineRule="exact"/>
        <w:rPr>
          <w:sz w:val="20"/>
          <w:szCs w:val="20"/>
          <w:color w:val="auto"/>
        </w:rPr>
      </w:pPr>
    </w:p>
    <w:p>
      <w:pPr>
        <w:ind w:left="740" w:right="260"/>
        <w:spacing w:after="0" w:line="286" w:lineRule="auto"/>
        <w:rPr>
          <w:sz w:val="20"/>
          <w:szCs w:val="20"/>
          <w:color w:val="auto"/>
        </w:rPr>
      </w:pPr>
      <w:r>
        <w:rPr>
          <w:rFonts w:ascii="Arial" w:cs="Arial" w:eastAsia="Arial" w:hAnsi="Arial"/>
          <w:sz w:val="16"/>
          <w:szCs w:val="16"/>
          <w:color w:val="auto"/>
        </w:rPr>
        <w:t>Approval of the foregoing resolution requires the affirmative vote of a majority of the shares of common stock entitled to vote and voted for or against this item. Abstentions and broker non-votes will not affect the outcome of the vote on this item.</w:t>
      </w:r>
    </w:p>
    <w:p>
      <w:pPr>
        <w:spacing w:after="0" w:line="88" w:lineRule="exact"/>
        <w:rPr>
          <w:sz w:val="20"/>
          <w:szCs w:val="20"/>
          <w:color w:val="auto"/>
        </w:rPr>
      </w:pPr>
    </w:p>
    <w:p>
      <w:pPr>
        <w:ind w:left="740" w:right="380"/>
        <w:spacing w:after="0" w:line="321" w:lineRule="auto"/>
        <w:rPr>
          <w:sz w:val="20"/>
          <w:szCs w:val="20"/>
          <w:color w:val="auto"/>
        </w:rPr>
      </w:pPr>
      <w:r>
        <w:rPr>
          <w:rFonts w:ascii="Arial" w:cs="Arial" w:eastAsia="Arial" w:hAnsi="Arial"/>
          <w:sz w:val="15"/>
          <w:szCs w:val="15"/>
          <w:color w:val="auto"/>
        </w:rPr>
        <w:t>As an advisory vote, this proposal is not binding upon CenterPoint Energy or the Board of Directors. The final decision on the compensation and benefits of our named executive officers and on whether and how to address the results of the vote remains</w:t>
      </w:r>
    </w:p>
    <w:p>
      <w:pPr>
        <w:sectPr>
          <w:pgSz w:w="11900" w:h="16838" w:orient="portrait"/>
          <w:cols w:equalWidth="0" w:num="1">
            <w:col w:w="10020"/>
          </w:cols>
          <w:pgMar w:left="580" w:top="97" w:right="1299" w:bottom="1440" w:gutter="0" w:footer="0" w:header="0"/>
        </w:sectPr>
      </w:pPr>
    </w:p>
    <w:p>
      <w:pPr>
        <w:spacing w:after="0" w:line="183"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20"/>
        <w:spacing w:after="0" w:line="265" w:lineRule="auto"/>
        <w:rPr>
          <w:sz w:val="20"/>
          <w:szCs w:val="20"/>
          <w:color w:val="auto"/>
        </w:rPr>
      </w:pPr>
      <w:r>
        <w:rPr>
          <w:rFonts w:ascii="Arial" w:cs="Arial" w:eastAsia="Arial" w:hAnsi="Arial"/>
          <w:sz w:val="16"/>
          <w:szCs w:val="16"/>
          <w:color w:val="auto"/>
        </w:rPr>
        <w:t>with the Board of Directors and the Human Capital and Compensation Committee. However, the Board of Directors values the opinions expressed by our shareholders, and the Human Capital and Compensation Committee will consider the outcome of the vote when making future compensation decisions for our named executive officers. The Company currently expects to hold the next shareholder advisory vote on executive compensation at the Company’s 2026 annual meeting of shareholders.</w:t>
      </w:r>
    </w:p>
    <w:p>
      <w:pPr>
        <w:spacing w:after="0" w:line="200" w:lineRule="exact"/>
        <w:rPr>
          <w:sz w:val="20"/>
          <w:szCs w:val="20"/>
          <w:color w:val="auto"/>
        </w:rPr>
      </w:pPr>
    </w:p>
    <w:p>
      <w:pPr>
        <w:spacing w:after="0" w:line="284" w:lineRule="exact"/>
        <w:rPr>
          <w:sz w:val="20"/>
          <w:szCs w:val="20"/>
          <w:color w:val="auto"/>
        </w:rPr>
      </w:pPr>
    </w:p>
    <w:tbl>
      <w:tblPr>
        <w:tblLayout w:type="fixed"/>
        <w:tblInd w:w="740" w:type="dxa"/>
        <w:tblCellMar>
          <w:top w:w="0" w:type="dxa"/>
          <w:left w:w="0" w:type="dxa"/>
          <w:bottom w:w="0" w:type="dxa"/>
          <w:right w:w="0" w:type="dxa"/>
        </w:tblCellMar>
      </w:tblPr>
      <w:tr>
        <w:trPr>
          <w:trHeight w:val="569"/>
        </w:trPr>
        <w:tc>
          <w:tcPr>
            <w:tcW w:w="560" w:type="dxa"/>
            <w:vAlign w:val="bottom"/>
            <w:shd w:val="clear" w:color="auto" w:fill="6EC4E8"/>
          </w:tcPr>
          <w:p>
            <w:pPr>
              <w:ind w:lef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6EC4E8"/>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746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The Board of Directors recommends a vote FOR the approval, on an advisory basis, of the</w:t>
            </w:r>
          </w:p>
        </w:tc>
        <w:tc>
          <w:tcPr>
            <w:tcW w:w="600" w:type="dxa"/>
            <w:vAlign w:val="bottom"/>
            <w:shd w:val="clear" w:color="auto" w:fill="F2F2F2"/>
          </w:tcPr>
          <w:p>
            <w:pPr>
              <w:ind w:left="540"/>
              <w:spacing w:after="0"/>
              <w:rPr>
                <w:sz w:val="20"/>
                <w:szCs w:val="20"/>
                <w:color w:val="auto"/>
              </w:rPr>
            </w:pPr>
            <w:r>
              <w:rPr>
                <w:rFonts w:ascii="Arial" w:cs="Arial" w:eastAsia="Arial" w:hAnsi="Arial"/>
                <w:sz w:val="16"/>
                <w:szCs w:val="16"/>
                <w:color w:val="auto"/>
              </w:rPr>
              <w:t>​</w:t>
            </w:r>
          </w:p>
        </w:tc>
      </w:tr>
      <w:tr>
        <w:trPr>
          <w:trHeight w:val="223"/>
        </w:trPr>
        <w:tc>
          <w:tcPr>
            <w:tcW w:w="560" w:type="dxa"/>
            <w:vAlign w:val="bottom"/>
            <w:shd w:val="clear" w:color="auto" w:fill="6EC4E8"/>
          </w:tcPr>
          <w:p>
            <w:pPr>
              <w:spacing w:after="0"/>
              <w:rPr>
                <w:sz w:val="19"/>
                <w:szCs w:val="19"/>
                <w:color w:val="auto"/>
              </w:rPr>
            </w:pPr>
          </w:p>
        </w:tc>
        <w:tc>
          <w:tcPr>
            <w:tcW w:w="520" w:type="dxa"/>
            <w:vAlign w:val="bottom"/>
            <w:shd w:val="clear" w:color="auto" w:fill="6EC4E8"/>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746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compensation paid to our named executive officers as disclosed in this Proxy Statement.</w:t>
            </w:r>
          </w:p>
        </w:tc>
        <w:tc>
          <w:tcPr>
            <w:tcW w:w="600" w:type="dxa"/>
            <w:vAlign w:val="bottom"/>
            <w:shd w:val="clear" w:color="auto" w:fill="F2F2F2"/>
          </w:tcPr>
          <w:p>
            <w:pPr>
              <w:spacing w:after="0"/>
              <w:rPr>
                <w:sz w:val="19"/>
                <w:szCs w:val="19"/>
                <w:color w:val="auto"/>
              </w:rPr>
            </w:pPr>
          </w:p>
        </w:tc>
      </w:tr>
      <w:tr>
        <w:trPr>
          <w:trHeight w:val="329"/>
        </w:trPr>
        <w:tc>
          <w:tcPr>
            <w:tcW w:w="560" w:type="dxa"/>
            <w:vAlign w:val="bottom"/>
            <w:shd w:val="clear" w:color="auto" w:fill="6EC4E8"/>
          </w:tcPr>
          <w:p>
            <w:pPr>
              <w:spacing w:after="0"/>
              <w:rPr>
                <w:sz w:val="24"/>
                <w:szCs w:val="24"/>
                <w:color w:val="auto"/>
              </w:rPr>
            </w:pPr>
          </w:p>
        </w:tc>
        <w:tc>
          <w:tcPr>
            <w:tcW w:w="5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46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-496570</wp:posOffset>
            </wp:positionV>
            <wp:extent cx="274320"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1905000</wp:posOffset>
            </wp:positionV>
            <wp:extent cx="6806565" cy="571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5715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6806565" cy="2100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03763"/>
        </w:rPr>
        <w:t>ITEM 4:</w:t>
      </w:r>
    </w:p>
    <w:p>
      <w:pPr>
        <w:spacing w:after="0" w:line="98" w:lineRule="exact"/>
        <w:rPr>
          <w:sz w:val="20"/>
          <w:szCs w:val="20"/>
          <w:color w:val="auto"/>
        </w:rPr>
      </w:pPr>
    </w:p>
    <w:p>
      <w:pPr>
        <w:ind w:left="740" w:right="80"/>
        <w:spacing w:after="0" w:line="270" w:lineRule="auto"/>
        <w:rPr>
          <w:sz w:val="20"/>
          <w:szCs w:val="20"/>
          <w:color w:val="auto"/>
        </w:rPr>
      </w:pPr>
      <w:r>
        <w:rPr>
          <w:rFonts w:ascii="Arial" w:cs="Arial" w:eastAsia="Arial" w:hAnsi="Arial"/>
          <w:sz w:val="34"/>
          <w:szCs w:val="34"/>
          <w:color w:val="6EC4E8"/>
        </w:rPr>
        <w:t>Approval of Amendment to the CenterPoint Energy, Inc. Stock Plan for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Description of the Proposal</w:t>
      </w:r>
    </w:p>
    <w:p>
      <w:pPr>
        <w:spacing w:after="0" w:line="122" w:lineRule="exact"/>
        <w:rPr>
          <w:sz w:val="20"/>
          <w:szCs w:val="20"/>
          <w:color w:val="auto"/>
        </w:rPr>
      </w:pPr>
    </w:p>
    <w:p>
      <w:pPr>
        <w:ind w:left="740" w:right="120"/>
        <w:spacing w:after="0" w:line="275" w:lineRule="auto"/>
        <w:rPr>
          <w:sz w:val="20"/>
          <w:szCs w:val="20"/>
          <w:color w:val="auto"/>
        </w:rPr>
      </w:pPr>
      <w:r>
        <w:rPr>
          <w:rFonts w:ascii="Arial" w:cs="Arial" w:eastAsia="Arial" w:hAnsi="Arial"/>
          <w:sz w:val="16"/>
          <w:szCs w:val="16"/>
          <w:color w:val="auto"/>
        </w:rPr>
        <w:t>Our Board has approved, subject to approval by our shareholders, an amendment to the CenterPoint Energy, Inc. Stock Plan for Outside Directors (as amended to date, the “Director Stock Plan”) to increase the number of shares of our common stock reserved for issuance under the Director Stock Plan by 350,000 shares.</w:t>
      </w:r>
    </w:p>
    <w:p>
      <w:pPr>
        <w:spacing w:after="0" w:line="110" w:lineRule="exact"/>
        <w:rPr>
          <w:sz w:val="20"/>
          <w:szCs w:val="20"/>
          <w:color w:val="auto"/>
        </w:rPr>
      </w:pPr>
    </w:p>
    <w:p>
      <w:pPr>
        <w:ind w:left="740" w:right="40"/>
        <w:spacing w:after="0" w:line="282" w:lineRule="auto"/>
        <w:rPr>
          <w:sz w:val="20"/>
          <w:szCs w:val="20"/>
          <w:color w:val="auto"/>
        </w:rPr>
      </w:pPr>
      <w:r>
        <w:rPr>
          <w:rFonts w:ascii="Arial" w:cs="Arial" w:eastAsia="Arial" w:hAnsi="Arial"/>
          <w:sz w:val="15"/>
          <w:szCs w:val="15"/>
          <w:color w:val="auto"/>
        </w:rPr>
        <w:t>The purpose of the Director Stock Plan is to provide a method of compensation for the members of our Board who are not employees of CenterPoint Energy or any of its subsidiaries that will strengthen the alignment of their financial interests with those of our shareholders. The Director Stock Plan is also intended to (i) enhance our ability to maintain a competitive position in attracting and retaining qualified outside directors who contribute, and are expected to contribute, materially to the long-term success of our company; (ii) provide a means of compensating outside directors whereby the compensation received will have a value dependent on the price of our common stock; and (iii) enhance the interest of the outside directors in our continued success and progress by further aligning each outside director’s interests with those of our shareholders. Stock awards under the Director Stock Plan are in addition to the annual retainer fee earned by outside directors. The number of non-employee director participants to whom the Director Stock Plan, as amended, initially would apply is ten, assuming all director nominees are elected at the Annual Meeting.</w:t>
      </w:r>
    </w:p>
    <w:p>
      <w:pPr>
        <w:spacing w:after="0" w:line="93" w:lineRule="exact"/>
        <w:rPr>
          <w:sz w:val="20"/>
          <w:szCs w:val="20"/>
          <w:color w:val="auto"/>
        </w:rPr>
      </w:pPr>
    </w:p>
    <w:p>
      <w:pPr>
        <w:ind w:left="740" w:right="80"/>
        <w:spacing w:after="0" w:line="261" w:lineRule="auto"/>
        <w:rPr>
          <w:sz w:val="20"/>
          <w:szCs w:val="20"/>
          <w:color w:val="auto"/>
        </w:rPr>
      </w:pPr>
      <w:r>
        <w:rPr>
          <w:rFonts w:ascii="Arial" w:cs="Arial" w:eastAsia="Arial" w:hAnsi="Arial"/>
          <w:sz w:val="16"/>
          <w:szCs w:val="16"/>
          <w:color w:val="auto"/>
        </w:rPr>
        <w:t>The Director Stock Plan was originally approved by the shareholders of our predecessor corporation in 1996, and most recently amended in 2020. The Board believes the Director Stock Plan is achieving its purpose and desires to have sufficient shares authorized for issuance under the plan to continue participation by our outside directors. The Director Stock Plan, as amended and restated effective April 26, 2018, authorized the issuance of a total of 700,000 shares of common stock under the plan and was amended effective April 24, 2020, as approved by the shareholders of the Company, to authorize the issuance of an additional 350,000 shares of common stock under the plan. There are currently 142,275 authorized shares remaining for issuance under the plan. Accordingly, we believe that the Director Stock Plan should be amended to increase the number of authorized shares to allow the Company to continue granting regular awards under the Director Stock Plan. If the amendment is approved, the aggregate number of shares of common stock that may be granted during the term of the Director Stock Plan will be increased by 350,000 shares, resulting in a total of 492,275 shares available for grant. If the amendment is approved, the aggregate number of shares of common stock that may be issued or delivered under the Director Stock Plan shall not exceed 1,400,000 shares, subject to adjustment as provided in the Director Stock Plan for certain events.</w:t>
      </w:r>
    </w:p>
    <w:p>
      <w:pPr>
        <w:spacing w:after="0" w:line="123" w:lineRule="exact"/>
        <w:rPr>
          <w:sz w:val="20"/>
          <w:szCs w:val="20"/>
          <w:color w:val="auto"/>
        </w:rPr>
      </w:pPr>
    </w:p>
    <w:p>
      <w:pPr>
        <w:ind w:left="740" w:right="80"/>
        <w:spacing w:after="0" w:line="265" w:lineRule="auto"/>
        <w:rPr>
          <w:sz w:val="20"/>
          <w:szCs w:val="20"/>
          <w:color w:val="auto"/>
        </w:rPr>
      </w:pPr>
      <w:r>
        <w:rPr>
          <w:rFonts w:ascii="Arial" w:cs="Arial" w:eastAsia="Arial" w:hAnsi="Arial"/>
          <w:sz w:val="16"/>
          <w:szCs w:val="16"/>
          <w:color w:val="auto"/>
        </w:rPr>
        <w:t>The following is a summary of the principal provisions of the Director Stock Plan. This summary does not purport to be a complete description of all of the provisions of the Director Stock Plan and is qualified in its entirety by express reference to the complete text of the Director Stock Plan. Copies of the Director Stock Plan (as amended and restated effective April 26, 2018), the first amendment thereto (effective April 24, 2020), and the proposed amendment are attached to this Proxy Statement as Appendix B, Appendix C, and Appendix D, respectively.</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Description of the Director Stock Plan</w:t>
      </w:r>
    </w:p>
    <w:p>
      <w:pPr>
        <w:spacing w:after="0" w:line="122"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Under the Director Stock Plan, each non-employee director of the Company may be granted an annual stock award consisting of the right to receive the number of shares of our common stock equal to (i) a dollar amount determined by the Board in its discretion divided by (ii) the fair market value of the common stock on the relevant award date, rounded down to the nearest whole share. The cash value of this award to non-employee directors is set by the Board annually. Grants made under the Director Stock Plan are immediately fully vested upon grant. In addition to the annual grant, a non-employee director may receive a one-time, initial grant of shares of common stock upon first commencing service as a director, based on a cash value, as of the grant date, set by the Board. Any such awards granted are immediately fully vested.</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8065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40"/>
        <w:spacing w:after="0" w:line="265" w:lineRule="auto"/>
        <w:rPr>
          <w:sz w:val="20"/>
          <w:szCs w:val="20"/>
          <w:color w:val="auto"/>
        </w:rPr>
      </w:pPr>
      <w:r>
        <w:rPr>
          <w:rFonts w:ascii="Arial" w:cs="Arial" w:eastAsia="Arial" w:hAnsi="Arial"/>
          <w:sz w:val="16"/>
          <w:szCs w:val="16"/>
          <w:color w:val="auto"/>
        </w:rPr>
        <w:t>Grants under the Director Stock Plan may be made out of the authorized but unissued shares of common stock or by transfer of shares of common stock previously reacquired by CenterPoint Energy. The number of shares issuable in connection with any annual or initial grant and the aggregate number of shares remaining available for issuance under the Director Stock Plan will be proportionately adjusted to reflect any subdivision or combination of the outstanding shares of common stock or dividend payable in shares of common stock. On February 18, 2025, the last reported sales price of our common stock on the NYSE was $33.81 per share.</w:t>
      </w:r>
    </w:p>
    <w:p>
      <w:pPr>
        <w:spacing w:after="0" w:line="104" w:lineRule="exact"/>
        <w:rPr>
          <w:sz w:val="20"/>
          <w:szCs w:val="20"/>
          <w:color w:val="auto"/>
        </w:rPr>
      </w:pPr>
    </w:p>
    <w:p>
      <w:pPr>
        <w:ind w:left="740" w:right="80"/>
        <w:spacing w:after="0" w:line="285" w:lineRule="auto"/>
        <w:rPr>
          <w:sz w:val="20"/>
          <w:szCs w:val="20"/>
          <w:color w:val="auto"/>
        </w:rPr>
      </w:pPr>
      <w:r>
        <w:rPr>
          <w:rFonts w:ascii="Arial" w:cs="Arial" w:eastAsia="Arial" w:hAnsi="Arial"/>
          <w:sz w:val="15"/>
          <w:szCs w:val="15"/>
          <w:color w:val="auto"/>
        </w:rPr>
        <w:t>The Director Stock Plan will continue until the available number of shares authorized under the Director Stock plan is exhausted unless it is terminated prior to that time by action of the Board. The Board may from time to time amend, modify, or suspend the Director Stock Plan for the purpose of meeting or addressing any changes in legal requirements or for any other purpose permitted by law except that no amendment or alteration shall be effective prior to shareholder approval to the extent such approval is then required by applicable legal requirements or the listing standards of the NYSE. Except for the limitation based on legal requirements and listing standards, the Director Stock Plan does not restrict the nature of amendments that may be made without shareholder approval, including amendments that would increase the cost of the Director Stock Plan to CenterPoint Energy.</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Vote Required and Board Recommendation</w:t>
      </w:r>
    </w:p>
    <w:p>
      <w:pPr>
        <w:spacing w:after="0" w:line="122" w:lineRule="exact"/>
        <w:rPr>
          <w:sz w:val="20"/>
          <w:szCs w:val="20"/>
          <w:color w:val="auto"/>
        </w:rPr>
      </w:pPr>
    </w:p>
    <w:p>
      <w:pPr>
        <w:ind w:left="740" w:right="40"/>
        <w:spacing w:after="0" w:line="271" w:lineRule="auto"/>
        <w:rPr>
          <w:sz w:val="20"/>
          <w:szCs w:val="20"/>
          <w:color w:val="auto"/>
        </w:rPr>
      </w:pPr>
      <w:r>
        <w:rPr>
          <w:rFonts w:ascii="Arial" w:cs="Arial" w:eastAsia="Arial" w:hAnsi="Arial"/>
          <w:sz w:val="16"/>
          <w:szCs w:val="16"/>
          <w:color w:val="auto"/>
        </w:rPr>
        <w:t>The approval of the amendment to the Director Stock Plan requires the affirmative vote of a majority of the shares of common stock entitled to vote on, and voted for or against, this item. Abstentions and broker non-votes will not affect the outcome of the vote on this item. If the amendment is not so approved, it will not become effective, and the Director Stock Plan will continue in effect in its current form.</w:t>
      </w:r>
    </w:p>
    <w:p>
      <w:pPr>
        <w:spacing w:after="0" w:line="200" w:lineRule="exact"/>
        <w:rPr>
          <w:sz w:val="20"/>
          <w:szCs w:val="20"/>
          <w:color w:val="auto"/>
        </w:rPr>
      </w:pPr>
    </w:p>
    <w:p>
      <w:pPr>
        <w:spacing w:after="0" w:line="279" w:lineRule="exact"/>
        <w:rPr>
          <w:sz w:val="20"/>
          <w:szCs w:val="20"/>
          <w:color w:val="auto"/>
        </w:rPr>
      </w:pPr>
    </w:p>
    <w:tbl>
      <w:tblPr>
        <w:tblLayout w:type="fixed"/>
        <w:tblInd w:w="740" w:type="dxa"/>
        <w:tblCellMar>
          <w:top w:w="0" w:type="dxa"/>
          <w:left w:w="0" w:type="dxa"/>
          <w:bottom w:w="0" w:type="dxa"/>
          <w:right w:w="0" w:type="dxa"/>
        </w:tblCellMar>
      </w:tblPr>
      <w:tr>
        <w:trPr>
          <w:trHeight w:val="555"/>
        </w:trPr>
        <w:tc>
          <w:tcPr>
            <w:tcW w:w="560" w:type="dxa"/>
            <w:vAlign w:val="bottom"/>
            <w:shd w:val="clear" w:color="auto" w:fill="6EC4E8"/>
          </w:tcPr>
          <w:p>
            <w:pPr>
              <w:ind w:left="40"/>
              <w:spacing w:after="0"/>
              <w:rPr>
                <w:sz w:val="20"/>
                <w:szCs w:val="20"/>
                <w:color w:val="auto"/>
              </w:rPr>
            </w:pPr>
            <w:r>
              <w:rPr>
                <w:rFonts w:ascii="Arial" w:cs="Arial" w:eastAsia="Arial" w:hAnsi="Arial"/>
                <w:sz w:val="16"/>
                <w:szCs w:val="16"/>
                <w:color w:val="auto"/>
              </w:rPr>
              <w:t>​</w:t>
            </w:r>
          </w:p>
        </w:tc>
        <w:tc>
          <w:tcPr>
            <w:tcW w:w="520" w:type="dxa"/>
            <w:vAlign w:val="bottom"/>
            <w:shd w:val="clear" w:color="auto" w:fill="6EC4E8"/>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778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The Board recommends a vote FOR the approval of the amendment to the CenterPoint Energy, Inc.</w:t>
            </w:r>
          </w:p>
        </w:tc>
        <w:tc>
          <w:tcPr>
            <w:tcW w:w="280" w:type="dxa"/>
            <w:vAlign w:val="bottom"/>
            <w:shd w:val="clear" w:color="auto" w:fill="F2F2F2"/>
          </w:tcPr>
          <w:p>
            <w:pPr>
              <w:ind w:left="220"/>
              <w:spacing w:after="0"/>
              <w:rPr>
                <w:sz w:val="20"/>
                <w:szCs w:val="20"/>
                <w:color w:val="auto"/>
              </w:rPr>
            </w:pPr>
            <w:r>
              <w:rPr>
                <w:rFonts w:ascii="Arial" w:cs="Arial" w:eastAsia="Arial" w:hAnsi="Arial"/>
                <w:sz w:val="16"/>
                <w:szCs w:val="16"/>
                <w:color w:val="auto"/>
              </w:rPr>
              <w:t>​</w:t>
            </w:r>
          </w:p>
        </w:tc>
      </w:tr>
      <w:tr>
        <w:trPr>
          <w:trHeight w:val="223"/>
        </w:trPr>
        <w:tc>
          <w:tcPr>
            <w:tcW w:w="560" w:type="dxa"/>
            <w:vAlign w:val="bottom"/>
            <w:shd w:val="clear" w:color="auto" w:fill="6EC4E8"/>
          </w:tcPr>
          <w:p>
            <w:pPr>
              <w:spacing w:after="0"/>
              <w:rPr>
                <w:sz w:val="19"/>
                <w:szCs w:val="19"/>
                <w:color w:val="auto"/>
              </w:rPr>
            </w:pPr>
          </w:p>
        </w:tc>
        <w:tc>
          <w:tcPr>
            <w:tcW w:w="520" w:type="dxa"/>
            <w:vAlign w:val="bottom"/>
            <w:shd w:val="clear" w:color="auto" w:fill="6EC4E8"/>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778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Stock Plan for Outside Directors.</w:t>
            </w:r>
          </w:p>
        </w:tc>
        <w:tc>
          <w:tcPr>
            <w:tcW w:w="280" w:type="dxa"/>
            <w:vAlign w:val="bottom"/>
            <w:shd w:val="clear" w:color="auto" w:fill="F2F2F2"/>
          </w:tcPr>
          <w:p>
            <w:pPr>
              <w:spacing w:after="0"/>
              <w:rPr>
                <w:sz w:val="19"/>
                <w:szCs w:val="19"/>
                <w:color w:val="auto"/>
              </w:rPr>
            </w:pPr>
          </w:p>
        </w:tc>
      </w:tr>
      <w:tr>
        <w:trPr>
          <w:trHeight w:val="343"/>
        </w:trPr>
        <w:tc>
          <w:tcPr>
            <w:tcW w:w="560" w:type="dxa"/>
            <w:vAlign w:val="bottom"/>
            <w:shd w:val="clear" w:color="auto" w:fill="6EC4E8"/>
          </w:tcPr>
          <w:p>
            <w:pPr>
              <w:spacing w:after="0"/>
              <w:rPr>
                <w:sz w:val="24"/>
                <w:szCs w:val="24"/>
                <w:color w:val="auto"/>
              </w:rPr>
            </w:pPr>
          </w:p>
        </w:tc>
        <w:tc>
          <w:tcPr>
            <w:tcW w:w="520" w:type="dxa"/>
            <w:vAlign w:val="bottom"/>
            <w:shd w:val="clear" w:color="auto" w:fill="6EC4E8"/>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778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-496570</wp:posOffset>
            </wp:positionV>
            <wp:extent cx="274320" cy="274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General Information</w:t>
      </w:r>
    </w:p>
    <w:p>
      <w:pPr>
        <w:spacing w:after="0" w:line="200" w:lineRule="exact"/>
        <w:rPr>
          <w:sz w:val="20"/>
          <w:szCs w:val="20"/>
          <w:color w:val="auto"/>
        </w:rPr>
      </w:pPr>
    </w:p>
    <w:p>
      <w:pPr>
        <w:spacing w:after="0" w:line="25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Frequently Asked Questions About Voting</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On what am I voting?</w:t>
      </w:r>
    </w:p>
    <w:p>
      <w:pPr>
        <w:spacing w:after="0" w:line="163" w:lineRule="exact"/>
        <w:rPr>
          <w:sz w:val="20"/>
          <w:szCs w:val="20"/>
          <w:color w:val="auto"/>
        </w:rPr>
      </w:pPr>
    </w:p>
    <w:tbl>
      <w:tblPr>
        <w:tblLayout w:type="fixed"/>
        <w:tblInd w:w="740" w:type="dxa"/>
        <w:tblCellMar>
          <w:top w:w="0" w:type="dxa"/>
          <w:left w:w="0" w:type="dxa"/>
          <w:bottom w:w="0" w:type="dxa"/>
          <w:right w:w="0" w:type="dxa"/>
        </w:tblCellMar>
      </w:tblPr>
      <w:tr>
        <w:trPr>
          <w:trHeight w:val="158"/>
        </w:trPr>
        <w:tc>
          <w:tcPr>
            <w:tcW w:w="1840" w:type="dxa"/>
            <w:vAlign w:val="bottom"/>
            <w:shd w:val="clear" w:color="auto" w:fill="003763"/>
          </w:tcPr>
          <w:p>
            <w:pPr>
              <w:spacing w:after="0"/>
              <w:rPr>
                <w:sz w:val="13"/>
                <w:szCs w:val="13"/>
                <w:color w:val="auto"/>
              </w:rPr>
            </w:pPr>
          </w:p>
        </w:tc>
        <w:tc>
          <w:tcPr>
            <w:tcW w:w="300" w:type="dxa"/>
            <w:vAlign w:val="bottom"/>
            <w:shd w:val="clear" w:color="auto" w:fill="003763"/>
          </w:tcPr>
          <w:p>
            <w:pPr>
              <w:spacing w:after="0"/>
              <w:rPr>
                <w:sz w:val="13"/>
                <w:szCs w:val="13"/>
                <w:color w:val="auto"/>
              </w:rPr>
            </w:pPr>
          </w:p>
        </w:tc>
        <w:tc>
          <w:tcPr>
            <w:tcW w:w="920" w:type="dxa"/>
            <w:vAlign w:val="bottom"/>
            <w:gridSpan w:val="5"/>
            <w:shd w:val="clear" w:color="auto" w:fill="003763"/>
          </w:tcPr>
          <w:p>
            <w:pPr>
              <w:jc w:val="center"/>
              <w:ind w:right="60"/>
              <w:spacing w:after="0"/>
              <w:rPr>
                <w:sz w:val="20"/>
                <w:szCs w:val="20"/>
                <w:color w:val="auto"/>
              </w:rPr>
            </w:pPr>
            <w:r>
              <w:rPr>
                <w:rFonts w:ascii="Arial" w:cs="Arial" w:eastAsia="Arial" w:hAnsi="Arial"/>
                <w:sz w:val="13"/>
                <w:szCs w:val="13"/>
                <w:b w:val="1"/>
                <w:bCs w:val="1"/>
                <w:color w:val="FFFFFF"/>
                <w:w w:val="96"/>
              </w:rPr>
              <w:t>More</w:t>
            </w:r>
          </w:p>
        </w:tc>
        <w:tc>
          <w:tcPr>
            <w:tcW w:w="300" w:type="dxa"/>
            <w:vAlign w:val="bottom"/>
            <w:shd w:val="clear" w:color="auto" w:fill="003763"/>
          </w:tcPr>
          <w:p>
            <w:pPr>
              <w:spacing w:after="0"/>
              <w:rPr>
                <w:sz w:val="13"/>
                <w:szCs w:val="13"/>
                <w:color w:val="auto"/>
              </w:rPr>
            </w:pPr>
          </w:p>
        </w:tc>
        <w:tc>
          <w:tcPr>
            <w:tcW w:w="1080" w:type="dxa"/>
            <w:vAlign w:val="bottom"/>
            <w:shd w:val="clear" w:color="auto" w:fill="003763"/>
          </w:tcPr>
          <w:p>
            <w:pPr>
              <w:jc w:val="center"/>
              <w:ind w:right="6"/>
              <w:spacing w:after="0"/>
              <w:rPr>
                <w:sz w:val="20"/>
                <w:szCs w:val="20"/>
                <w:color w:val="auto"/>
              </w:rPr>
            </w:pPr>
            <w:r>
              <w:rPr>
                <w:rFonts w:ascii="Arial" w:cs="Arial" w:eastAsia="Arial" w:hAnsi="Arial"/>
                <w:sz w:val="13"/>
                <w:szCs w:val="13"/>
                <w:b w:val="1"/>
                <w:bCs w:val="1"/>
                <w:color w:val="FFFFFF"/>
                <w:w w:val="95"/>
              </w:rPr>
              <w:t>Board</w:t>
            </w:r>
          </w:p>
        </w:tc>
        <w:tc>
          <w:tcPr>
            <w:tcW w:w="240" w:type="dxa"/>
            <w:vAlign w:val="bottom"/>
            <w:shd w:val="clear" w:color="auto" w:fill="003763"/>
          </w:tcPr>
          <w:p>
            <w:pPr>
              <w:spacing w:after="0"/>
              <w:rPr>
                <w:sz w:val="13"/>
                <w:szCs w:val="13"/>
                <w:color w:val="auto"/>
              </w:rPr>
            </w:pPr>
          </w:p>
        </w:tc>
        <w:tc>
          <w:tcPr>
            <w:tcW w:w="1040" w:type="dxa"/>
            <w:vAlign w:val="bottom"/>
            <w:shd w:val="clear" w:color="auto" w:fill="003763"/>
          </w:tcPr>
          <w:p>
            <w:pPr>
              <w:jc w:val="center"/>
              <w:ind w:right="9"/>
              <w:spacing w:after="0"/>
              <w:rPr>
                <w:sz w:val="20"/>
                <w:szCs w:val="20"/>
                <w:color w:val="auto"/>
              </w:rPr>
            </w:pPr>
            <w:r>
              <w:rPr>
                <w:rFonts w:ascii="Arial" w:cs="Arial" w:eastAsia="Arial" w:hAnsi="Arial"/>
                <w:sz w:val="13"/>
                <w:szCs w:val="13"/>
                <w:b w:val="1"/>
                <w:bCs w:val="1"/>
                <w:color w:val="FFFFFF"/>
                <w:w w:val="95"/>
              </w:rPr>
              <w:t>Broker</w:t>
            </w:r>
          </w:p>
        </w:tc>
        <w:tc>
          <w:tcPr>
            <w:tcW w:w="360" w:type="dxa"/>
            <w:vAlign w:val="bottom"/>
            <w:shd w:val="clear" w:color="auto" w:fill="003763"/>
          </w:tcPr>
          <w:p>
            <w:pPr>
              <w:spacing w:after="0"/>
              <w:rPr>
                <w:sz w:val="13"/>
                <w:szCs w:val="13"/>
                <w:color w:val="auto"/>
              </w:rPr>
            </w:pPr>
          </w:p>
        </w:tc>
        <w:tc>
          <w:tcPr>
            <w:tcW w:w="1220" w:type="dxa"/>
            <w:vAlign w:val="bottom"/>
            <w:shd w:val="clear" w:color="auto" w:fill="003763"/>
          </w:tcPr>
          <w:p>
            <w:pPr>
              <w:spacing w:after="0"/>
              <w:rPr>
                <w:sz w:val="13"/>
                <w:szCs w:val="13"/>
                <w:color w:val="auto"/>
              </w:rPr>
            </w:pPr>
          </w:p>
        </w:tc>
        <w:tc>
          <w:tcPr>
            <w:tcW w:w="380" w:type="dxa"/>
            <w:vAlign w:val="bottom"/>
            <w:shd w:val="clear" w:color="auto" w:fill="003763"/>
          </w:tcPr>
          <w:p>
            <w:pPr>
              <w:spacing w:after="0"/>
              <w:rPr>
                <w:sz w:val="13"/>
                <w:szCs w:val="13"/>
                <w:color w:val="auto"/>
              </w:rPr>
            </w:pPr>
          </w:p>
        </w:tc>
        <w:tc>
          <w:tcPr>
            <w:tcW w:w="1480" w:type="dxa"/>
            <w:vAlign w:val="bottom"/>
            <w:shd w:val="clear" w:color="auto" w:fill="003763"/>
          </w:tcPr>
          <w:p>
            <w:pPr>
              <w:jc w:val="center"/>
              <w:ind w:right="5"/>
              <w:spacing w:after="0"/>
              <w:rPr>
                <w:sz w:val="20"/>
                <w:szCs w:val="20"/>
                <w:color w:val="auto"/>
              </w:rPr>
            </w:pPr>
            <w:r>
              <w:rPr>
                <w:rFonts w:ascii="Arial" w:cs="Arial" w:eastAsia="Arial" w:hAnsi="Arial"/>
                <w:sz w:val="13"/>
                <w:szCs w:val="13"/>
                <w:b w:val="1"/>
                <w:bCs w:val="1"/>
                <w:color w:val="FFFFFF"/>
                <w:w w:val="96"/>
              </w:rPr>
              <w:t>Votes required</w:t>
            </w:r>
          </w:p>
        </w:tc>
        <w:tc>
          <w:tcPr>
            <w:tcW w:w="100" w:type="dxa"/>
            <w:vAlign w:val="bottom"/>
            <w:shd w:val="clear" w:color="auto" w:fill="003763"/>
          </w:tcPr>
          <w:p>
            <w:pPr>
              <w:spacing w:after="0"/>
              <w:rPr>
                <w:sz w:val="13"/>
                <w:szCs w:val="13"/>
                <w:color w:val="auto"/>
              </w:rPr>
            </w:pPr>
          </w:p>
        </w:tc>
      </w:tr>
      <w:tr>
        <w:trPr>
          <w:trHeight w:val="207"/>
        </w:trPr>
        <w:tc>
          <w:tcPr>
            <w:tcW w:w="1840" w:type="dxa"/>
            <w:vAlign w:val="bottom"/>
            <w:shd w:val="clear" w:color="auto" w:fill="003763"/>
          </w:tcPr>
          <w:p>
            <w:pPr>
              <w:ind w:left="40"/>
              <w:spacing w:after="0" w:line="207"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2"/>
                <w:szCs w:val="12"/>
                <w:b w:val="1"/>
                <w:bCs w:val="1"/>
                <w:color w:val="FFFFFF"/>
              </w:rPr>
              <w:t xml:space="preserve"> Item Description</w:t>
            </w:r>
          </w:p>
        </w:tc>
        <w:tc>
          <w:tcPr>
            <w:tcW w:w="3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920" w:type="dxa"/>
            <w:vAlign w:val="bottom"/>
            <w:gridSpan w:val="5"/>
            <w:shd w:val="clear" w:color="auto" w:fill="003763"/>
          </w:tcPr>
          <w:p>
            <w:pPr>
              <w:jc w:val="center"/>
              <w:ind w:right="40"/>
              <w:spacing w:after="0"/>
              <w:rPr>
                <w:sz w:val="20"/>
                <w:szCs w:val="20"/>
                <w:color w:val="auto"/>
              </w:rPr>
            </w:pPr>
            <w:r>
              <w:rPr>
                <w:rFonts w:ascii="Arial" w:cs="Arial" w:eastAsia="Arial" w:hAnsi="Arial"/>
                <w:sz w:val="13"/>
                <w:szCs w:val="13"/>
                <w:b w:val="1"/>
                <w:bCs w:val="1"/>
                <w:color w:val="FFFFFF"/>
                <w:w w:val="95"/>
              </w:rPr>
              <w:t>Information</w:t>
            </w:r>
          </w:p>
        </w:tc>
        <w:tc>
          <w:tcPr>
            <w:tcW w:w="1380" w:type="dxa"/>
            <w:vAlign w:val="bottom"/>
            <w:gridSpan w:val="2"/>
            <w:shd w:val="clear" w:color="auto" w:fill="003763"/>
          </w:tcPr>
          <w:p>
            <w:pPr>
              <w:ind w:left="120"/>
              <w:spacing w:after="0" w:line="207"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2"/>
                <w:szCs w:val="12"/>
                <w:b w:val="1"/>
                <w:bCs w:val="1"/>
                <w:color w:val="FFFFFF"/>
              </w:rPr>
              <w:t xml:space="preserve"> Recommendation</w:t>
            </w:r>
          </w:p>
        </w:tc>
        <w:tc>
          <w:tcPr>
            <w:tcW w:w="2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104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6"/>
              </w:rPr>
              <w:t>non-votes</w:t>
            </w:r>
          </w:p>
        </w:tc>
        <w:tc>
          <w:tcPr>
            <w:tcW w:w="3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122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Abstentions</w:t>
            </w:r>
          </w:p>
        </w:tc>
        <w:tc>
          <w:tcPr>
            <w:tcW w:w="380" w:type="dxa"/>
            <w:vAlign w:val="bottom"/>
            <w:shd w:val="clear" w:color="auto" w:fill="003763"/>
          </w:tcPr>
          <w:p>
            <w:pPr>
              <w:ind w:left="200"/>
              <w:spacing w:after="0"/>
              <w:rPr>
                <w:sz w:val="20"/>
                <w:szCs w:val="20"/>
                <w:color w:val="auto"/>
              </w:rPr>
            </w:pPr>
            <w:r>
              <w:rPr>
                <w:rFonts w:ascii="Arial" w:cs="Arial" w:eastAsia="Arial" w:hAnsi="Arial"/>
                <w:sz w:val="13"/>
                <w:szCs w:val="13"/>
                <w:b w:val="1"/>
                <w:bCs w:val="1"/>
                <w:color w:val="FFFFFF"/>
              </w:rPr>
              <w:t>​ ​</w:t>
            </w:r>
          </w:p>
        </w:tc>
        <w:tc>
          <w:tcPr>
            <w:tcW w:w="1480" w:type="dxa"/>
            <w:vAlign w:val="bottom"/>
            <w:shd w:val="clear" w:color="auto" w:fill="003763"/>
          </w:tcPr>
          <w:p>
            <w:pPr>
              <w:jc w:val="center"/>
              <w:spacing w:after="0"/>
              <w:rPr>
                <w:sz w:val="20"/>
                <w:szCs w:val="20"/>
                <w:color w:val="auto"/>
              </w:rPr>
            </w:pPr>
            <w:r>
              <w:rPr>
                <w:rFonts w:ascii="Arial" w:cs="Arial" w:eastAsia="Arial" w:hAnsi="Arial"/>
                <w:sz w:val="13"/>
                <w:szCs w:val="13"/>
                <w:b w:val="1"/>
                <w:bCs w:val="1"/>
                <w:color w:val="FFFFFF"/>
                <w:w w:val="95"/>
              </w:rPr>
              <w:t>for approval</w:t>
            </w:r>
          </w:p>
        </w:tc>
        <w:tc>
          <w:tcPr>
            <w:tcW w:w="10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r>
      <w:tr>
        <w:trPr>
          <w:trHeight w:val="203"/>
        </w:trPr>
        <w:tc>
          <w:tcPr>
            <w:tcW w:w="1840" w:type="dxa"/>
            <w:vAlign w:val="bottom"/>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b w:val="1"/>
                <w:bCs w:val="1"/>
                <w:color w:val="auto"/>
              </w:rPr>
              <w:t>Item 1: Election of</w:t>
            </w:r>
          </w:p>
        </w:tc>
        <w:tc>
          <w:tcPr>
            <w:tcW w:w="300" w:type="dxa"/>
            <w:vAlign w:val="bottom"/>
          </w:tcPr>
          <w:p>
            <w:pPr>
              <w:ind w:left="40"/>
              <w:spacing w:after="0"/>
              <w:rPr>
                <w:sz w:val="20"/>
                <w:szCs w:val="20"/>
                <w:color w:val="auto"/>
              </w:rPr>
            </w:pPr>
            <w:r>
              <w:rPr>
                <w:rFonts w:ascii="Arial" w:cs="Arial" w:eastAsia="Arial" w:hAnsi="Arial"/>
                <w:sz w:val="15"/>
                <w:szCs w:val="15"/>
                <w:color w:val="auto"/>
              </w:rPr>
              <w:t>​ ​</w:t>
            </w:r>
          </w:p>
        </w:tc>
        <w:tc>
          <w:tcPr>
            <w:tcW w:w="920" w:type="dxa"/>
            <w:vAlign w:val="bottom"/>
            <w:gridSpan w:val="5"/>
          </w:tcPr>
          <w:p>
            <w:pPr>
              <w:jc w:val="center"/>
              <w:ind w:right="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6</w:t>
            </w:r>
          </w:p>
        </w:tc>
        <w:tc>
          <w:tcPr>
            <w:tcW w:w="300" w:type="dxa"/>
            <w:vAlign w:val="bottom"/>
          </w:tcPr>
          <w:p>
            <w:pPr>
              <w:ind w:left="120"/>
              <w:spacing w:after="0"/>
              <w:rPr>
                <w:sz w:val="20"/>
                <w:szCs w:val="20"/>
                <w:color w:val="auto"/>
              </w:rPr>
            </w:pPr>
            <w:r>
              <w:rPr>
                <w:rFonts w:ascii="Arial" w:cs="Arial" w:eastAsia="Arial" w:hAnsi="Arial"/>
                <w:sz w:val="15"/>
                <w:szCs w:val="15"/>
                <w:color w:val="auto"/>
              </w:rPr>
              <w:t>​ ​</w:t>
            </w:r>
          </w:p>
        </w:tc>
        <w:tc>
          <w:tcPr>
            <w:tcW w:w="1080" w:type="dxa"/>
            <w:vAlign w:val="bottom"/>
          </w:tcPr>
          <w:p>
            <w:pPr>
              <w:jc w:val="center"/>
              <w:ind w:right="6"/>
              <w:spacing w:after="0"/>
              <w:rPr>
                <w:sz w:val="20"/>
                <w:szCs w:val="20"/>
                <w:color w:val="auto"/>
              </w:rPr>
            </w:pPr>
            <w:r>
              <w:rPr>
                <w:rFonts w:ascii="Arial" w:cs="Arial" w:eastAsia="Arial" w:hAnsi="Arial"/>
                <w:sz w:val="15"/>
                <w:szCs w:val="15"/>
                <w:color w:val="auto"/>
              </w:rPr>
              <w:t>FOR</w:t>
            </w:r>
          </w:p>
        </w:tc>
        <w:tc>
          <w:tcPr>
            <w:tcW w:w="240" w:type="dxa"/>
            <w:vAlign w:val="bottom"/>
          </w:tcPr>
          <w:p>
            <w:pPr>
              <w:ind w:left="40"/>
              <w:spacing w:after="0"/>
              <w:rPr>
                <w:sz w:val="20"/>
                <w:szCs w:val="20"/>
                <w:color w:val="auto"/>
              </w:rPr>
            </w:pPr>
            <w:r>
              <w:rPr>
                <w:rFonts w:ascii="Arial" w:cs="Arial" w:eastAsia="Arial" w:hAnsi="Arial"/>
                <w:sz w:val="15"/>
                <w:szCs w:val="15"/>
                <w:color w:val="auto"/>
              </w:rPr>
              <w:t>​ ​</w:t>
            </w:r>
          </w:p>
        </w:tc>
        <w:tc>
          <w:tcPr>
            <w:tcW w:w="1040" w:type="dxa"/>
            <w:vAlign w:val="bottom"/>
          </w:tcPr>
          <w:p>
            <w:pPr>
              <w:jc w:val="center"/>
              <w:spacing w:after="0"/>
              <w:rPr>
                <w:sz w:val="20"/>
                <w:szCs w:val="20"/>
                <w:color w:val="auto"/>
              </w:rPr>
            </w:pPr>
            <w:r>
              <w:rPr>
                <w:rFonts w:ascii="Arial" w:cs="Arial" w:eastAsia="Arial" w:hAnsi="Arial"/>
                <w:sz w:val="15"/>
                <w:szCs w:val="15"/>
                <w:color w:val="auto"/>
              </w:rPr>
              <w:t>Do not count</w:t>
            </w:r>
          </w:p>
        </w:tc>
        <w:tc>
          <w:tcPr>
            <w:tcW w:w="360" w:type="dxa"/>
            <w:vAlign w:val="bottom"/>
          </w:tcPr>
          <w:p>
            <w:pPr>
              <w:ind w:left="40"/>
              <w:spacing w:after="0"/>
              <w:rPr>
                <w:sz w:val="20"/>
                <w:szCs w:val="20"/>
                <w:color w:val="auto"/>
              </w:rPr>
            </w:pPr>
            <w:r>
              <w:rPr>
                <w:rFonts w:ascii="Arial" w:cs="Arial" w:eastAsia="Arial" w:hAnsi="Arial"/>
                <w:sz w:val="15"/>
                <w:szCs w:val="15"/>
                <w:color w:val="auto"/>
              </w:rPr>
              <w:t>​ ​</w:t>
            </w:r>
          </w:p>
        </w:tc>
        <w:tc>
          <w:tcPr>
            <w:tcW w:w="1220" w:type="dxa"/>
            <w:vAlign w:val="bottom"/>
          </w:tcPr>
          <w:p>
            <w:pPr>
              <w:jc w:val="center"/>
              <w:spacing w:after="0"/>
              <w:rPr>
                <w:sz w:val="20"/>
                <w:szCs w:val="20"/>
                <w:color w:val="auto"/>
              </w:rPr>
            </w:pPr>
            <w:r>
              <w:rPr>
                <w:rFonts w:ascii="Arial" w:cs="Arial" w:eastAsia="Arial" w:hAnsi="Arial"/>
                <w:sz w:val="15"/>
                <w:szCs w:val="15"/>
                <w:color w:val="auto"/>
              </w:rPr>
              <w:t>Do not count</w:t>
            </w:r>
          </w:p>
        </w:tc>
        <w:tc>
          <w:tcPr>
            <w:tcW w:w="1960" w:type="dxa"/>
            <w:vAlign w:val="bottom"/>
            <w:gridSpan w:val="3"/>
          </w:tcPr>
          <w:p>
            <w:pPr>
              <w:ind w:left="200"/>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Shares voted for must </w:t>
            </w:r>
            <w:r>
              <w:rPr>
                <w:rFonts w:ascii="Arial" w:cs="Arial" w:eastAsia="Arial" w:hAnsi="Arial"/>
                <w:sz w:val="23"/>
                <w:szCs w:val="23"/>
                <w:color w:val="auto"/>
                <w:vertAlign w:val="superscript"/>
              </w:rPr>
              <w:t>​</w:t>
            </w:r>
          </w:p>
        </w:tc>
      </w:tr>
      <w:tr>
        <w:trPr>
          <w:trHeight w:val="179"/>
        </w:trPr>
        <w:tc>
          <w:tcPr>
            <w:tcW w:w="1840" w:type="dxa"/>
            <w:vAlign w:val="bottom"/>
          </w:tcPr>
          <w:p>
            <w:pPr>
              <w:ind w:left="100"/>
              <w:spacing w:after="0"/>
              <w:rPr>
                <w:sz w:val="20"/>
                <w:szCs w:val="20"/>
                <w:color w:val="auto"/>
              </w:rPr>
            </w:pPr>
            <w:r>
              <w:rPr>
                <w:rFonts w:ascii="Arial" w:cs="Arial" w:eastAsia="Arial" w:hAnsi="Arial"/>
                <w:sz w:val="15"/>
                <w:szCs w:val="15"/>
                <w:b w:val="1"/>
                <w:bCs w:val="1"/>
                <w:color w:val="auto"/>
              </w:rPr>
              <w:t>directors</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each nominee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exceed shares voted</w:t>
            </w:r>
          </w:p>
        </w:tc>
        <w:tc>
          <w:tcPr>
            <w:tcW w:w="100" w:type="dxa"/>
            <w:vAlign w:val="bottom"/>
          </w:tcPr>
          <w:p>
            <w:pPr>
              <w:spacing w:after="0"/>
              <w:rPr>
                <w:sz w:val="15"/>
                <w:szCs w:val="15"/>
                <w:color w:val="auto"/>
              </w:rPr>
            </w:pPr>
          </w:p>
        </w:tc>
      </w:tr>
      <w:tr>
        <w:trPr>
          <w:trHeight w:val="200"/>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against</w:t>
            </w:r>
          </w:p>
        </w:tc>
        <w:tc>
          <w:tcPr>
            <w:tcW w:w="100" w:type="dxa"/>
            <w:vAlign w:val="bottom"/>
          </w:tcPr>
          <w:p>
            <w:pPr>
              <w:spacing w:after="0"/>
              <w:rPr>
                <w:sz w:val="17"/>
                <w:szCs w:val="17"/>
                <w:color w:val="auto"/>
              </w:rPr>
            </w:pPr>
          </w:p>
        </w:tc>
      </w:tr>
      <w:tr>
        <w:trPr>
          <w:trHeight w:val="60"/>
        </w:trPr>
        <w:tc>
          <w:tcPr>
            <w:tcW w:w="184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1080" w:type="dxa"/>
            <w:vAlign w:val="bottom"/>
            <w:tcBorders>
              <w:bottom w:val="single" w:sz="8" w:color="CCCCCC"/>
            </w:tcBorders>
          </w:tcPr>
          <w:p>
            <w:pPr>
              <w:spacing w:after="0"/>
              <w:rPr>
                <w:sz w:val="5"/>
                <w:szCs w:val="5"/>
                <w:color w:val="auto"/>
              </w:rPr>
            </w:pPr>
          </w:p>
        </w:tc>
        <w:tc>
          <w:tcPr>
            <w:tcW w:w="1280" w:type="dxa"/>
            <w:vAlign w:val="bottom"/>
            <w:tcBorders>
              <w:bottom w:val="single" w:sz="8" w:color="CCCCCC"/>
            </w:tcBorders>
            <w:gridSpan w:val="2"/>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tcPr>
          <w:p>
            <w:pPr>
              <w:spacing w:after="0"/>
              <w:rPr>
                <w:sz w:val="5"/>
                <w:szCs w:val="5"/>
                <w:color w:val="auto"/>
              </w:rPr>
            </w:pPr>
          </w:p>
        </w:tc>
        <w:tc>
          <w:tcPr>
            <w:tcW w:w="380" w:type="dxa"/>
            <w:vAlign w:val="bottom"/>
            <w:tcBorders>
              <w:bottom w:val="single" w:sz="8" w:color="CCCCCC"/>
            </w:tcBorders>
          </w:tcPr>
          <w:p>
            <w:pPr>
              <w:spacing w:after="0"/>
              <w:rPr>
                <w:sz w:val="5"/>
                <w:szCs w:val="5"/>
                <w:color w:val="auto"/>
              </w:rPr>
            </w:pPr>
          </w:p>
        </w:tc>
        <w:tc>
          <w:tcPr>
            <w:tcW w:w="148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r>
      <w:tr>
        <w:trPr>
          <w:trHeight w:val="196"/>
        </w:trPr>
        <w:tc>
          <w:tcPr>
            <w:tcW w:w="1840" w:type="dxa"/>
            <w:vAlign w:val="bottom"/>
            <w:shd w:val="clear" w:color="auto" w:fill="F2F2F2"/>
          </w:tcPr>
          <w:p>
            <w:pPr>
              <w:ind w:left="4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Item 2: Ratification of</w:t>
            </w:r>
          </w:p>
        </w:tc>
        <w:tc>
          <w:tcPr>
            <w:tcW w:w="30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920" w:type="dxa"/>
            <w:vAlign w:val="bottom"/>
            <w:gridSpan w:val="5"/>
            <w:shd w:val="clear" w:color="auto" w:fill="F2F2F2"/>
          </w:tcPr>
          <w:p>
            <w:pPr>
              <w:jc w:val="center"/>
              <w:ind w:right="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83</w:t>
            </w:r>
          </w:p>
        </w:tc>
        <w:tc>
          <w:tcPr>
            <w:tcW w:w="30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108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FOR</w:t>
            </w:r>
          </w:p>
        </w:tc>
        <w:tc>
          <w:tcPr>
            <w:tcW w:w="1280" w:type="dxa"/>
            <w:vAlign w:val="bottom"/>
            <w:gridSpan w:val="2"/>
            <w:shd w:val="clear" w:color="auto" w:fill="F2F2F2"/>
          </w:tcPr>
          <w:p>
            <w:pPr>
              <w:ind w:left="40"/>
              <w:spacing w:after="0" w:line="195"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None expected</w:t>
            </w:r>
          </w:p>
        </w:tc>
        <w:tc>
          <w:tcPr>
            <w:tcW w:w="36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Do not count</w:t>
            </w:r>
          </w:p>
        </w:tc>
        <w:tc>
          <w:tcPr>
            <w:tcW w:w="380" w:type="dxa"/>
            <w:vAlign w:val="bottom"/>
            <w:shd w:val="clear" w:color="auto" w:fill="F2F2F2"/>
          </w:tcPr>
          <w:p>
            <w:pPr>
              <w:ind w:left="200"/>
              <w:spacing w:after="0"/>
              <w:rPr>
                <w:sz w:val="20"/>
                <w:szCs w:val="20"/>
                <w:color w:val="auto"/>
              </w:rPr>
            </w:pPr>
            <w:r>
              <w:rPr>
                <w:rFonts w:ascii="Arial" w:cs="Arial" w:eastAsia="Arial" w:hAnsi="Arial"/>
                <w:sz w:val="15"/>
                <w:szCs w:val="15"/>
                <w:color w:val="auto"/>
              </w:rPr>
              <w:t>​ ​</w:t>
            </w:r>
          </w:p>
        </w:tc>
        <w:tc>
          <w:tcPr>
            <w:tcW w:w="148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Majority of shares</w:t>
            </w:r>
          </w:p>
        </w:tc>
        <w:tc>
          <w:tcPr>
            <w:tcW w:w="10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r>
      <w:tr>
        <w:trPr>
          <w:trHeight w:val="177"/>
        </w:trPr>
        <w:tc>
          <w:tcPr>
            <w:tcW w:w="1840" w:type="dxa"/>
            <w:vAlign w:val="bottom"/>
            <w:tcBorders>
              <w:top w:val="single" w:sz="8" w:color="F2F2F2"/>
            </w:tcBorders>
            <w:shd w:val="clear" w:color="auto" w:fill="F2F2F2"/>
          </w:tcPr>
          <w:p>
            <w:pPr>
              <w:ind w:left="100"/>
              <w:spacing w:after="0"/>
              <w:rPr>
                <w:sz w:val="20"/>
                <w:szCs w:val="20"/>
                <w:color w:val="auto"/>
              </w:rPr>
            </w:pPr>
            <w:r>
              <w:rPr>
                <w:rFonts w:ascii="Arial" w:cs="Arial" w:eastAsia="Arial" w:hAnsi="Arial"/>
                <w:sz w:val="15"/>
                <w:szCs w:val="15"/>
                <w:b w:val="1"/>
                <w:bCs w:val="1"/>
                <w:color w:val="auto"/>
              </w:rPr>
              <w:t>appointment of the</w:t>
            </w:r>
          </w:p>
        </w:tc>
        <w:tc>
          <w:tcPr>
            <w:tcW w:w="300" w:type="dxa"/>
            <w:vAlign w:val="bottom"/>
            <w:tcBorders>
              <w:top w:val="single" w:sz="8" w:color="F2F2F2"/>
            </w:tcBorders>
            <w:shd w:val="clear" w:color="auto" w:fill="F2F2F2"/>
          </w:tcPr>
          <w:p>
            <w:pPr>
              <w:spacing w:after="0"/>
              <w:rPr>
                <w:sz w:val="15"/>
                <w:szCs w:val="15"/>
                <w:color w:val="auto"/>
              </w:rPr>
            </w:pPr>
          </w:p>
        </w:tc>
        <w:tc>
          <w:tcPr>
            <w:tcW w:w="560" w:type="dxa"/>
            <w:vAlign w:val="bottom"/>
            <w:tcBorders>
              <w:top w:val="single" w:sz="8" w:color="F2F2F2"/>
            </w:tcBorders>
            <w:shd w:val="clear" w:color="auto" w:fill="F2F2F2"/>
          </w:tcPr>
          <w:p>
            <w:pPr>
              <w:spacing w:after="0"/>
              <w:rPr>
                <w:sz w:val="15"/>
                <w:szCs w:val="15"/>
                <w:color w:val="auto"/>
              </w:rPr>
            </w:pPr>
          </w:p>
        </w:tc>
        <w:tc>
          <w:tcPr>
            <w:tcW w:w="40" w:type="dxa"/>
            <w:vAlign w:val="bottom"/>
            <w:tcBorders>
              <w:top w:val="single" w:sz="8" w:color="0000EE"/>
            </w:tcBorders>
            <w:shd w:val="clear" w:color="auto" w:fill="F2F2F2"/>
          </w:tcPr>
          <w:p>
            <w:pPr>
              <w:spacing w:after="0"/>
              <w:rPr>
                <w:sz w:val="15"/>
                <w:szCs w:val="15"/>
                <w:color w:val="auto"/>
              </w:rPr>
            </w:pPr>
          </w:p>
        </w:tc>
        <w:tc>
          <w:tcPr>
            <w:tcW w:w="80" w:type="dxa"/>
            <w:vAlign w:val="bottom"/>
            <w:tcBorders>
              <w:top w:val="single" w:sz="8" w:color="0000EE"/>
            </w:tcBorders>
            <w:shd w:val="clear" w:color="auto" w:fill="F2F2F2"/>
          </w:tcPr>
          <w:p>
            <w:pPr>
              <w:spacing w:after="0"/>
              <w:rPr>
                <w:sz w:val="15"/>
                <w:szCs w:val="15"/>
                <w:color w:val="auto"/>
              </w:rPr>
            </w:pPr>
          </w:p>
        </w:tc>
        <w:tc>
          <w:tcPr>
            <w:tcW w:w="40" w:type="dxa"/>
            <w:vAlign w:val="bottom"/>
            <w:tcBorders>
              <w:top w:val="single" w:sz="8" w:color="0000EE"/>
            </w:tcBorders>
            <w:shd w:val="clear" w:color="auto" w:fill="F2F2F2"/>
          </w:tcPr>
          <w:p>
            <w:pPr>
              <w:spacing w:after="0"/>
              <w:rPr>
                <w:sz w:val="15"/>
                <w:szCs w:val="15"/>
                <w:color w:val="auto"/>
              </w:rPr>
            </w:pPr>
          </w:p>
        </w:tc>
        <w:tc>
          <w:tcPr>
            <w:tcW w:w="200" w:type="dxa"/>
            <w:vAlign w:val="bottom"/>
            <w:tcBorders>
              <w:top w:val="single" w:sz="8" w:color="F2F2F2"/>
            </w:tcBorders>
            <w:shd w:val="clear" w:color="auto" w:fill="F2F2F2"/>
          </w:tcPr>
          <w:p>
            <w:pPr>
              <w:spacing w:after="0"/>
              <w:rPr>
                <w:sz w:val="15"/>
                <w:szCs w:val="15"/>
                <w:color w:val="auto"/>
              </w:rPr>
            </w:pPr>
          </w:p>
        </w:tc>
        <w:tc>
          <w:tcPr>
            <w:tcW w:w="300" w:type="dxa"/>
            <w:vAlign w:val="bottom"/>
            <w:tcBorders>
              <w:top w:val="single" w:sz="8" w:color="F2F2F2"/>
            </w:tcBorders>
            <w:shd w:val="clear" w:color="auto" w:fill="F2F2F2"/>
          </w:tcPr>
          <w:p>
            <w:pPr>
              <w:spacing w:after="0"/>
              <w:rPr>
                <w:sz w:val="15"/>
                <w:szCs w:val="15"/>
                <w:color w:val="auto"/>
              </w:rPr>
            </w:pPr>
          </w:p>
        </w:tc>
        <w:tc>
          <w:tcPr>
            <w:tcW w:w="1080" w:type="dxa"/>
            <w:vAlign w:val="bottom"/>
            <w:tcBorders>
              <w:top w:val="single" w:sz="8" w:color="F2F2F2"/>
            </w:tcBorders>
            <w:shd w:val="clear" w:color="auto" w:fill="F2F2F2"/>
          </w:tcPr>
          <w:p>
            <w:pPr>
              <w:spacing w:after="0"/>
              <w:rPr>
                <w:sz w:val="15"/>
                <w:szCs w:val="15"/>
                <w:color w:val="auto"/>
              </w:rPr>
            </w:pPr>
          </w:p>
        </w:tc>
        <w:tc>
          <w:tcPr>
            <w:tcW w:w="240" w:type="dxa"/>
            <w:vAlign w:val="bottom"/>
            <w:tcBorders>
              <w:top w:val="single" w:sz="8" w:color="F2F2F2"/>
            </w:tcBorders>
            <w:shd w:val="clear" w:color="auto" w:fill="F2F2F2"/>
          </w:tcPr>
          <w:p>
            <w:pPr>
              <w:spacing w:after="0"/>
              <w:rPr>
                <w:sz w:val="15"/>
                <w:szCs w:val="15"/>
                <w:color w:val="auto"/>
              </w:rPr>
            </w:pPr>
          </w:p>
        </w:tc>
        <w:tc>
          <w:tcPr>
            <w:tcW w:w="1040" w:type="dxa"/>
            <w:vAlign w:val="bottom"/>
            <w:tcBorders>
              <w:top w:val="single" w:sz="8" w:color="F2F2F2"/>
            </w:tcBorders>
            <w:shd w:val="clear" w:color="auto" w:fill="F2F2F2"/>
          </w:tcPr>
          <w:p>
            <w:pPr>
              <w:spacing w:after="0"/>
              <w:rPr>
                <w:sz w:val="15"/>
                <w:szCs w:val="15"/>
                <w:color w:val="auto"/>
              </w:rPr>
            </w:pPr>
          </w:p>
        </w:tc>
        <w:tc>
          <w:tcPr>
            <w:tcW w:w="360" w:type="dxa"/>
            <w:vAlign w:val="bottom"/>
            <w:tcBorders>
              <w:top w:val="single" w:sz="8" w:color="F2F2F2"/>
            </w:tcBorders>
            <w:shd w:val="clear" w:color="auto" w:fill="F2F2F2"/>
          </w:tcPr>
          <w:p>
            <w:pPr>
              <w:spacing w:after="0"/>
              <w:rPr>
                <w:sz w:val="15"/>
                <w:szCs w:val="15"/>
                <w:color w:val="auto"/>
              </w:rPr>
            </w:pPr>
          </w:p>
        </w:tc>
        <w:tc>
          <w:tcPr>
            <w:tcW w:w="1220" w:type="dxa"/>
            <w:vAlign w:val="bottom"/>
            <w:tcBorders>
              <w:top w:val="single" w:sz="8" w:color="F2F2F2"/>
            </w:tcBorders>
            <w:shd w:val="clear" w:color="auto" w:fill="F2F2F2"/>
          </w:tcPr>
          <w:p>
            <w:pPr>
              <w:spacing w:after="0"/>
              <w:rPr>
                <w:sz w:val="15"/>
                <w:szCs w:val="15"/>
                <w:color w:val="auto"/>
              </w:rPr>
            </w:pPr>
          </w:p>
        </w:tc>
        <w:tc>
          <w:tcPr>
            <w:tcW w:w="380" w:type="dxa"/>
            <w:vAlign w:val="bottom"/>
            <w:tcBorders>
              <w:top w:val="single" w:sz="8" w:color="F2F2F2"/>
            </w:tcBorders>
            <w:shd w:val="clear" w:color="auto" w:fill="F2F2F2"/>
          </w:tcPr>
          <w:p>
            <w:pPr>
              <w:spacing w:after="0"/>
              <w:rPr>
                <w:sz w:val="15"/>
                <w:szCs w:val="15"/>
                <w:color w:val="auto"/>
              </w:rPr>
            </w:pPr>
          </w:p>
        </w:tc>
        <w:tc>
          <w:tcPr>
            <w:tcW w:w="148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entitled to vote on,</w:t>
            </w:r>
          </w:p>
        </w:tc>
        <w:tc>
          <w:tcPr>
            <w:tcW w:w="100" w:type="dxa"/>
            <w:vAlign w:val="bottom"/>
            <w:tcBorders>
              <w:top w:val="single" w:sz="8" w:color="F2F2F2"/>
            </w:tcBorders>
            <w:shd w:val="clear" w:color="auto" w:fill="F2F2F2"/>
          </w:tcPr>
          <w:p>
            <w:pPr>
              <w:spacing w:after="0"/>
              <w:rPr>
                <w:sz w:val="15"/>
                <w:szCs w:val="15"/>
                <w:color w:val="auto"/>
              </w:rPr>
            </w:pPr>
          </w:p>
        </w:tc>
      </w:tr>
      <w:tr>
        <w:trPr>
          <w:trHeight w:val="176"/>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independent registered</w:t>
            </w:r>
          </w:p>
        </w:tc>
        <w:tc>
          <w:tcPr>
            <w:tcW w:w="30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1220" w:type="dxa"/>
            <w:vAlign w:val="bottom"/>
            <w:shd w:val="clear" w:color="auto" w:fill="F2F2F2"/>
          </w:tcPr>
          <w:p>
            <w:pPr>
              <w:spacing w:after="0"/>
              <w:rPr>
                <w:sz w:val="15"/>
                <w:szCs w:val="15"/>
                <w:color w:val="auto"/>
              </w:rPr>
            </w:pPr>
          </w:p>
        </w:tc>
        <w:tc>
          <w:tcPr>
            <w:tcW w:w="380" w:type="dxa"/>
            <w:vAlign w:val="bottom"/>
            <w:shd w:val="clear" w:color="auto" w:fill="F2F2F2"/>
          </w:tcPr>
          <w:p>
            <w:pPr>
              <w:spacing w:after="0"/>
              <w:rPr>
                <w:sz w:val="15"/>
                <w:szCs w:val="15"/>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8"/>
              </w:rPr>
              <w:t>and voted for or</w:t>
            </w:r>
          </w:p>
        </w:tc>
        <w:tc>
          <w:tcPr>
            <w:tcW w:w="100" w:type="dxa"/>
            <w:vAlign w:val="bottom"/>
            <w:shd w:val="clear" w:color="auto" w:fill="F2F2F2"/>
          </w:tcPr>
          <w:p>
            <w:pPr>
              <w:spacing w:after="0"/>
              <w:rPr>
                <w:sz w:val="15"/>
                <w:szCs w:val="15"/>
                <w:color w:val="auto"/>
              </w:rPr>
            </w:pPr>
          </w:p>
        </w:tc>
      </w:tr>
      <w:tr>
        <w:trPr>
          <w:trHeight w:val="267"/>
        </w:trPr>
        <w:tc>
          <w:tcPr>
            <w:tcW w:w="18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b w:val="1"/>
                <w:bCs w:val="1"/>
                <w:color w:val="auto"/>
              </w:rPr>
              <w:t>public accounting firm</w:t>
            </w:r>
          </w:p>
        </w:tc>
        <w:tc>
          <w:tcPr>
            <w:tcW w:w="300" w:type="dxa"/>
            <w:vAlign w:val="bottom"/>
            <w:tcBorders>
              <w:bottom w:val="single" w:sz="8" w:color="F2F2F2"/>
            </w:tcBorders>
            <w:shd w:val="clear" w:color="auto" w:fill="F2F2F2"/>
          </w:tcPr>
          <w:p>
            <w:pPr>
              <w:spacing w:after="0"/>
              <w:rPr>
                <w:sz w:val="22"/>
                <w:szCs w:val="22"/>
                <w:color w:val="auto"/>
              </w:rPr>
            </w:pPr>
          </w:p>
        </w:tc>
        <w:tc>
          <w:tcPr>
            <w:tcW w:w="560" w:type="dxa"/>
            <w:vAlign w:val="bottom"/>
            <w:tcBorders>
              <w:bottom w:val="single" w:sz="8" w:color="F2F2F2"/>
            </w:tcBorders>
            <w:shd w:val="clear" w:color="auto" w:fill="F2F2F2"/>
          </w:tcPr>
          <w:p>
            <w:pPr>
              <w:spacing w:after="0"/>
              <w:rPr>
                <w:sz w:val="22"/>
                <w:szCs w:val="22"/>
                <w:color w:val="auto"/>
              </w:rPr>
            </w:pPr>
          </w:p>
        </w:tc>
        <w:tc>
          <w:tcPr>
            <w:tcW w:w="40" w:type="dxa"/>
            <w:vAlign w:val="bottom"/>
            <w:tcBorders>
              <w:bottom w:val="single" w:sz="8" w:color="F2F2F2"/>
            </w:tcBorders>
            <w:shd w:val="clear" w:color="auto" w:fill="F2F2F2"/>
          </w:tcPr>
          <w:p>
            <w:pPr>
              <w:spacing w:after="0"/>
              <w:rPr>
                <w:sz w:val="22"/>
                <w:szCs w:val="22"/>
                <w:color w:val="auto"/>
              </w:rPr>
            </w:pPr>
          </w:p>
        </w:tc>
        <w:tc>
          <w:tcPr>
            <w:tcW w:w="80" w:type="dxa"/>
            <w:vAlign w:val="bottom"/>
            <w:tcBorders>
              <w:bottom w:val="single" w:sz="8" w:color="F2F2F2"/>
            </w:tcBorders>
            <w:shd w:val="clear" w:color="auto" w:fill="F2F2F2"/>
          </w:tcPr>
          <w:p>
            <w:pPr>
              <w:spacing w:after="0"/>
              <w:rPr>
                <w:sz w:val="22"/>
                <w:szCs w:val="22"/>
                <w:color w:val="auto"/>
              </w:rPr>
            </w:pPr>
          </w:p>
        </w:tc>
        <w:tc>
          <w:tcPr>
            <w:tcW w:w="40" w:type="dxa"/>
            <w:vAlign w:val="bottom"/>
            <w:tcBorders>
              <w:bottom w:val="single" w:sz="8" w:color="F2F2F2"/>
            </w:tcBorders>
            <w:shd w:val="clear" w:color="auto" w:fill="F2F2F2"/>
          </w:tcPr>
          <w:p>
            <w:pPr>
              <w:spacing w:after="0"/>
              <w:rPr>
                <w:sz w:val="22"/>
                <w:szCs w:val="22"/>
                <w:color w:val="auto"/>
              </w:rPr>
            </w:pPr>
          </w:p>
        </w:tc>
        <w:tc>
          <w:tcPr>
            <w:tcW w:w="2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080" w:type="dxa"/>
            <w:vAlign w:val="bottom"/>
            <w:tcBorders>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040" w:type="dxa"/>
            <w:vAlign w:val="bottom"/>
            <w:tcBorders>
              <w:bottom w:val="single" w:sz="8" w:color="F2F2F2"/>
            </w:tcBorders>
            <w:shd w:val="clear" w:color="auto" w:fill="F2F2F2"/>
          </w:tcPr>
          <w:p>
            <w:pPr>
              <w:spacing w:after="0"/>
              <w:rPr>
                <w:sz w:val="22"/>
                <w:szCs w:val="22"/>
                <w:color w:val="auto"/>
              </w:rPr>
            </w:pPr>
          </w:p>
        </w:tc>
        <w:tc>
          <w:tcPr>
            <w:tcW w:w="360" w:type="dxa"/>
            <w:vAlign w:val="bottom"/>
            <w:tcBorders>
              <w:bottom w:val="single" w:sz="8" w:color="F2F2F2"/>
            </w:tcBorders>
            <w:shd w:val="clear" w:color="auto" w:fill="F2F2F2"/>
          </w:tcPr>
          <w:p>
            <w:pPr>
              <w:spacing w:after="0"/>
              <w:rPr>
                <w:sz w:val="22"/>
                <w:szCs w:val="22"/>
                <w:color w:val="auto"/>
              </w:rPr>
            </w:pPr>
          </w:p>
        </w:tc>
        <w:tc>
          <w:tcPr>
            <w:tcW w:w="1220" w:type="dxa"/>
            <w:vAlign w:val="bottom"/>
            <w:tcBorders>
              <w:bottom w:val="single" w:sz="8" w:color="F2F2F2"/>
            </w:tcBorders>
            <w:shd w:val="clear" w:color="auto" w:fill="F2F2F2"/>
          </w:tcPr>
          <w:p>
            <w:pPr>
              <w:spacing w:after="0"/>
              <w:rPr>
                <w:sz w:val="22"/>
                <w:szCs w:val="22"/>
                <w:color w:val="auto"/>
              </w:rPr>
            </w:pPr>
          </w:p>
        </w:tc>
        <w:tc>
          <w:tcPr>
            <w:tcW w:w="380" w:type="dxa"/>
            <w:vAlign w:val="bottom"/>
            <w:tcBorders>
              <w:bottom w:val="single" w:sz="8" w:color="F2F2F2"/>
            </w:tcBorders>
            <w:shd w:val="clear" w:color="auto" w:fill="F2F2F2"/>
          </w:tcPr>
          <w:p>
            <w:pPr>
              <w:spacing w:after="0"/>
              <w:rPr>
                <w:sz w:val="22"/>
                <w:szCs w:val="22"/>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w w:val="99"/>
              </w:rPr>
              <w:t>against, the matter</w:t>
            </w:r>
          </w:p>
        </w:tc>
        <w:tc>
          <w:tcPr>
            <w:tcW w:w="100" w:type="dxa"/>
            <w:vAlign w:val="bottom"/>
            <w:tcBorders>
              <w:bottom w:val="single" w:sz="8" w:color="F2F2F2"/>
            </w:tcBorders>
            <w:shd w:val="clear" w:color="auto" w:fill="F2F2F2"/>
          </w:tcPr>
          <w:p>
            <w:pPr>
              <w:spacing w:after="0"/>
              <w:rPr>
                <w:sz w:val="22"/>
                <w:szCs w:val="22"/>
                <w:color w:val="auto"/>
              </w:rPr>
            </w:pPr>
          </w:p>
        </w:tc>
      </w:tr>
      <w:tr>
        <w:trPr>
          <w:trHeight w:val="196"/>
        </w:trPr>
        <w:tc>
          <w:tcPr>
            <w:tcW w:w="1840" w:type="dxa"/>
            <w:vAlign w:val="bottom"/>
            <w:tcBorders>
              <w:top w:val="single" w:sz="8" w:color="CCCCCC"/>
            </w:tcBorders>
          </w:tcPr>
          <w:p>
            <w:pPr>
              <w:ind w:left="4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Item 3: Advisory vote</w:t>
            </w:r>
          </w:p>
        </w:tc>
        <w:tc>
          <w:tcPr>
            <w:tcW w:w="30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920" w:type="dxa"/>
            <w:vAlign w:val="bottom"/>
            <w:tcBorders>
              <w:top w:val="single" w:sz="8" w:color="CCCCCC"/>
            </w:tcBorders>
            <w:gridSpan w:val="5"/>
          </w:tcPr>
          <w:p>
            <w:pPr>
              <w:jc w:val="center"/>
              <w:ind w:right="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84</w:t>
            </w:r>
          </w:p>
        </w:tc>
        <w:tc>
          <w:tcPr>
            <w:tcW w:w="300" w:type="dxa"/>
            <w:vAlign w:val="bottom"/>
            <w:tcBorders>
              <w:top w:val="single" w:sz="8" w:color="CCCCCC"/>
            </w:tcBorders>
          </w:tcPr>
          <w:p>
            <w:pPr>
              <w:ind w:left="120"/>
              <w:spacing w:after="0"/>
              <w:rPr>
                <w:sz w:val="20"/>
                <w:szCs w:val="20"/>
                <w:color w:val="auto"/>
              </w:rPr>
            </w:pPr>
            <w:r>
              <w:rPr>
                <w:rFonts w:ascii="Arial" w:cs="Arial" w:eastAsia="Arial" w:hAnsi="Arial"/>
                <w:sz w:val="15"/>
                <w:szCs w:val="15"/>
                <w:color w:val="auto"/>
              </w:rPr>
              <w:t>​ ​</w:t>
            </w:r>
          </w:p>
        </w:tc>
        <w:tc>
          <w:tcPr>
            <w:tcW w:w="108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FOR</w:t>
            </w:r>
          </w:p>
        </w:tc>
        <w:tc>
          <w:tcPr>
            <w:tcW w:w="24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104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Do not count</w:t>
            </w:r>
          </w:p>
        </w:tc>
        <w:tc>
          <w:tcPr>
            <w:tcW w:w="36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 ​</w:t>
            </w:r>
          </w:p>
        </w:tc>
        <w:tc>
          <w:tcPr>
            <w:tcW w:w="122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Do not count</w:t>
            </w:r>
          </w:p>
        </w:tc>
        <w:tc>
          <w:tcPr>
            <w:tcW w:w="380" w:type="dxa"/>
            <w:vAlign w:val="bottom"/>
            <w:tcBorders>
              <w:top w:val="single" w:sz="8" w:color="CCCCCC"/>
            </w:tcBorders>
          </w:tcPr>
          <w:p>
            <w:pPr>
              <w:ind w:left="200"/>
              <w:spacing w:after="0"/>
              <w:rPr>
                <w:sz w:val="20"/>
                <w:szCs w:val="20"/>
                <w:color w:val="auto"/>
              </w:rPr>
            </w:pPr>
            <w:r>
              <w:rPr>
                <w:rFonts w:ascii="Arial" w:cs="Arial" w:eastAsia="Arial" w:hAnsi="Arial"/>
                <w:sz w:val="15"/>
                <w:szCs w:val="15"/>
                <w:color w:val="auto"/>
              </w:rPr>
              <w:t>​ ​</w:t>
            </w:r>
          </w:p>
        </w:tc>
        <w:tc>
          <w:tcPr>
            <w:tcW w:w="1480" w:type="dxa"/>
            <w:vAlign w:val="bottom"/>
            <w:tcBorders>
              <w:top w:val="single" w:sz="8" w:color="CCCCCC"/>
            </w:tcBorders>
          </w:tcPr>
          <w:p>
            <w:pPr>
              <w:jc w:val="center"/>
              <w:spacing w:after="0"/>
              <w:rPr>
                <w:sz w:val="20"/>
                <w:szCs w:val="20"/>
                <w:color w:val="auto"/>
              </w:rPr>
            </w:pPr>
            <w:r>
              <w:rPr>
                <w:rFonts w:ascii="Arial" w:cs="Arial" w:eastAsia="Arial" w:hAnsi="Arial"/>
                <w:sz w:val="15"/>
                <w:szCs w:val="15"/>
                <w:color w:val="auto"/>
              </w:rPr>
              <w:t>Majority of shares</w:t>
            </w:r>
          </w:p>
        </w:tc>
        <w:tc>
          <w:tcPr>
            <w:tcW w:w="100" w:type="dxa"/>
            <w:vAlign w:val="bottom"/>
            <w:tcBorders>
              <w:top w:val="single" w:sz="8" w:color="CCCCCC"/>
            </w:tcBorders>
          </w:tcPr>
          <w:p>
            <w:pPr>
              <w:ind w:left="40"/>
              <w:spacing w:after="0"/>
              <w:rPr>
                <w:sz w:val="20"/>
                <w:szCs w:val="20"/>
                <w:color w:val="auto"/>
              </w:rPr>
            </w:pPr>
            <w:r>
              <w:rPr>
                <w:rFonts w:ascii="Arial" w:cs="Arial" w:eastAsia="Arial" w:hAnsi="Arial"/>
                <w:sz w:val="15"/>
                <w:szCs w:val="15"/>
                <w:color w:val="auto"/>
              </w:rPr>
              <w:t>​</w:t>
            </w:r>
          </w:p>
        </w:tc>
      </w:tr>
      <w:tr>
        <w:trPr>
          <w:trHeight w:val="177"/>
        </w:trPr>
        <w:tc>
          <w:tcPr>
            <w:tcW w:w="1840" w:type="dxa"/>
            <w:vAlign w:val="bottom"/>
          </w:tcPr>
          <w:p>
            <w:pPr>
              <w:ind w:left="100"/>
              <w:spacing w:after="0"/>
              <w:rPr>
                <w:sz w:val="20"/>
                <w:szCs w:val="20"/>
                <w:color w:val="auto"/>
              </w:rPr>
            </w:pPr>
            <w:r>
              <w:rPr>
                <w:rFonts w:ascii="Arial" w:cs="Arial" w:eastAsia="Arial" w:hAnsi="Arial"/>
                <w:sz w:val="15"/>
                <w:szCs w:val="15"/>
                <w:b w:val="1"/>
                <w:bCs w:val="1"/>
                <w:color w:val="auto"/>
              </w:rPr>
              <w:t>on executive</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entitled to vote on,</w:t>
            </w:r>
          </w:p>
        </w:tc>
        <w:tc>
          <w:tcPr>
            <w:tcW w:w="100" w:type="dxa"/>
            <w:vAlign w:val="bottom"/>
          </w:tcPr>
          <w:p>
            <w:pPr>
              <w:spacing w:after="0"/>
              <w:rPr>
                <w:sz w:val="15"/>
                <w:szCs w:val="15"/>
                <w:color w:val="auto"/>
              </w:rPr>
            </w:pPr>
          </w:p>
        </w:tc>
      </w:tr>
      <w:tr>
        <w:trPr>
          <w:trHeight w:val="177"/>
        </w:trPr>
        <w:tc>
          <w:tcPr>
            <w:tcW w:w="1840" w:type="dxa"/>
            <w:vAlign w:val="bottom"/>
          </w:tcPr>
          <w:p>
            <w:pPr>
              <w:ind w:left="100"/>
              <w:spacing w:after="0"/>
              <w:rPr>
                <w:sz w:val="20"/>
                <w:szCs w:val="20"/>
                <w:color w:val="auto"/>
              </w:rPr>
            </w:pPr>
            <w:r>
              <w:rPr>
                <w:rFonts w:ascii="Arial" w:cs="Arial" w:eastAsia="Arial" w:hAnsi="Arial"/>
                <w:sz w:val="15"/>
                <w:szCs w:val="15"/>
                <w:b w:val="1"/>
                <w:bCs w:val="1"/>
                <w:color w:val="auto"/>
              </w:rPr>
              <w:t>compensation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8"/>
              </w:rPr>
              <w:t>and voted for or</w:t>
            </w:r>
          </w:p>
        </w:tc>
        <w:tc>
          <w:tcPr>
            <w:tcW w:w="100" w:type="dxa"/>
            <w:vAlign w:val="bottom"/>
          </w:tcPr>
          <w:p>
            <w:pPr>
              <w:spacing w:after="0"/>
              <w:rPr>
                <w:sz w:val="15"/>
                <w:szCs w:val="15"/>
                <w:color w:val="auto"/>
              </w:rPr>
            </w:pPr>
          </w:p>
        </w:tc>
      </w:tr>
      <w:tr>
        <w:trPr>
          <w:trHeight w:val="200"/>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against, the matter</w:t>
            </w:r>
          </w:p>
        </w:tc>
        <w:tc>
          <w:tcPr>
            <w:tcW w:w="100" w:type="dxa"/>
            <w:vAlign w:val="bottom"/>
          </w:tcPr>
          <w:p>
            <w:pPr>
              <w:spacing w:after="0"/>
              <w:rPr>
                <w:sz w:val="17"/>
                <w:szCs w:val="17"/>
                <w:color w:val="auto"/>
              </w:rPr>
            </w:pPr>
          </w:p>
        </w:tc>
      </w:tr>
      <w:tr>
        <w:trPr>
          <w:trHeight w:val="60"/>
        </w:trPr>
        <w:tc>
          <w:tcPr>
            <w:tcW w:w="184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4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300" w:type="dxa"/>
            <w:vAlign w:val="bottom"/>
            <w:tcBorders>
              <w:bottom w:val="single" w:sz="8" w:color="CCCCCC"/>
            </w:tcBorders>
          </w:tcPr>
          <w:p>
            <w:pPr>
              <w:spacing w:after="0"/>
              <w:rPr>
                <w:sz w:val="5"/>
                <w:szCs w:val="5"/>
                <w:color w:val="auto"/>
              </w:rPr>
            </w:pPr>
          </w:p>
        </w:tc>
        <w:tc>
          <w:tcPr>
            <w:tcW w:w="108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040" w:type="dxa"/>
            <w:vAlign w:val="bottom"/>
            <w:tcBorders>
              <w:bottom w:val="single" w:sz="8" w:color="CCCCCC"/>
            </w:tcBorders>
          </w:tcPr>
          <w:p>
            <w:pPr>
              <w:spacing w:after="0"/>
              <w:rPr>
                <w:sz w:val="5"/>
                <w:szCs w:val="5"/>
                <w:color w:val="auto"/>
              </w:rPr>
            </w:pPr>
          </w:p>
        </w:tc>
        <w:tc>
          <w:tcPr>
            <w:tcW w:w="360" w:type="dxa"/>
            <w:vAlign w:val="bottom"/>
            <w:tcBorders>
              <w:bottom w:val="single" w:sz="8" w:color="CCCCCC"/>
            </w:tcBorders>
          </w:tcPr>
          <w:p>
            <w:pPr>
              <w:spacing w:after="0"/>
              <w:rPr>
                <w:sz w:val="5"/>
                <w:szCs w:val="5"/>
                <w:color w:val="auto"/>
              </w:rPr>
            </w:pPr>
          </w:p>
        </w:tc>
        <w:tc>
          <w:tcPr>
            <w:tcW w:w="1220" w:type="dxa"/>
            <w:vAlign w:val="bottom"/>
            <w:tcBorders>
              <w:bottom w:val="single" w:sz="8" w:color="CCCCCC"/>
            </w:tcBorders>
          </w:tcPr>
          <w:p>
            <w:pPr>
              <w:spacing w:after="0"/>
              <w:rPr>
                <w:sz w:val="5"/>
                <w:szCs w:val="5"/>
                <w:color w:val="auto"/>
              </w:rPr>
            </w:pPr>
          </w:p>
        </w:tc>
        <w:tc>
          <w:tcPr>
            <w:tcW w:w="1860" w:type="dxa"/>
            <w:vAlign w:val="bottom"/>
            <w:tcBorders>
              <w:bottom w:val="single" w:sz="8" w:color="CCCCCC"/>
            </w:tcBorders>
            <w:gridSpan w:val="2"/>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r>
      <w:tr>
        <w:trPr>
          <w:trHeight w:val="196"/>
        </w:trPr>
        <w:tc>
          <w:tcPr>
            <w:tcW w:w="1840" w:type="dxa"/>
            <w:vAlign w:val="bottom"/>
            <w:shd w:val="clear" w:color="auto" w:fill="F2F2F2"/>
          </w:tcPr>
          <w:p>
            <w:pPr>
              <w:ind w:left="40"/>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b w:val="1"/>
                <w:bCs w:val="1"/>
                <w:color w:val="auto"/>
              </w:rPr>
              <w:t>Item 4: Approval of the</w:t>
            </w:r>
          </w:p>
        </w:tc>
        <w:tc>
          <w:tcPr>
            <w:tcW w:w="30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920" w:type="dxa"/>
            <w:vAlign w:val="bottom"/>
            <w:gridSpan w:val="5"/>
            <w:shd w:val="clear" w:color="auto" w:fill="F2F2F2"/>
          </w:tcPr>
          <w:p>
            <w:pPr>
              <w:jc w:val="center"/>
              <w:ind w:right="4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87</w:t>
            </w:r>
          </w:p>
        </w:tc>
        <w:tc>
          <w:tcPr>
            <w:tcW w:w="300" w:type="dxa"/>
            <w:vAlign w:val="bottom"/>
            <w:shd w:val="clear" w:color="auto" w:fill="F2F2F2"/>
          </w:tcPr>
          <w:p>
            <w:pPr>
              <w:ind w:left="120"/>
              <w:spacing w:after="0"/>
              <w:rPr>
                <w:sz w:val="20"/>
                <w:szCs w:val="20"/>
                <w:color w:val="auto"/>
              </w:rPr>
            </w:pPr>
            <w:r>
              <w:rPr>
                <w:rFonts w:ascii="Arial" w:cs="Arial" w:eastAsia="Arial" w:hAnsi="Arial"/>
                <w:sz w:val="15"/>
                <w:szCs w:val="15"/>
                <w:color w:val="auto"/>
              </w:rPr>
              <w:t>​ ​</w:t>
            </w:r>
          </w:p>
        </w:tc>
        <w:tc>
          <w:tcPr>
            <w:tcW w:w="108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FOR</w:t>
            </w:r>
          </w:p>
        </w:tc>
        <w:tc>
          <w:tcPr>
            <w:tcW w:w="24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04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Do not count</w:t>
            </w:r>
          </w:p>
        </w:tc>
        <w:tc>
          <w:tcPr>
            <w:tcW w:w="360" w:type="dxa"/>
            <w:vAlign w:val="bottom"/>
            <w:shd w:val="clear" w:color="auto" w:fill="F2F2F2"/>
          </w:tcPr>
          <w:p>
            <w:pPr>
              <w:ind w:left="40"/>
              <w:spacing w:after="0"/>
              <w:rPr>
                <w:sz w:val="20"/>
                <w:szCs w:val="20"/>
                <w:color w:val="auto"/>
              </w:rPr>
            </w:pPr>
            <w:r>
              <w:rPr>
                <w:rFonts w:ascii="Arial" w:cs="Arial" w:eastAsia="Arial" w:hAnsi="Arial"/>
                <w:sz w:val="15"/>
                <w:szCs w:val="15"/>
                <w:color w:val="auto"/>
              </w:rPr>
              <w:t>​ ​</w:t>
            </w:r>
          </w:p>
        </w:tc>
        <w:tc>
          <w:tcPr>
            <w:tcW w:w="12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Do not count</w:t>
            </w:r>
          </w:p>
        </w:tc>
        <w:tc>
          <w:tcPr>
            <w:tcW w:w="1860" w:type="dxa"/>
            <w:vAlign w:val="bottom"/>
            <w:gridSpan w:val="2"/>
            <w:shd w:val="clear" w:color="auto" w:fill="F2F2F2"/>
          </w:tcPr>
          <w:p>
            <w:pPr>
              <w:ind w:left="200"/>
              <w:spacing w:after="0" w:line="195"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Majority of the shares</w:t>
            </w:r>
          </w:p>
        </w:tc>
        <w:tc>
          <w:tcPr>
            <w:tcW w:w="100" w:type="dxa"/>
            <w:vAlign w:val="bottom"/>
            <w:shd w:val="clear" w:color="auto" w:fill="F2F2F2"/>
          </w:tcPr>
          <w:p>
            <w:pPr>
              <w:ind w:left="40"/>
              <w:spacing w:after="0"/>
              <w:rPr>
                <w:sz w:val="20"/>
                <w:szCs w:val="20"/>
                <w:color w:val="auto"/>
              </w:rPr>
            </w:pPr>
            <w:r>
              <w:rPr>
                <w:rFonts w:ascii="Arial" w:cs="Arial" w:eastAsia="Arial" w:hAnsi="Arial"/>
                <w:sz w:val="15"/>
                <w:szCs w:val="15"/>
                <w:color w:val="auto"/>
              </w:rPr>
              <w:t>​</w:t>
            </w:r>
          </w:p>
        </w:tc>
      </w:tr>
      <w:tr>
        <w:trPr>
          <w:trHeight w:val="177"/>
        </w:trPr>
        <w:tc>
          <w:tcPr>
            <w:tcW w:w="1840" w:type="dxa"/>
            <w:vAlign w:val="bottom"/>
            <w:tcBorders>
              <w:top w:val="single" w:sz="8" w:color="F2F2F2"/>
            </w:tcBorders>
            <w:shd w:val="clear" w:color="auto" w:fill="F2F2F2"/>
          </w:tcPr>
          <w:p>
            <w:pPr>
              <w:ind w:left="100"/>
              <w:spacing w:after="0"/>
              <w:rPr>
                <w:sz w:val="20"/>
                <w:szCs w:val="20"/>
                <w:color w:val="auto"/>
              </w:rPr>
            </w:pPr>
            <w:r>
              <w:rPr>
                <w:rFonts w:ascii="Arial" w:cs="Arial" w:eastAsia="Arial" w:hAnsi="Arial"/>
                <w:sz w:val="15"/>
                <w:szCs w:val="15"/>
                <w:b w:val="1"/>
                <w:bCs w:val="1"/>
                <w:color w:val="auto"/>
              </w:rPr>
              <w:t>amendment to the</w:t>
            </w:r>
          </w:p>
        </w:tc>
        <w:tc>
          <w:tcPr>
            <w:tcW w:w="300" w:type="dxa"/>
            <w:vAlign w:val="bottom"/>
            <w:tcBorders>
              <w:top w:val="single" w:sz="8" w:color="F2F2F2"/>
            </w:tcBorders>
            <w:shd w:val="clear" w:color="auto" w:fill="F2F2F2"/>
          </w:tcPr>
          <w:p>
            <w:pPr>
              <w:spacing w:after="0"/>
              <w:rPr>
                <w:sz w:val="15"/>
                <w:szCs w:val="15"/>
                <w:color w:val="auto"/>
              </w:rPr>
            </w:pPr>
          </w:p>
        </w:tc>
        <w:tc>
          <w:tcPr>
            <w:tcW w:w="560" w:type="dxa"/>
            <w:vAlign w:val="bottom"/>
            <w:tcBorders>
              <w:top w:val="single" w:sz="8" w:color="F2F2F2"/>
            </w:tcBorders>
            <w:shd w:val="clear" w:color="auto" w:fill="F2F2F2"/>
          </w:tcPr>
          <w:p>
            <w:pPr>
              <w:spacing w:after="0"/>
              <w:rPr>
                <w:sz w:val="15"/>
                <w:szCs w:val="15"/>
                <w:color w:val="auto"/>
              </w:rPr>
            </w:pPr>
          </w:p>
        </w:tc>
        <w:tc>
          <w:tcPr>
            <w:tcW w:w="40" w:type="dxa"/>
            <w:vAlign w:val="bottom"/>
            <w:tcBorders>
              <w:top w:val="single" w:sz="8" w:color="0000EE"/>
            </w:tcBorders>
            <w:shd w:val="clear" w:color="auto" w:fill="F2F2F2"/>
          </w:tcPr>
          <w:p>
            <w:pPr>
              <w:spacing w:after="0"/>
              <w:rPr>
                <w:sz w:val="15"/>
                <w:szCs w:val="15"/>
                <w:color w:val="auto"/>
              </w:rPr>
            </w:pPr>
          </w:p>
        </w:tc>
        <w:tc>
          <w:tcPr>
            <w:tcW w:w="80" w:type="dxa"/>
            <w:vAlign w:val="bottom"/>
            <w:tcBorders>
              <w:top w:val="single" w:sz="8" w:color="0000EE"/>
            </w:tcBorders>
            <w:shd w:val="clear" w:color="auto" w:fill="F2F2F2"/>
          </w:tcPr>
          <w:p>
            <w:pPr>
              <w:spacing w:after="0"/>
              <w:rPr>
                <w:sz w:val="15"/>
                <w:szCs w:val="15"/>
                <w:color w:val="auto"/>
              </w:rPr>
            </w:pPr>
          </w:p>
        </w:tc>
        <w:tc>
          <w:tcPr>
            <w:tcW w:w="40" w:type="dxa"/>
            <w:vAlign w:val="bottom"/>
            <w:tcBorders>
              <w:top w:val="single" w:sz="8" w:color="0000EE"/>
            </w:tcBorders>
            <w:shd w:val="clear" w:color="auto" w:fill="F2F2F2"/>
          </w:tcPr>
          <w:p>
            <w:pPr>
              <w:spacing w:after="0"/>
              <w:rPr>
                <w:sz w:val="15"/>
                <w:szCs w:val="15"/>
                <w:color w:val="auto"/>
              </w:rPr>
            </w:pPr>
          </w:p>
        </w:tc>
        <w:tc>
          <w:tcPr>
            <w:tcW w:w="200" w:type="dxa"/>
            <w:vAlign w:val="bottom"/>
            <w:tcBorders>
              <w:top w:val="single" w:sz="8" w:color="F2F2F2"/>
            </w:tcBorders>
            <w:shd w:val="clear" w:color="auto" w:fill="F2F2F2"/>
          </w:tcPr>
          <w:p>
            <w:pPr>
              <w:spacing w:after="0"/>
              <w:rPr>
                <w:sz w:val="15"/>
                <w:szCs w:val="15"/>
                <w:color w:val="auto"/>
              </w:rPr>
            </w:pPr>
          </w:p>
        </w:tc>
        <w:tc>
          <w:tcPr>
            <w:tcW w:w="300" w:type="dxa"/>
            <w:vAlign w:val="bottom"/>
            <w:tcBorders>
              <w:top w:val="single" w:sz="8" w:color="F2F2F2"/>
            </w:tcBorders>
            <w:shd w:val="clear" w:color="auto" w:fill="F2F2F2"/>
          </w:tcPr>
          <w:p>
            <w:pPr>
              <w:spacing w:after="0"/>
              <w:rPr>
                <w:sz w:val="15"/>
                <w:szCs w:val="15"/>
                <w:color w:val="auto"/>
              </w:rPr>
            </w:pPr>
          </w:p>
        </w:tc>
        <w:tc>
          <w:tcPr>
            <w:tcW w:w="1080" w:type="dxa"/>
            <w:vAlign w:val="bottom"/>
            <w:tcBorders>
              <w:top w:val="single" w:sz="8" w:color="F2F2F2"/>
            </w:tcBorders>
            <w:shd w:val="clear" w:color="auto" w:fill="F2F2F2"/>
          </w:tcPr>
          <w:p>
            <w:pPr>
              <w:spacing w:after="0"/>
              <w:rPr>
                <w:sz w:val="15"/>
                <w:szCs w:val="15"/>
                <w:color w:val="auto"/>
              </w:rPr>
            </w:pPr>
          </w:p>
        </w:tc>
        <w:tc>
          <w:tcPr>
            <w:tcW w:w="240" w:type="dxa"/>
            <w:vAlign w:val="bottom"/>
            <w:tcBorders>
              <w:top w:val="single" w:sz="8" w:color="F2F2F2"/>
            </w:tcBorders>
            <w:shd w:val="clear" w:color="auto" w:fill="F2F2F2"/>
          </w:tcPr>
          <w:p>
            <w:pPr>
              <w:spacing w:after="0"/>
              <w:rPr>
                <w:sz w:val="15"/>
                <w:szCs w:val="15"/>
                <w:color w:val="auto"/>
              </w:rPr>
            </w:pPr>
          </w:p>
        </w:tc>
        <w:tc>
          <w:tcPr>
            <w:tcW w:w="1040" w:type="dxa"/>
            <w:vAlign w:val="bottom"/>
            <w:tcBorders>
              <w:top w:val="single" w:sz="8" w:color="F2F2F2"/>
            </w:tcBorders>
            <w:shd w:val="clear" w:color="auto" w:fill="F2F2F2"/>
          </w:tcPr>
          <w:p>
            <w:pPr>
              <w:spacing w:after="0"/>
              <w:rPr>
                <w:sz w:val="15"/>
                <w:szCs w:val="15"/>
                <w:color w:val="auto"/>
              </w:rPr>
            </w:pPr>
          </w:p>
        </w:tc>
        <w:tc>
          <w:tcPr>
            <w:tcW w:w="360" w:type="dxa"/>
            <w:vAlign w:val="bottom"/>
            <w:tcBorders>
              <w:top w:val="single" w:sz="8" w:color="F2F2F2"/>
            </w:tcBorders>
            <w:shd w:val="clear" w:color="auto" w:fill="F2F2F2"/>
          </w:tcPr>
          <w:p>
            <w:pPr>
              <w:spacing w:after="0"/>
              <w:rPr>
                <w:sz w:val="15"/>
                <w:szCs w:val="15"/>
                <w:color w:val="auto"/>
              </w:rPr>
            </w:pPr>
          </w:p>
        </w:tc>
        <w:tc>
          <w:tcPr>
            <w:tcW w:w="1220" w:type="dxa"/>
            <w:vAlign w:val="bottom"/>
            <w:tcBorders>
              <w:top w:val="single" w:sz="8" w:color="F2F2F2"/>
            </w:tcBorders>
            <w:shd w:val="clear" w:color="auto" w:fill="F2F2F2"/>
          </w:tcPr>
          <w:p>
            <w:pPr>
              <w:spacing w:after="0"/>
              <w:rPr>
                <w:sz w:val="15"/>
                <w:szCs w:val="15"/>
                <w:color w:val="auto"/>
              </w:rPr>
            </w:pPr>
          </w:p>
        </w:tc>
        <w:tc>
          <w:tcPr>
            <w:tcW w:w="380" w:type="dxa"/>
            <w:vAlign w:val="bottom"/>
            <w:tcBorders>
              <w:top w:val="single" w:sz="8" w:color="F2F2F2"/>
            </w:tcBorders>
            <w:shd w:val="clear" w:color="auto" w:fill="F2F2F2"/>
          </w:tcPr>
          <w:p>
            <w:pPr>
              <w:spacing w:after="0"/>
              <w:rPr>
                <w:sz w:val="15"/>
                <w:szCs w:val="15"/>
                <w:color w:val="auto"/>
              </w:rPr>
            </w:pPr>
          </w:p>
        </w:tc>
        <w:tc>
          <w:tcPr>
            <w:tcW w:w="148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5"/>
                <w:szCs w:val="15"/>
                <w:color w:val="auto"/>
              </w:rPr>
              <w:t>entitled to vote on,</w:t>
            </w:r>
          </w:p>
        </w:tc>
        <w:tc>
          <w:tcPr>
            <w:tcW w:w="100" w:type="dxa"/>
            <w:vAlign w:val="bottom"/>
            <w:tcBorders>
              <w:top w:val="single" w:sz="8" w:color="F2F2F2"/>
            </w:tcBorders>
            <w:shd w:val="clear" w:color="auto" w:fill="F2F2F2"/>
          </w:tcPr>
          <w:p>
            <w:pPr>
              <w:spacing w:after="0"/>
              <w:rPr>
                <w:sz w:val="15"/>
                <w:szCs w:val="15"/>
                <w:color w:val="auto"/>
              </w:rPr>
            </w:pPr>
          </w:p>
        </w:tc>
      </w:tr>
      <w:tr>
        <w:trPr>
          <w:trHeight w:val="176"/>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CenterPoint Energy,</w:t>
            </w:r>
          </w:p>
        </w:tc>
        <w:tc>
          <w:tcPr>
            <w:tcW w:w="30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1220" w:type="dxa"/>
            <w:vAlign w:val="bottom"/>
            <w:shd w:val="clear" w:color="auto" w:fill="F2F2F2"/>
          </w:tcPr>
          <w:p>
            <w:pPr>
              <w:spacing w:after="0"/>
              <w:rPr>
                <w:sz w:val="15"/>
                <w:szCs w:val="15"/>
                <w:color w:val="auto"/>
              </w:rPr>
            </w:pPr>
          </w:p>
        </w:tc>
        <w:tc>
          <w:tcPr>
            <w:tcW w:w="380" w:type="dxa"/>
            <w:vAlign w:val="bottom"/>
            <w:shd w:val="clear" w:color="auto" w:fill="F2F2F2"/>
          </w:tcPr>
          <w:p>
            <w:pPr>
              <w:spacing w:after="0"/>
              <w:rPr>
                <w:sz w:val="15"/>
                <w:szCs w:val="15"/>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8"/>
              </w:rPr>
              <w:t>and voted for or</w:t>
            </w:r>
          </w:p>
        </w:tc>
        <w:tc>
          <w:tcPr>
            <w:tcW w:w="100" w:type="dxa"/>
            <w:vAlign w:val="bottom"/>
            <w:shd w:val="clear" w:color="auto" w:fill="F2F2F2"/>
          </w:tcPr>
          <w:p>
            <w:pPr>
              <w:spacing w:after="0"/>
              <w:rPr>
                <w:sz w:val="15"/>
                <w:szCs w:val="15"/>
                <w:color w:val="auto"/>
              </w:rPr>
            </w:pPr>
          </w:p>
        </w:tc>
      </w:tr>
      <w:tr>
        <w:trPr>
          <w:trHeight w:val="189"/>
        </w:trPr>
        <w:tc>
          <w:tcPr>
            <w:tcW w:w="1840" w:type="dxa"/>
            <w:vAlign w:val="bottom"/>
            <w:shd w:val="clear" w:color="auto" w:fill="F2F2F2"/>
          </w:tcPr>
          <w:p>
            <w:pPr>
              <w:ind w:left="100"/>
              <w:spacing w:after="0"/>
              <w:rPr>
                <w:sz w:val="20"/>
                <w:szCs w:val="20"/>
                <w:color w:val="auto"/>
              </w:rPr>
            </w:pPr>
            <w:r>
              <w:rPr>
                <w:rFonts w:ascii="Arial" w:cs="Arial" w:eastAsia="Arial" w:hAnsi="Arial"/>
                <w:sz w:val="15"/>
                <w:szCs w:val="15"/>
                <w:b w:val="1"/>
                <w:bCs w:val="1"/>
                <w:color w:val="auto"/>
              </w:rPr>
              <w:t>Inc. Stock Plan for</w:t>
            </w:r>
          </w:p>
        </w:tc>
        <w:tc>
          <w:tcPr>
            <w:tcW w:w="300" w:type="dxa"/>
            <w:vAlign w:val="bottom"/>
            <w:shd w:val="clear" w:color="auto" w:fill="F2F2F2"/>
          </w:tcPr>
          <w:p>
            <w:pPr>
              <w:spacing w:after="0"/>
              <w:rPr>
                <w:sz w:val="16"/>
                <w:szCs w:val="16"/>
                <w:color w:val="auto"/>
              </w:rPr>
            </w:pPr>
          </w:p>
        </w:tc>
        <w:tc>
          <w:tcPr>
            <w:tcW w:w="56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040" w:type="dxa"/>
            <w:vAlign w:val="bottom"/>
            <w:shd w:val="clear" w:color="auto" w:fill="F2F2F2"/>
          </w:tcPr>
          <w:p>
            <w:pPr>
              <w:spacing w:after="0"/>
              <w:rPr>
                <w:sz w:val="16"/>
                <w:szCs w:val="16"/>
                <w:color w:val="auto"/>
              </w:rPr>
            </w:pPr>
          </w:p>
        </w:tc>
        <w:tc>
          <w:tcPr>
            <w:tcW w:w="3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380" w:type="dxa"/>
            <w:vAlign w:val="bottom"/>
            <w:shd w:val="clear" w:color="auto" w:fill="F2F2F2"/>
          </w:tcPr>
          <w:p>
            <w:pPr>
              <w:spacing w:after="0"/>
              <w:rPr>
                <w:sz w:val="16"/>
                <w:szCs w:val="16"/>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against, the matter</w:t>
            </w:r>
          </w:p>
        </w:tc>
        <w:tc>
          <w:tcPr>
            <w:tcW w:w="100" w:type="dxa"/>
            <w:vAlign w:val="bottom"/>
            <w:shd w:val="clear" w:color="auto" w:fill="F2F2F2"/>
          </w:tcPr>
          <w:p>
            <w:pPr>
              <w:spacing w:after="0"/>
              <w:rPr>
                <w:sz w:val="16"/>
                <w:szCs w:val="16"/>
                <w:color w:val="auto"/>
              </w:rPr>
            </w:pPr>
          </w:p>
        </w:tc>
      </w:tr>
      <w:tr>
        <w:trPr>
          <w:trHeight w:val="242"/>
        </w:trPr>
        <w:tc>
          <w:tcPr>
            <w:tcW w:w="18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5"/>
                <w:szCs w:val="15"/>
                <w:b w:val="1"/>
                <w:bCs w:val="1"/>
                <w:color w:val="auto"/>
              </w:rPr>
              <w:t>Outside Directors</w:t>
            </w: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108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1040" w:type="dxa"/>
            <w:vAlign w:val="bottom"/>
            <w:tcBorders>
              <w:bottom w:val="single" w:sz="8" w:color="F2F2F2"/>
            </w:tcBorders>
            <w:shd w:val="clear" w:color="auto" w:fill="F2F2F2"/>
          </w:tcPr>
          <w:p>
            <w:pPr>
              <w:spacing w:after="0"/>
              <w:rPr>
                <w:sz w:val="21"/>
                <w:szCs w:val="21"/>
                <w:color w:val="auto"/>
              </w:rPr>
            </w:pPr>
          </w:p>
        </w:tc>
        <w:tc>
          <w:tcPr>
            <w:tcW w:w="360" w:type="dxa"/>
            <w:vAlign w:val="bottom"/>
            <w:tcBorders>
              <w:bottom w:val="single" w:sz="8" w:color="F2F2F2"/>
            </w:tcBorders>
            <w:shd w:val="clear" w:color="auto" w:fill="F2F2F2"/>
          </w:tcPr>
          <w:p>
            <w:pPr>
              <w:spacing w:after="0"/>
              <w:rPr>
                <w:sz w:val="21"/>
                <w:szCs w:val="21"/>
                <w:color w:val="auto"/>
              </w:rPr>
            </w:pPr>
          </w:p>
        </w:tc>
        <w:tc>
          <w:tcPr>
            <w:tcW w:w="1220" w:type="dxa"/>
            <w:vAlign w:val="bottom"/>
            <w:tcBorders>
              <w:bottom w:val="single" w:sz="8" w:color="F2F2F2"/>
            </w:tcBorders>
            <w:shd w:val="clear" w:color="auto" w:fill="F2F2F2"/>
          </w:tcPr>
          <w:p>
            <w:pPr>
              <w:spacing w:after="0"/>
              <w:rPr>
                <w:sz w:val="21"/>
                <w:szCs w:val="21"/>
                <w:color w:val="auto"/>
              </w:rPr>
            </w:pPr>
          </w:p>
        </w:tc>
        <w:tc>
          <w:tcPr>
            <w:tcW w:w="380" w:type="dxa"/>
            <w:vAlign w:val="bottom"/>
            <w:tcBorders>
              <w:bottom w:val="single" w:sz="8" w:color="F2F2F2"/>
            </w:tcBorders>
            <w:shd w:val="clear" w:color="auto" w:fill="F2F2F2"/>
          </w:tcPr>
          <w:p>
            <w:pPr>
              <w:spacing w:after="0"/>
              <w:rPr>
                <w:sz w:val="21"/>
                <w:szCs w:val="21"/>
                <w:color w:val="auto"/>
              </w:rPr>
            </w:pPr>
          </w:p>
        </w:tc>
        <w:tc>
          <w:tcPr>
            <w:tcW w:w="148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r>
      <w:tr>
        <w:trPr>
          <w:trHeight w:val="20"/>
        </w:trPr>
        <w:tc>
          <w:tcPr>
            <w:tcW w:w="1840" w:type="dxa"/>
            <w:vAlign w:val="bottom"/>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560" w:type="dxa"/>
            <w:vAlign w:val="bottom"/>
            <w:shd w:val="clear" w:color="auto" w:fill="CCCCCC"/>
          </w:tcPr>
          <w:p>
            <w:pPr>
              <w:spacing w:after="0" w:line="20" w:lineRule="exact"/>
              <w:rPr>
                <w:sz w:val="1"/>
                <w:szCs w:val="1"/>
                <w:color w:val="auto"/>
              </w:rPr>
            </w:pPr>
          </w:p>
        </w:tc>
        <w:tc>
          <w:tcPr>
            <w:tcW w:w="4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4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1080" w:type="dxa"/>
            <w:vAlign w:val="bottom"/>
            <w:shd w:val="clear" w:color="auto" w:fill="CCCCCC"/>
          </w:tcPr>
          <w:p>
            <w:pPr>
              <w:spacing w:after="0" w:line="20" w:lineRule="exact"/>
              <w:rPr>
                <w:sz w:val="1"/>
                <w:szCs w:val="1"/>
                <w:color w:val="auto"/>
              </w:rPr>
            </w:pPr>
          </w:p>
        </w:tc>
        <w:tc>
          <w:tcPr>
            <w:tcW w:w="240" w:type="dxa"/>
            <w:vAlign w:val="bottom"/>
            <w:shd w:val="clear" w:color="auto" w:fill="CCCCCC"/>
          </w:tcPr>
          <w:p>
            <w:pPr>
              <w:spacing w:after="0" w:line="20" w:lineRule="exact"/>
              <w:rPr>
                <w:sz w:val="1"/>
                <w:szCs w:val="1"/>
                <w:color w:val="auto"/>
              </w:rPr>
            </w:pPr>
          </w:p>
        </w:tc>
        <w:tc>
          <w:tcPr>
            <w:tcW w:w="1040" w:type="dxa"/>
            <w:vAlign w:val="bottom"/>
            <w:shd w:val="clear" w:color="auto" w:fill="CCCCCC"/>
          </w:tcPr>
          <w:p>
            <w:pPr>
              <w:spacing w:after="0" w:line="20" w:lineRule="exact"/>
              <w:rPr>
                <w:sz w:val="1"/>
                <w:szCs w:val="1"/>
                <w:color w:val="auto"/>
              </w:rPr>
            </w:pPr>
          </w:p>
        </w:tc>
        <w:tc>
          <w:tcPr>
            <w:tcW w:w="360" w:type="dxa"/>
            <w:vAlign w:val="bottom"/>
            <w:shd w:val="clear" w:color="auto" w:fill="CCCCCC"/>
          </w:tcPr>
          <w:p>
            <w:pPr>
              <w:spacing w:after="0" w:line="20" w:lineRule="exact"/>
              <w:rPr>
                <w:sz w:val="1"/>
                <w:szCs w:val="1"/>
                <w:color w:val="auto"/>
              </w:rPr>
            </w:pPr>
          </w:p>
        </w:tc>
        <w:tc>
          <w:tcPr>
            <w:tcW w:w="1220" w:type="dxa"/>
            <w:vAlign w:val="bottom"/>
            <w:shd w:val="clear" w:color="auto" w:fill="CCCCCC"/>
          </w:tcPr>
          <w:p>
            <w:pPr>
              <w:spacing w:after="0" w:line="20" w:lineRule="exact"/>
              <w:rPr>
                <w:sz w:val="1"/>
                <w:szCs w:val="1"/>
                <w:color w:val="auto"/>
              </w:rPr>
            </w:pPr>
          </w:p>
        </w:tc>
        <w:tc>
          <w:tcPr>
            <w:tcW w:w="380" w:type="dxa"/>
            <w:vAlign w:val="bottom"/>
            <w:shd w:val="clear" w:color="auto" w:fill="CCCCCC"/>
          </w:tcPr>
          <w:p>
            <w:pPr>
              <w:spacing w:after="0" w:line="20" w:lineRule="exact"/>
              <w:rPr>
                <w:sz w:val="1"/>
                <w:szCs w:val="1"/>
                <w:color w:val="auto"/>
              </w:rPr>
            </w:pPr>
          </w:p>
        </w:tc>
        <w:tc>
          <w:tcPr>
            <w:tcW w:w="1480" w:type="dxa"/>
            <w:vAlign w:val="bottom"/>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r>
    </w:tbl>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Who may vote?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Holders of our common stock recorded in our stock register at the close of business on February 18, 2025 may vote at the meeting.</w:t>
      </w:r>
    </w:p>
    <w:p>
      <w:pPr>
        <w:spacing w:after="0" w:line="3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As of that date, there were 651,729,066 shares of our common stock outstanding.</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How many votes do I have?</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You have one vote for each share of our common stock you owned as of the record date for the meeting.</w:t>
      </w:r>
    </w:p>
    <w:p>
      <w:pPr>
        <w:spacing w:after="0" w:line="23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How do I vote?</w:t>
      </w:r>
    </w:p>
    <w:p>
      <w:pPr>
        <w:spacing w:after="0" w:line="122" w:lineRule="exact"/>
        <w:rPr>
          <w:sz w:val="20"/>
          <w:szCs w:val="20"/>
          <w:color w:val="auto"/>
        </w:rPr>
      </w:pPr>
    </w:p>
    <w:p>
      <w:pPr>
        <w:ind w:left="740" w:right="160"/>
        <w:spacing w:after="0" w:line="256" w:lineRule="auto"/>
        <w:rPr>
          <w:sz w:val="20"/>
          <w:szCs w:val="20"/>
          <w:color w:val="auto"/>
        </w:rPr>
      </w:pPr>
      <w:r>
        <w:rPr>
          <w:rFonts w:ascii="Arial" w:cs="Arial" w:eastAsia="Arial" w:hAnsi="Arial"/>
          <w:sz w:val="16"/>
          <w:szCs w:val="16"/>
          <w:color w:val="auto"/>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p>
    <w:p>
      <w:pPr>
        <w:spacing w:after="0" w:line="99" w:lineRule="exact"/>
        <w:rPr>
          <w:sz w:val="20"/>
          <w:szCs w:val="20"/>
          <w:color w:val="auto"/>
        </w:rPr>
      </w:pPr>
    </w:p>
    <w:p>
      <w:pPr>
        <w:ind w:left="740" w:right="40"/>
        <w:spacing w:after="0" w:line="256" w:lineRule="auto"/>
        <w:rPr>
          <w:sz w:val="20"/>
          <w:szCs w:val="20"/>
          <w:color w:val="auto"/>
        </w:rPr>
      </w:pPr>
      <w:r>
        <w:rPr>
          <w:rFonts w:ascii="Arial" w:cs="Arial" w:eastAsia="Arial" w:hAnsi="Arial"/>
          <w:sz w:val="16"/>
          <w:szCs w:val="16"/>
          <w:color w:val="auto"/>
        </w:rPr>
        <w:t>You may vote for or against each director nominee under Item 1 (election of directors) and the proposals under Item 2 (ratification of appointment of the independent registered public accounting firm), Item 3 (advisory vote on executive compensation), and Item 4 (approval of amendment to the CenterPoint Energy, Inc. Stock Plan for Outside Directors), or you may abstain from voting on these items. If you give us your proxy but do not specify how to vote, we will vote your shares of our common stock in accordance with the Board’s recommendations.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What are the Board’s recommendations?</w:t>
      </w:r>
    </w:p>
    <w:p>
      <w:pPr>
        <w:spacing w:after="0" w:line="122" w:lineRule="exact"/>
        <w:rPr>
          <w:sz w:val="20"/>
          <w:szCs w:val="20"/>
          <w:color w:val="auto"/>
        </w:rPr>
      </w:pPr>
    </w:p>
    <w:p>
      <w:pPr>
        <w:ind w:left="740" w:right="380"/>
        <w:spacing w:after="0" w:line="266" w:lineRule="auto"/>
        <w:rPr>
          <w:sz w:val="20"/>
          <w:szCs w:val="20"/>
          <w:color w:val="auto"/>
        </w:rPr>
      </w:pPr>
      <w:r>
        <w:rPr>
          <w:rFonts w:ascii="Arial" w:cs="Arial" w:eastAsia="Arial" w:hAnsi="Arial"/>
          <w:sz w:val="16"/>
          <w:szCs w:val="16"/>
          <w:color w:val="auto"/>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p>
    <w:p>
      <w:pPr>
        <w:spacing w:after="0" w:line="63" w:lineRule="exact"/>
        <w:rPr>
          <w:sz w:val="20"/>
          <w:szCs w:val="20"/>
          <w:color w:val="auto"/>
        </w:rPr>
      </w:pPr>
    </w:p>
    <w:p>
      <w:pPr>
        <w:ind w:left="920" w:hanging="189"/>
        <w:spacing w:after="0"/>
        <w:tabs>
          <w:tab w:leader="none" w:pos="92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eleven nominees named in this Proxy Statement as directors;</w:t>
      </w:r>
    </w:p>
    <w:p>
      <w:pPr>
        <w:spacing w:after="0" w:line="99" w:lineRule="exact"/>
        <w:rPr>
          <w:rFonts w:ascii="Arial" w:cs="Arial" w:eastAsia="Arial" w:hAnsi="Arial"/>
          <w:sz w:val="16"/>
          <w:szCs w:val="16"/>
          <w:color w:val="auto"/>
        </w:rPr>
      </w:pPr>
    </w:p>
    <w:p>
      <w:pPr>
        <w:ind w:left="920" w:hanging="189"/>
        <w:spacing w:after="0"/>
        <w:tabs>
          <w:tab w:leader="none" w:pos="92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Deloitte &amp; Touche LLP as our independent registered public accounting firm for 2025;</w:t>
      </w:r>
    </w:p>
    <w:p>
      <w:pPr>
        <w:spacing w:after="0" w:line="113" w:lineRule="exact"/>
        <w:rPr>
          <w:rFonts w:ascii="Arial" w:cs="Arial" w:eastAsia="Arial" w:hAnsi="Arial"/>
          <w:sz w:val="16"/>
          <w:szCs w:val="16"/>
          <w:color w:val="auto"/>
        </w:rPr>
      </w:pPr>
    </w:p>
    <w:p>
      <w:pPr>
        <w:ind w:left="920" w:right="360" w:hanging="189"/>
        <w:spacing w:after="0" w:line="304" w:lineRule="auto"/>
        <w:tabs>
          <w:tab w:leader="none" w:pos="92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paid to our named executive officers as disclosed in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and</w:t>
      </w:r>
    </w:p>
    <w:p>
      <w:pPr>
        <w:spacing w:after="0" w:line="19" w:lineRule="exact"/>
        <w:rPr>
          <w:rFonts w:ascii="Arial" w:cs="Arial" w:eastAsia="Arial" w:hAnsi="Arial"/>
          <w:sz w:val="16"/>
          <w:szCs w:val="16"/>
          <w:color w:val="auto"/>
        </w:rPr>
      </w:pPr>
    </w:p>
    <w:p>
      <w:pPr>
        <w:ind w:left="920" w:hanging="189"/>
        <w:spacing w:after="0"/>
        <w:tabs>
          <w:tab w:leader="none" w:pos="920"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amendment to the CenterPoint Energy, Inc. Stock Plan for Outside Directors.</w:t>
      </w:r>
    </w:p>
    <w:p>
      <w:pPr>
        <w:sectPr>
          <w:pgSz w:w="11900" w:h="16838" w:orient="portrait"/>
          <w:cols w:equalWidth="0" w:num="1">
            <w:col w:w="10020"/>
          </w:cols>
          <w:pgMar w:left="580" w:top="97" w:right="1299" w:bottom="1440" w:gutter="0" w:footer="0" w:header="0"/>
        </w:sectPr>
      </w:pPr>
    </w:p>
    <w:p>
      <w:pPr>
        <w:spacing w:after="0" w:line="285"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240"/>
        <w:spacing w:after="0" w:line="286" w:lineRule="auto"/>
        <w:rPr>
          <w:sz w:val="20"/>
          <w:szCs w:val="20"/>
          <w:color w:val="auto"/>
        </w:rPr>
      </w:pPr>
      <w:r>
        <w:rPr>
          <w:rFonts w:ascii="Arial" w:cs="Arial" w:eastAsia="Arial" w:hAnsi="Arial"/>
          <w:sz w:val="16"/>
          <w:szCs w:val="16"/>
          <w:color w:val="auto"/>
        </w:rPr>
        <w:t>If any other matters properly come before the meeting, we will vote the shares of common stock for which we received a proxy in accordance with our best judgment and discretion.</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What if I change my mind after I have voted?</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You may revoke your proxy before it is voted by:</w:t>
      </w:r>
    </w:p>
    <w:p>
      <w:pPr>
        <w:spacing w:after="0" w:line="113" w:lineRule="exact"/>
        <w:rPr>
          <w:sz w:val="20"/>
          <w:szCs w:val="20"/>
          <w:color w:val="auto"/>
        </w:rPr>
      </w:pPr>
    </w:p>
    <w:p>
      <w:pPr>
        <w:ind w:left="920" w:hanging="189"/>
        <w:spacing w:after="0"/>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submitting a new proxy card with a later date;</w:t>
      </w:r>
    </w:p>
    <w:p>
      <w:pPr>
        <w:spacing w:after="0" w:line="126" w:lineRule="exact"/>
        <w:rPr>
          <w:rFonts w:ascii="Arial" w:cs="Arial" w:eastAsia="Arial" w:hAnsi="Arial"/>
          <w:sz w:val="16"/>
          <w:szCs w:val="16"/>
          <w:color w:val="auto"/>
        </w:rPr>
      </w:pPr>
    </w:p>
    <w:p>
      <w:pPr>
        <w:ind w:left="920" w:hanging="189"/>
        <w:spacing w:after="0"/>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voting in person at the meeting; or</w:t>
      </w:r>
    </w:p>
    <w:p>
      <w:pPr>
        <w:spacing w:after="0" w:line="113" w:lineRule="exact"/>
        <w:rPr>
          <w:rFonts w:ascii="Arial" w:cs="Arial" w:eastAsia="Arial" w:hAnsi="Arial"/>
          <w:sz w:val="16"/>
          <w:szCs w:val="16"/>
          <w:color w:val="auto"/>
        </w:rPr>
      </w:pPr>
    </w:p>
    <w:p>
      <w:pPr>
        <w:ind w:left="920" w:hanging="189"/>
        <w:spacing w:after="0"/>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giving written notice to Mr. Vincent A. Mercaldi, Corporate Secretary, at CenterPoint Energy’s address shown above.</w:t>
      </w:r>
    </w:p>
    <w:p>
      <w:pPr>
        <w:spacing w:after="0" w:line="23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Will my shares be voted if I do not provide my proxy?</w:t>
      </w:r>
    </w:p>
    <w:p>
      <w:pPr>
        <w:spacing w:after="0" w:line="122" w:lineRule="exact"/>
        <w:rPr>
          <w:sz w:val="20"/>
          <w:szCs w:val="20"/>
          <w:color w:val="auto"/>
        </w:rPr>
      </w:pPr>
    </w:p>
    <w:p>
      <w:pPr>
        <w:jc w:val="both"/>
        <w:ind w:left="740" w:right="160"/>
        <w:spacing w:after="0" w:line="266" w:lineRule="auto"/>
        <w:rPr>
          <w:sz w:val="20"/>
          <w:szCs w:val="20"/>
          <w:color w:val="auto"/>
        </w:rPr>
      </w:pPr>
      <w:r>
        <w:rPr>
          <w:rFonts w:ascii="Arial" w:cs="Arial" w:eastAsia="Arial" w:hAnsi="Arial"/>
          <w:sz w:val="16"/>
          <w:szCs w:val="16"/>
          <w:color w:val="auto"/>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p>
    <w:p>
      <w:pPr>
        <w:spacing w:after="0" w:line="90" w:lineRule="exact"/>
        <w:rPr>
          <w:sz w:val="20"/>
          <w:szCs w:val="20"/>
          <w:color w:val="auto"/>
        </w:rPr>
      </w:pPr>
    </w:p>
    <w:p>
      <w:pPr>
        <w:ind w:left="740" w:right="140"/>
        <w:spacing w:after="0" w:line="254" w:lineRule="auto"/>
        <w:rPr>
          <w:sz w:val="20"/>
          <w:szCs w:val="20"/>
          <w:color w:val="auto"/>
        </w:rPr>
      </w:pPr>
      <w:r>
        <w:rPr>
          <w:rFonts w:ascii="Arial" w:cs="Arial" w:eastAsia="Arial" w:hAnsi="Arial"/>
          <w:sz w:val="16"/>
          <w:szCs w:val="16"/>
          <w:color w:val="auto"/>
        </w:rPr>
        <w:t>Brokerage firms generally have the authority to vote their customers’ unvoted shares of common stock on certain “routine” matters as determined by the NYSE. If your shares of our common stock are held in the name of a broker, bank or other nominee, such nominee can vote your shares for or against the ratification of the appointment of Deloitte &amp; Touche LLP as our independent registered public accounting firm for 2025 if you do not timely provide your proxy because this matter is considered “routine” under the applicable rules. However, no other items are considered “routine” and may not be voted on by your nominee without your instruction.</w:t>
      </w:r>
    </w:p>
    <w:p>
      <w:pPr>
        <w:spacing w:after="0" w:line="114" w:lineRule="exact"/>
        <w:rPr>
          <w:sz w:val="20"/>
          <w:szCs w:val="20"/>
          <w:color w:val="auto"/>
        </w:rPr>
      </w:pPr>
    </w:p>
    <w:p>
      <w:pPr>
        <w:ind w:left="740" w:right="20"/>
        <w:spacing w:after="0" w:line="264" w:lineRule="auto"/>
        <w:rPr>
          <w:sz w:val="20"/>
          <w:szCs w:val="20"/>
          <w:color w:val="auto"/>
        </w:rPr>
      </w:pPr>
      <w:r>
        <w:rPr>
          <w:rFonts w:ascii="Arial" w:cs="Arial" w:eastAsia="Arial" w:hAnsi="Arial"/>
          <w:sz w:val="16"/>
          <w:szCs w:val="16"/>
          <w:color w:val="auto"/>
        </w:rPr>
        <w:t>For all items other than ratification of the appointment of our independent registered public accounting firm, brokers holding shares of our common stock must vote according to specific instructions they receive from the beneficial owners of those shares because the NYSE precludes brokers from exercising voting discretion on certain proposals without specific instructions from the beneficial owner as to how to vote. Brokers cannot vote on Item 1 (election of directors), Item 3 (advisory vote on executive compensation), or Item 4 (approval of amendment to the CenterPoint Energy, Inc. Stock Plan for Outside Directors) without instructions from the beneficial owners. If you do not instruct your broker how to vote with respect to Item 1, Item 3, or Item 4, your broker will not vote for you with respect to those items.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Do I need a ticket to attend the meeting?</w:t>
      </w:r>
    </w:p>
    <w:p>
      <w:pPr>
        <w:spacing w:after="0" w:line="122" w:lineRule="exact"/>
        <w:rPr>
          <w:sz w:val="20"/>
          <w:szCs w:val="20"/>
          <w:color w:val="auto"/>
        </w:rPr>
      </w:pPr>
    </w:p>
    <w:p>
      <w:pPr>
        <w:jc w:val="both"/>
        <w:ind w:left="740" w:right="100"/>
        <w:spacing w:after="0" w:line="265" w:lineRule="auto"/>
        <w:rPr>
          <w:sz w:val="20"/>
          <w:szCs w:val="20"/>
          <w:color w:val="auto"/>
        </w:rPr>
      </w:pPr>
      <w:r>
        <w:rPr>
          <w:rFonts w:ascii="Arial" w:cs="Arial" w:eastAsia="Arial" w:hAnsi="Arial"/>
          <w:sz w:val="16"/>
          <w:szCs w:val="16"/>
          <w:color w:val="auto"/>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What constitutes a quorum?</w:t>
      </w:r>
    </w:p>
    <w:p>
      <w:pPr>
        <w:spacing w:after="0" w:line="122" w:lineRule="exact"/>
        <w:rPr>
          <w:sz w:val="20"/>
          <w:szCs w:val="20"/>
          <w:color w:val="auto"/>
        </w:rPr>
      </w:pPr>
    </w:p>
    <w:p>
      <w:pPr>
        <w:ind w:left="740" w:right="20"/>
        <w:spacing w:after="0" w:line="275" w:lineRule="auto"/>
        <w:rPr>
          <w:sz w:val="20"/>
          <w:szCs w:val="20"/>
          <w:color w:val="auto"/>
        </w:rPr>
      </w:pPr>
      <w:r>
        <w:rPr>
          <w:rFonts w:ascii="Arial" w:cs="Arial" w:eastAsia="Arial" w:hAnsi="Arial"/>
          <w:sz w:val="16"/>
          <w:szCs w:val="16"/>
          <w:color w:val="auto"/>
        </w:rPr>
        <w:t>To carry on the business of the meeting, we must have a quorum. This means at least a majority of the shares of our common stock entitled to vote must be represented at the meeting, either by proxy or in person. Shares of our common stock owned by CenterPoint Energy are not voted and do not count for this purpose.</w:t>
      </w:r>
    </w:p>
    <w:p>
      <w:pPr>
        <w:spacing w:after="0" w:line="110" w:lineRule="exact"/>
        <w:rPr>
          <w:sz w:val="20"/>
          <w:szCs w:val="20"/>
          <w:color w:val="auto"/>
        </w:rPr>
      </w:pPr>
    </w:p>
    <w:p>
      <w:pPr>
        <w:jc w:val="both"/>
        <w:ind w:left="740" w:right="120"/>
        <w:spacing w:after="0" w:line="275" w:lineRule="auto"/>
        <w:rPr>
          <w:sz w:val="20"/>
          <w:szCs w:val="20"/>
          <w:color w:val="auto"/>
        </w:rPr>
      </w:pPr>
      <w:r>
        <w:rPr>
          <w:rFonts w:ascii="Arial" w:cs="Arial" w:eastAsia="Arial" w:hAnsi="Arial"/>
          <w:sz w:val="16"/>
          <w:szCs w:val="16"/>
          <w:color w:val="auto"/>
        </w:rPr>
        <w:t>Abstentions and proxies submitted by brokers that do not indicate a vote because such brokers do not have discretionary authority and have not received instructions as to how to vote on a proposal (so-called “broker non-votes”) will be considered as present for quorum purposes.</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003763"/>
        </w:rPr>
        <w:t>Who conducts the proxy solicitation and how much will it cost?</w:t>
      </w:r>
    </w:p>
    <w:p>
      <w:pPr>
        <w:spacing w:after="0" w:line="122" w:lineRule="exact"/>
        <w:rPr>
          <w:sz w:val="20"/>
          <w:szCs w:val="20"/>
          <w:color w:val="auto"/>
        </w:rPr>
      </w:pPr>
    </w:p>
    <w:p>
      <w:pPr>
        <w:ind w:left="740" w:right="40"/>
        <w:spacing w:after="0" w:line="265" w:lineRule="auto"/>
        <w:rPr>
          <w:sz w:val="20"/>
          <w:szCs w:val="20"/>
          <w:color w:val="auto"/>
        </w:rPr>
      </w:pPr>
      <w:r>
        <w:rPr>
          <w:rFonts w:ascii="Arial" w:cs="Arial" w:eastAsia="Arial" w:hAnsi="Arial"/>
          <w:sz w:val="16"/>
          <w:szCs w:val="16"/>
          <w:color w:val="auto"/>
        </w:rPr>
        <w:t>We began mailing this Proxy Statement and the accompanying proxy card to shareholders on or about March 5, 2024. The proxy statement and proxy card are being furnished at the direction of the Board of Directors. We will pay all solicitation costs, including the fee of Innisfree M&amp;A Incorporated, who will help us solicit proxies, of $17,500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 Directors, officers and other employees will not receive additional compensation for these services.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Other Matters</w:t>
      </w:r>
    </w:p>
    <w:p>
      <w:pPr>
        <w:spacing w:after="0" w:line="126" w:lineRule="exact"/>
        <w:rPr>
          <w:sz w:val="20"/>
          <w:szCs w:val="20"/>
          <w:color w:val="auto"/>
        </w:rPr>
      </w:pPr>
    </w:p>
    <w:p>
      <w:pPr>
        <w:ind w:left="740" w:right="220"/>
        <w:spacing w:after="0" w:line="275" w:lineRule="auto"/>
        <w:rPr>
          <w:sz w:val="20"/>
          <w:szCs w:val="20"/>
          <w:color w:val="auto"/>
        </w:rPr>
      </w:pPr>
      <w:r>
        <w:rPr>
          <w:rFonts w:ascii="Arial" w:cs="Arial" w:eastAsia="Arial" w:hAnsi="Arial"/>
          <w:sz w:val="16"/>
          <w:szCs w:val="16"/>
          <w:color w:val="auto"/>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p>
    <w:p>
      <w:pPr>
        <w:sectPr>
          <w:pgSz w:w="11900" w:h="16838" w:orient="portrait"/>
          <w:cols w:equalWidth="0" w:num="1">
            <w:col w:w="10020"/>
          </w:cols>
          <w:pgMar w:left="580" w:top="97" w:right="1299" w:bottom="1440" w:gutter="0" w:footer="0" w:header="0"/>
        </w:sectPr>
      </w:pPr>
    </w:p>
    <w:p>
      <w:pPr>
        <w:spacing w:after="0" w:line="228"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​90</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Shareholder Proposals for the 2026 Annual Meeting</w:t>
      </w:r>
    </w:p>
    <w:p>
      <w:pPr>
        <w:spacing w:after="0" w:line="112" w:lineRule="exact"/>
        <w:rPr>
          <w:sz w:val="20"/>
          <w:szCs w:val="20"/>
          <w:color w:val="auto"/>
        </w:rPr>
      </w:pPr>
    </w:p>
    <w:p>
      <w:pPr>
        <w:ind w:left="740" w:right="20"/>
        <w:spacing w:after="0" w:line="259" w:lineRule="auto"/>
        <w:rPr>
          <w:sz w:val="20"/>
          <w:szCs w:val="20"/>
          <w:color w:val="auto"/>
        </w:rPr>
      </w:pPr>
      <w:r>
        <w:rPr>
          <w:rFonts w:ascii="Arial" w:cs="Arial" w:eastAsia="Arial" w:hAnsi="Arial"/>
          <w:sz w:val="15"/>
          <w:szCs w:val="15"/>
          <w:color w:val="auto"/>
        </w:rPr>
        <w:t>Pursuant to the various rules promulgated by the SEC, shareholders interested in submitting a proposal for inclusion in the Company’s proxy materials and for presentation at the 2026 annual meeting of shareholders may do so by following the procedures set forth in Rule 14a-8 under the Exchange Act. In general, to be eligible for inclusion in our proxy materials, shareholder proposals must be received by our Corporate Secretary by November 5, 2025. Our Bylaws also require advance notice of other proposals by shareholders to be presented for action at an annual meeting. In the case of the 2026 annual meeting of shareholders, the required notice must be received by our Corporate Secretary at our principal executive offices no earlier than the close of business on October 18, 2025, and not later than the close of business on January 16, 2026. However, if the 2026 annual meeting is held before March 17, 2026 or after June 15, 2026, such written notice must be received by our Corporate Secretary at our principal executive offices no earlier than the close of business on the 180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prior to such annual meeting and not later than the last to occur of the close of business on (i) the 90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prior to such annual meeting or (ii) the tenth day following the day on which the Company first makes public announcement of the date of such meeting. Any such notice must also comply with the timing, disclosure, procedural, and other requirements as set forth in our Bylaws. A copy of our Bylaws describing the requirements for notice of shareholder proposals may be obtained on our website at </w:t>
      </w:r>
      <w:r>
        <w:rPr>
          <w:rFonts w:ascii="Arial" w:cs="Arial" w:eastAsia="Arial" w:hAnsi="Arial"/>
          <w:sz w:val="15"/>
          <w:szCs w:val="15"/>
          <w:i w:val="1"/>
          <w:iCs w:val="1"/>
          <w:color w:val="auto"/>
        </w:rPr>
        <w:t>https://investors.centerpointenergy.com/governance</w:t>
      </w:r>
      <w:r>
        <w:rPr>
          <w:rFonts w:ascii="Arial" w:cs="Arial" w:eastAsia="Arial" w:hAnsi="Arial"/>
          <w:sz w:val="15"/>
          <w:szCs w:val="15"/>
          <w:color w:val="auto"/>
        </w:rPr>
        <w:t>.</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Director Nominations for the 2026 Annual Meeting</w:t>
      </w:r>
    </w:p>
    <w:p>
      <w:pPr>
        <w:spacing w:after="0" w:line="126" w:lineRule="exact"/>
        <w:rPr>
          <w:sz w:val="20"/>
          <w:szCs w:val="20"/>
          <w:color w:val="auto"/>
        </w:rPr>
      </w:pPr>
    </w:p>
    <w:p>
      <w:pPr>
        <w:ind w:left="740" w:right="100"/>
        <w:spacing w:after="0" w:line="254" w:lineRule="auto"/>
        <w:rPr>
          <w:sz w:val="20"/>
          <w:szCs w:val="20"/>
          <w:color w:val="auto"/>
        </w:rPr>
      </w:pPr>
      <w:r>
        <w:rPr>
          <w:rFonts w:ascii="Arial" w:cs="Arial" w:eastAsia="Arial" w:hAnsi="Arial"/>
          <w:sz w:val="16"/>
          <w:szCs w:val="16"/>
          <w:color w:val="auto"/>
        </w:rPr>
        <w:t>For director nominations by eligible shareholders to be included in our proxy materials pursuant to the “proxy access” provisions of our Bylaws for the 2026 annual meeting of shareholders, see “Item 1—Election of Directors—Director Nomination Process (Proxy Access Requirements for Director Nominations)” for further information. Additionally, for any shareholders seeking to make director nominations for the 2026 annual meeting of shareholders (other than nominations pursuant to the “proxy access” provisions of our Bylaws), see “Item 1—Election of Directors—Director Nomination Process (Bylaw Requirements for Director Nominations)” for further information.</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Householding of Annual Meeting Materials</w:t>
      </w:r>
    </w:p>
    <w:p>
      <w:pPr>
        <w:spacing w:after="0" w:line="112" w:lineRule="exact"/>
        <w:rPr>
          <w:sz w:val="20"/>
          <w:szCs w:val="20"/>
          <w:color w:val="auto"/>
        </w:rPr>
      </w:pPr>
    </w:p>
    <w:p>
      <w:pPr>
        <w:ind w:left="740" w:right="80"/>
        <w:spacing w:after="0" w:line="250" w:lineRule="auto"/>
        <w:rPr>
          <w:sz w:val="20"/>
          <w:szCs w:val="20"/>
          <w:color w:val="auto"/>
        </w:rPr>
      </w:pPr>
      <w:r>
        <w:rPr>
          <w:rFonts w:ascii="Arial" w:cs="Arial" w:eastAsia="Arial" w:hAnsi="Arial"/>
          <w:sz w:val="16"/>
          <w:szCs w:val="16"/>
          <w:color w:val="auto"/>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 shareholders who are currently receiving householded materials may revoke their consent, and street-name 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Annual Report to Shareholders</w:t>
      </w:r>
    </w:p>
    <w:p>
      <w:pPr>
        <w:spacing w:after="0" w:line="126" w:lineRule="exact"/>
        <w:rPr>
          <w:sz w:val="20"/>
          <w:szCs w:val="20"/>
          <w:color w:val="auto"/>
        </w:rPr>
      </w:pPr>
    </w:p>
    <w:p>
      <w:pPr>
        <w:ind w:left="740" w:right="80"/>
        <w:spacing w:after="0" w:line="266" w:lineRule="auto"/>
        <w:rPr>
          <w:sz w:val="20"/>
          <w:szCs w:val="20"/>
          <w:color w:val="auto"/>
        </w:rPr>
      </w:pPr>
      <w:r>
        <w:rPr>
          <w:rFonts w:ascii="Arial" w:cs="Arial" w:eastAsia="Arial" w:hAnsi="Arial"/>
          <w:sz w:val="16"/>
          <w:szCs w:val="16"/>
          <w:color w:val="auto"/>
        </w:rPr>
        <w:t>The Annual Report to Shareholders, which includes a copy of our annual report on Form 10-K containing our consolidated financial statements for the fiscal year ended December 31, 2024, accompanies the proxy material being mailed to all shareholders. The Annual Report is not part of the proxy solicitation material.</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6EC4E8"/>
        </w:rPr>
        <w:t>Cautionary Note Regarding Forward-Looking Information and Net Zero Disclaimer</w:t>
      </w:r>
    </w:p>
    <w:p>
      <w:pPr>
        <w:spacing w:after="0" w:line="126" w:lineRule="exact"/>
        <w:rPr>
          <w:sz w:val="20"/>
          <w:szCs w:val="20"/>
          <w:color w:val="auto"/>
        </w:rPr>
      </w:pPr>
    </w:p>
    <w:p>
      <w:pPr>
        <w:ind w:left="740" w:right="80"/>
        <w:spacing w:after="0" w:line="249" w:lineRule="auto"/>
        <w:rPr>
          <w:sz w:val="20"/>
          <w:szCs w:val="20"/>
          <w:color w:val="auto"/>
        </w:rPr>
      </w:pPr>
      <w:r>
        <w:rPr>
          <w:rFonts w:ascii="Arial" w:cs="Arial" w:eastAsia="Arial" w:hAnsi="Arial"/>
          <w:sz w:val="16"/>
          <w:szCs w:val="16"/>
          <w:color w:val="auto"/>
        </w:rPr>
        <w:t>This Proxy Statement, including the CD&amp;A, contains “forward-looking statements” as defined by the Private Securities Litigation Reform Act of 1995, including statements regarding our net zero and greenhouse gas emissions reduction goals and our generation transition plan. You can generally identify forward-looking statements by the words “anticipate,” “believe,” “continue,” “could,” “estimate,” “expect,” “forecast,” “goal,” “intend,” “may,” “objective,” “plan,” “potential,” “predict,” “projection,” “should,” “target,” “will” and other similar words. These forward-looking statements are subject to various factors that could cause the Company’s actual results to differ materially from the results anticipated in these statements. These factors include, but are not limited to, those discussed in the “Risk Factors,” “Cautionary Statements Regarding Forward-Looking Information” and “Management’s Discussion and Analysis of Financial Condition and Results of Operations—Certain Factors Affecting Future Earnings” sections of the Company’s Annual Report on Form 10-K for the year ended December 31, 2024 as updated in subsequent reports we file with the SEC. Furthermore, the information regarding performance objectives and associated achievement levels described in the CD&amp;A of this Proxy Statement were established at earlier dates and may not reflect subsequent developments. This information should not be interpreted as forecasts, projections, or guidance for future periods.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 CenterPoint Energy has no obligation to update or revise forward-looking statements regardless of whether new information, future events, or any other factors affect the information contained in the statements.</w:t>
      </w:r>
    </w:p>
    <w:p>
      <w:pPr>
        <w:sectPr>
          <w:pgSz w:w="11900" w:h="16838" w:orient="portrait"/>
          <w:cols w:equalWidth="0" w:num="1">
            <w:col w:w="10020"/>
          </w:cols>
          <w:pgMar w:left="580" w:top="97" w:right="1299" w:bottom="1440" w:gutter="0" w:footer="0" w:header="0"/>
        </w:sectPr>
      </w:pPr>
    </w:p>
    <w:p>
      <w:pPr>
        <w:spacing w:after="0" w:line="221" w:lineRule="exact"/>
        <w:rPr>
          <w:sz w:val="20"/>
          <w:szCs w:val="20"/>
          <w:color w:val="auto"/>
        </w:rPr>
      </w:pPr>
    </w:p>
    <w:p>
      <w:pPr>
        <w:ind w:left="740"/>
        <w:spacing w:after="0"/>
        <w:tabs>
          <w:tab w:leader="none" w:pos="6760" w:val="left"/>
          <w:tab w:leader="none" w:pos="98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sz w:val="20"/>
          <w:szCs w:val="20"/>
          <w:color w:val="auto"/>
        </w:rPr>
        <w:tab/>
      </w:r>
      <w:r>
        <w:rPr>
          <w:rFonts w:ascii="Arial" w:cs="Arial" w:eastAsia="Arial" w:hAnsi="Arial"/>
          <w:sz w:val="13"/>
          <w:szCs w:val="13"/>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Net Zero Disclaimer</w:t>
      </w:r>
    </w:p>
    <w:p>
      <w:pPr>
        <w:spacing w:after="0" w:line="39" w:lineRule="exact"/>
        <w:rPr>
          <w:sz w:val="20"/>
          <w:szCs w:val="20"/>
          <w:color w:val="auto"/>
        </w:rPr>
      </w:pPr>
    </w:p>
    <w:p>
      <w:pPr>
        <w:ind w:left="740" w:right="20"/>
        <w:spacing w:after="0" w:line="25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Scope 1 greenhouse gas emissions</w:t>
      </w:r>
      <w:r>
        <w:rPr>
          <w:rFonts w:ascii="Arial" w:cs="Arial" w:eastAsia="Arial" w:hAnsi="Arial"/>
          <w:sz w:val="16"/>
          <w:szCs w:val="16"/>
          <w:color w:val="auto"/>
        </w:rPr>
        <w:t xml:space="preserve"> estimates are calculated from greenhouse gas emissions that directly come from our operations. Our </w:t>
      </w:r>
      <w:r>
        <w:rPr>
          <w:rFonts w:ascii="Arial" w:cs="Arial" w:eastAsia="Arial" w:hAnsi="Arial"/>
          <w:sz w:val="16"/>
          <w:szCs w:val="16"/>
          <w:b w:val="1"/>
          <w:bCs w:val="1"/>
          <w:color w:val="auto"/>
        </w:rPr>
        <w:t>Scope 2 greenhouse gas emissions</w:t>
      </w:r>
      <w:r>
        <w:rPr>
          <w:rFonts w:ascii="Arial" w:cs="Arial" w:eastAsia="Arial" w:hAnsi="Arial"/>
          <w:sz w:val="16"/>
          <w:szCs w:val="16"/>
          <w:color w:val="auto"/>
        </w:rPr>
        <w:t xml:space="preserve"> estimates are calculated from greenhouse gas emissions that indirectly come from our energy usage, but because Texas is in an unregulated market, our Scope 2 greenhouse gas emissions estimates do not take into account Texas electric transmission and distribution assets in the line loss calculation and exclude greenhouse gas emissions related to purchased power between 2024E-2026E. Our </w:t>
      </w:r>
      <w:r>
        <w:rPr>
          <w:rFonts w:ascii="Arial" w:cs="Arial" w:eastAsia="Arial" w:hAnsi="Arial"/>
          <w:sz w:val="16"/>
          <w:szCs w:val="16"/>
          <w:b w:val="1"/>
          <w:bCs w:val="1"/>
          <w:color w:val="auto"/>
        </w:rPr>
        <w:t>Scope 3 greenhouse gas emissions</w:t>
      </w:r>
      <w:r>
        <w:rPr>
          <w:rFonts w:ascii="Arial" w:cs="Arial" w:eastAsia="Arial" w:hAnsi="Arial"/>
          <w:sz w:val="16"/>
          <w:szCs w:val="16"/>
          <w:color w:val="auto"/>
        </w:rPr>
        <w:t xml:space="preserve"> estimates are based on the total natural gas supply delivered to residential and commercial customers as reported in the U.S. Energy Information Administration (EIA) Form EIA-176 reports and do not take into account the greenhouse gas emissions of transport customers and greenhouse gas emissions related to upstream extraction. While we believe that we have a clear path towards achieving our net zero greenhouse gas emissions (Scope 1 and certain Scope 2) by 2035 goals and our 20-30% reduction in certain Scope 3 greenhouse gas emissions by 2035 as compared to 2021 levels goals, our analysis and plan for execution requires us to make a number of assumptions. These goals and underlying assumptions involve risks and uncertainties and are not guarantees. Should one or more of our underlying assumptions require updating, our actual results and ability to achieve our net zero and greenhouse gas emissions reduction goals by 2035 could differ materially from our expectations. Certain of the assumptions that could impact our ability to meet our net zero and greenhouse gas emissions reduction goals and the timing thereof include, but are not limited to: greenhouse gas emission levels, service territory size and capacity needs remaining in line with Company expectations (including with respect to demand for our services and in relation to the announced sale of our Louisiana and Mississippi natural gas LDC businesses); the ability to appropriately estimate and effectively manage business opportunities from new customers and load growth resulting from, among other things, expansion of data centers, energy export facilities, including hydrogen facilities, electrification of industrial processes and transport and logistics in our service territory; regulatory approvals related to Indiana Electric’s generation transition plan and our ability to obtain such approvals; impacts on affordability of customer rates; customer demand for greenhouse gas emissions free or lower greenhouse gas emissions energy; impacts of future regulations or legislation, including those related to the environment and tax (including changes to the renewable energy tax credits enacted in the Inflation Reduction Act of 2022); impacts of future carbon pricing regulation or legislation, including a future carbon tax; price, availability and regulation of carbon offsets; price of fuel, such as natural gas; cost of energy generation technologies, such as wind and solar, natural gas and storage solutions; adoption of alternative energy by the public, including adoption of electric vehicles; rate of technology innovation with regards to alternative energy resources; our ability to implement our modernization plans for our pipelines and facilities; the ability to complete and timely implement generation alternatives, such as solar and wind generation, to Indiana Electric’s coal generation and retirement or fuel conversion dates of Indiana Electric’s coal facilities by 2035; the ability to construct and/or permit new natural gas pipelines; the ability to procure resources needed to build at a reasonable cost, the lack of or scarcity of resources and labor, the lack of project cancellations, construction delays or overruns (including as a result of tariffs, legislation, bans, retaliatory trade measures taken against the United States or related governmental action) and the ability to appropriately estimate costs of new generation; impact of any supply chain disruptions; changes in applicable standards, metrics, methodologies or frameworks; and enhancement of energy efficiencies.</w:t>
      </w:r>
    </w:p>
    <w:p>
      <w:pPr>
        <w:spacing w:after="0" w:line="140" w:lineRule="exact"/>
        <w:rPr>
          <w:sz w:val="20"/>
          <w:szCs w:val="20"/>
          <w:color w:val="auto"/>
        </w:rPr>
      </w:pPr>
    </w:p>
    <w:tbl>
      <w:tblPr>
        <w:tblLayout w:type="fixed"/>
        <w:tblInd w:w="740" w:type="dxa"/>
        <w:tblCellMar>
          <w:top w:w="0" w:type="dxa"/>
          <w:left w:w="0" w:type="dxa"/>
          <w:bottom w:w="0" w:type="dxa"/>
          <w:right w:w="0" w:type="dxa"/>
        </w:tblCellMar>
      </w:tblPr>
      <w:tr>
        <w:trPr>
          <w:trHeight w:val="200"/>
        </w:trPr>
        <w:tc>
          <w:tcPr>
            <w:tcW w:w="60" w:type="dxa"/>
            <w:vAlign w:val="bottom"/>
          </w:tcPr>
          <w:p>
            <w:pPr>
              <w:spacing w:after="0"/>
              <w:rPr>
                <w:sz w:val="20"/>
                <w:szCs w:val="20"/>
                <w:color w:val="auto"/>
              </w:rPr>
            </w:pPr>
            <w:r>
              <w:rPr>
                <w:rFonts w:ascii="Arial" w:cs="Arial" w:eastAsia="Arial" w:hAnsi="Arial"/>
                <w:sz w:val="15"/>
                <w:szCs w:val="15"/>
                <w:color w:val="auto"/>
              </w:rPr>
              <w:t>​</w:t>
            </w:r>
          </w:p>
        </w:tc>
        <w:tc>
          <w:tcPr>
            <w:tcW w:w="2260" w:type="dxa"/>
            <w:vAlign w:val="bottom"/>
          </w:tcPr>
          <w:p>
            <w:pPr>
              <w:ind w:left="40"/>
              <w:spacing w:after="0"/>
              <w:rPr>
                <w:sz w:val="20"/>
                <w:szCs w:val="20"/>
                <w:color w:val="auto"/>
              </w:rPr>
            </w:pPr>
            <w:r>
              <w:rPr>
                <w:rFonts w:ascii="Arial" w:cs="Arial" w:eastAsia="Arial" w:hAnsi="Arial"/>
                <w:sz w:val="15"/>
                <w:szCs w:val="15"/>
                <w:color w:val="auto"/>
              </w:rPr>
              <w:t>​</w:t>
            </w:r>
          </w:p>
        </w:tc>
        <w:tc>
          <w:tcPr>
            <w:tcW w:w="2260" w:type="dxa"/>
            <w:vAlign w:val="bottom"/>
          </w:tcPr>
          <w:p>
            <w:pPr>
              <w:ind w:left="2200"/>
              <w:spacing w:after="0"/>
              <w:rPr>
                <w:sz w:val="20"/>
                <w:szCs w:val="20"/>
                <w:color w:val="auto"/>
              </w:rPr>
            </w:pPr>
            <w:r>
              <w:rPr>
                <w:rFonts w:ascii="Arial" w:cs="Arial" w:eastAsia="Arial" w:hAnsi="Arial"/>
                <w:sz w:val="15"/>
                <w:szCs w:val="15"/>
                <w:color w:val="auto"/>
              </w:rPr>
              <w:t>​</w:t>
            </w:r>
          </w:p>
        </w:tc>
        <w:tc>
          <w:tcPr>
            <w:tcW w:w="660" w:type="dxa"/>
            <w:vAlign w:val="bottom"/>
          </w:tcPr>
          <w:p>
            <w:pPr>
              <w:ind w:left="40"/>
              <w:spacing w:after="0"/>
              <w:rPr>
                <w:sz w:val="20"/>
                <w:szCs w:val="20"/>
                <w:color w:val="auto"/>
              </w:rPr>
            </w:pPr>
            <w:r>
              <w:rPr>
                <w:rFonts w:ascii="Arial" w:cs="Arial" w:eastAsia="Arial" w:hAnsi="Arial"/>
                <w:sz w:val="15"/>
                <w:szCs w:val="15"/>
                <w:color w:val="auto"/>
              </w:rPr>
              <w:t>​</w:t>
            </w:r>
          </w:p>
        </w:tc>
        <w:tc>
          <w:tcPr>
            <w:tcW w:w="3380" w:type="dxa"/>
            <w:vAlign w:val="bottom"/>
            <w:vMerge w:val="restart"/>
          </w:tcPr>
          <w:p>
            <w:pPr>
              <w:ind w:left="560"/>
              <w:spacing w:after="0"/>
              <w:rPr>
                <w:sz w:val="20"/>
                <w:szCs w:val="20"/>
                <w:color w:val="auto"/>
              </w:rPr>
            </w:pPr>
            <w:r>
              <w:rPr>
                <w:rFonts w:ascii="Arial" w:cs="Arial" w:eastAsia="Arial" w:hAnsi="Arial"/>
                <w:sz w:val="15"/>
                <w:szCs w:val="15"/>
                <w:color w:val="auto"/>
              </w:rPr>
              <w:t>By Order of the Board of Directors,</w:t>
            </w:r>
          </w:p>
        </w:tc>
        <w:tc>
          <w:tcPr>
            <w:tcW w:w="560" w:type="dxa"/>
            <w:vAlign w:val="bottom"/>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60" w:type="dxa"/>
            <w:vAlign w:val="bottom"/>
          </w:tcPr>
          <w:p>
            <w:pPr>
              <w:spacing w:after="0"/>
              <w:rPr>
                <w:sz w:val="20"/>
                <w:szCs w:val="20"/>
                <w:color w:val="auto"/>
              </w:rPr>
            </w:pPr>
            <w:r>
              <w:rPr>
                <w:rFonts w:ascii="Arial" w:cs="Arial" w:eastAsia="Arial" w:hAnsi="Arial"/>
                <w:sz w:val="15"/>
                <w:szCs w:val="15"/>
                <w:color w:val="auto"/>
              </w:rPr>
              <w:t>​</w:t>
            </w:r>
          </w:p>
        </w:tc>
        <w:tc>
          <w:tcPr>
            <w:tcW w:w="2260" w:type="dxa"/>
            <w:vAlign w:val="bottom"/>
          </w:tcPr>
          <w:p>
            <w:pPr>
              <w:ind w:left="40"/>
              <w:spacing w:after="0"/>
              <w:rPr>
                <w:sz w:val="20"/>
                <w:szCs w:val="20"/>
                <w:color w:val="auto"/>
              </w:rPr>
            </w:pPr>
            <w:r>
              <w:rPr>
                <w:rFonts w:ascii="Arial" w:cs="Arial" w:eastAsia="Arial" w:hAnsi="Arial"/>
                <w:sz w:val="15"/>
                <w:szCs w:val="15"/>
                <w:color w:val="auto"/>
              </w:rPr>
              <w:t> </w:t>
            </w:r>
          </w:p>
        </w:tc>
        <w:tc>
          <w:tcPr>
            <w:tcW w:w="2260" w:type="dxa"/>
            <w:vAlign w:val="bottom"/>
          </w:tcPr>
          <w:p>
            <w:pPr>
              <w:ind w:left="2200"/>
              <w:spacing w:after="0"/>
              <w:rPr>
                <w:sz w:val="20"/>
                <w:szCs w:val="20"/>
                <w:color w:val="auto"/>
              </w:rPr>
            </w:pPr>
            <w:r>
              <w:rPr>
                <w:rFonts w:ascii="Arial" w:cs="Arial" w:eastAsia="Arial" w:hAnsi="Arial"/>
                <w:sz w:val="15"/>
                <w:szCs w:val="15"/>
                <w:color w:val="auto"/>
              </w:rPr>
              <w:t>​</w:t>
            </w:r>
          </w:p>
        </w:tc>
        <w:tc>
          <w:tcPr>
            <w:tcW w:w="660" w:type="dxa"/>
            <w:vAlign w:val="bottom"/>
          </w:tcPr>
          <w:p>
            <w:pPr>
              <w:ind w:left="40"/>
              <w:spacing w:after="0"/>
              <w:rPr>
                <w:sz w:val="20"/>
                <w:szCs w:val="20"/>
                <w:color w:val="auto"/>
              </w:rPr>
            </w:pPr>
            <w:r>
              <w:rPr>
                <w:rFonts w:ascii="Arial" w:cs="Arial" w:eastAsia="Arial" w:hAnsi="Arial"/>
                <w:sz w:val="15"/>
                <w:szCs w:val="15"/>
                <w:color w:val="auto"/>
              </w:rPr>
              <w:t>​</w:t>
            </w:r>
          </w:p>
        </w:tc>
        <w:tc>
          <w:tcPr>
            <w:tcW w:w="3380" w:type="dxa"/>
            <w:vAlign w:val="bottom"/>
          </w:tcPr>
          <w:p>
            <w:pPr>
              <w:spacing w:after="0"/>
              <w:rPr>
                <w:sz w:val="24"/>
                <w:szCs w:val="24"/>
                <w:color w:val="auto"/>
              </w:rPr>
            </w:pPr>
          </w:p>
        </w:tc>
        <w:tc>
          <w:tcPr>
            <w:tcW w:w="560" w:type="dxa"/>
            <w:vAlign w:val="bottom"/>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12065</wp:posOffset>
            </wp:positionV>
            <wp:extent cx="1088390" cy="3600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88390" cy="36004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-115570</wp:posOffset>
            </wp:positionV>
            <wp:extent cx="1371600" cy="6254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80"/>
        <w:spacing w:after="0"/>
        <w:tabs>
          <w:tab w:leader="none" w:pos="2500" w:val="left"/>
          <w:tab w:leader="none" w:pos="5280" w:val="left"/>
          <w:tab w:leader="none" w:pos="7140" w:val="left"/>
          <w:tab w:leader="none" w:pos="9920" w:val="left"/>
        </w:tabs>
        <w:rPr>
          <w:sz w:val="20"/>
          <w:szCs w:val="20"/>
          <w:color w:val="auto"/>
        </w:rPr>
      </w:pPr>
      <w:r>
        <w:rPr>
          <w:rFonts w:ascii="Arial" w:cs="Arial" w:eastAsia="Arial" w:hAnsi="Arial"/>
          <w:sz w:val="31"/>
          <w:szCs w:val="31"/>
          <w:color w:val="auto"/>
          <w:vertAlign w:val="superscript"/>
        </w:rPr>
        <w:t>​</w:t>
      </w:r>
      <w:r>
        <w:rPr>
          <w:sz w:val="20"/>
          <w:szCs w:val="20"/>
          <w:color w:val="auto"/>
        </w:rPr>
        <w:tab/>
      </w:r>
      <w:r>
        <w:rPr>
          <w:rFonts w:ascii="Arial" w:cs="Arial" w:eastAsia="Arial" w:hAnsi="Arial"/>
          <w:sz w:val="15"/>
          <w:szCs w:val="15"/>
          <w:color w:val="auto"/>
        </w:rPr>
        <w:t>Phillip R. Smith</w:t>
      </w:r>
      <w:r>
        <w:rPr>
          <w:sz w:val="20"/>
          <w:szCs w:val="20"/>
          <w:color w:val="auto"/>
        </w:rPr>
        <w:tab/>
      </w:r>
      <w:r>
        <w:rPr>
          <w:rFonts w:ascii="Arial" w:cs="Arial" w:eastAsia="Arial" w:hAnsi="Arial"/>
          <w:sz w:val="31"/>
          <w:szCs w:val="31"/>
          <w:color w:val="auto"/>
          <w:vertAlign w:val="superscript"/>
        </w:rPr>
        <w:t>​ ​</w:t>
      </w:r>
      <w:r>
        <w:rPr>
          <w:sz w:val="20"/>
          <w:szCs w:val="20"/>
          <w:color w:val="auto"/>
        </w:rPr>
        <w:tab/>
      </w:r>
      <w:r>
        <w:rPr>
          <w:rFonts w:ascii="Arial" w:cs="Arial" w:eastAsia="Arial" w:hAnsi="Arial"/>
          <w:sz w:val="15"/>
          <w:szCs w:val="15"/>
          <w:color w:val="auto"/>
        </w:rPr>
        <w:t>Jason P. Wells</w:t>
      </w:r>
      <w:r>
        <w:rPr>
          <w:sz w:val="20"/>
          <w:szCs w:val="20"/>
          <w:color w:val="auto"/>
        </w:rPr>
        <w:tab/>
      </w:r>
      <w:r>
        <w:rPr>
          <w:rFonts w:ascii="Arial" w:cs="Arial" w:eastAsia="Arial" w:hAnsi="Arial"/>
          <w:sz w:val="31"/>
          <w:szCs w:val="31"/>
          <w:color w:val="auto"/>
          <w:vertAlign w:val="superscript"/>
        </w:rPr>
        <w:t>​</w:t>
      </w:r>
    </w:p>
    <w:p>
      <w:pPr>
        <w:ind w:left="2000"/>
        <w:spacing w:after="0"/>
        <w:tabs>
          <w:tab w:leader="none" w:pos="6400" w:val="left"/>
        </w:tabs>
        <w:rPr>
          <w:sz w:val="20"/>
          <w:szCs w:val="20"/>
          <w:color w:val="auto"/>
        </w:rPr>
      </w:pPr>
      <w:r>
        <w:rPr>
          <w:rFonts w:ascii="Arial" w:cs="Arial" w:eastAsia="Arial" w:hAnsi="Arial"/>
          <w:sz w:val="15"/>
          <w:szCs w:val="15"/>
          <w:color w:val="auto"/>
        </w:rPr>
        <w:t>Independent Chair of the Board</w:t>
      </w:r>
      <w:r>
        <w:rPr>
          <w:sz w:val="20"/>
          <w:szCs w:val="20"/>
          <w:color w:val="auto"/>
        </w:rPr>
        <w:tab/>
      </w:r>
      <w:r>
        <w:rPr>
          <w:rFonts w:ascii="Arial" w:cs="Arial" w:eastAsia="Arial" w:hAnsi="Arial"/>
          <w:sz w:val="15"/>
          <w:szCs w:val="15"/>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March 5, 2025</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​92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Appendix A</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22"/>
          <w:szCs w:val="22"/>
          <w:color w:val="6EC4E8"/>
        </w:rPr>
        <w:t>Reconciliation of non-GAAP Financial Measures to GAAP</w:t>
      </w:r>
      <w:r>
        <w:rPr>
          <w:rFonts w:ascii="Times New Roman" w:cs="Times New Roman" w:eastAsia="Times New Roman" w:hAnsi="Times New Roman"/>
          <w:sz w:val="34"/>
          <w:szCs w:val="34"/>
          <w:color w:val="000000"/>
        </w:rPr>
        <w:t>​</w:t>
      </w:r>
    </w:p>
    <w:p>
      <w:pPr>
        <w:spacing w:after="0" w:line="200" w:lineRule="exact"/>
        <w:rPr>
          <w:sz w:val="20"/>
          <w:szCs w:val="20"/>
          <w:color w:val="auto"/>
        </w:rPr>
      </w:pPr>
    </w:p>
    <w:p>
      <w:pPr>
        <w:spacing w:after="0" w:line="263" w:lineRule="exact"/>
        <w:rPr>
          <w:sz w:val="20"/>
          <w:szCs w:val="20"/>
          <w:color w:val="auto"/>
        </w:rPr>
      </w:pPr>
    </w:p>
    <w:p>
      <w:pPr>
        <w:ind w:left="740" w:right="100"/>
        <w:spacing w:after="0" w:line="262" w:lineRule="auto"/>
        <w:rPr>
          <w:sz w:val="20"/>
          <w:szCs w:val="20"/>
          <w:color w:val="auto"/>
        </w:rPr>
      </w:pPr>
      <w:r>
        <w:rPr>
          <w:rFonts w:ascii="Arial" w:cs="Arial" w:eastAsia="Arial" w:hAnsi="Arial"/>
          <w:sz w:val="16"/>
          <w:szCs w:val="16"/>
          <w:color w:val="auto"/>
        </w:rPr>
        <w:t>This Proxy Statement contains Adjusted EPS, which is not determined to be in accordance with generally accepted accounting principles in the United States of America (GAAP). Management uses this non-GAAP financial measure for, among other things, determining performance-based compensation and financial planning. Management believes that presenting this non-GAAP financial measure enhances an investor’s understanding of the Company’s overall financial performance by providing them with an additional meaningful and relevant comparison of current and anticipated future results across periods. The adjustments made in this non-GAAP financial measure exclude items that management believes do not most accurately reflect the Company’s fundamental business performance. These excluded items are reflected in the reconciliation tables below. Non-GAAP financial measures should not be considered as an alternative to the Company’s reported results prepared in accordance with GAAP. This non-GAAP financial measure also may be different than non-GAAP financial measures used by other companies.</w:t>
      </w:r>
    </w:p>
    <w:p>
      <w:pPr>
        <w:spacing w:after="0" w:line="10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6EC4E8"/>
        </w:rPr>
        <w:t>Reconciliation of Adjusted EPS to nearest GAAP Metric</w:t>
      </w:r>
    </w:p>
    <w:p>
      <w:pPr>
        <w:spacing w:after="0" w:line="52" w:lineRule="exact"/>
        <w:rPr>
          <w:sz w:val="20"/>
          <w:szCs w:val="20"/>
          <w:color w:val="auto"/>
        </w:rPr>
      </w:pPr>
    </w:p>
    <w:p>
      <w:pPr>
        <w:ind w:left="740" w:right="40"/>
        <w:spacing w:after="0" w:line="264" w:lineRule="auto"/>
        <w:rPr>
          <w:sz w:val="20"/>
          <w:szCs w:val="20"/>
          <w:color w:val="auto"/>
        </w:rPr>
      </w:pPr>
      <w:r>
        <w:rPr>
          <w:rFonts w:ascii="Arial" w:cs="Arial" w:eastAsia="Arial" w:hAnsi="Arial"/>
          <w:sz w:val="16"/>
          <w:szCs w:val="16"/>
          <w:color w:val="auto"/>
        </w:rPr>
        <w:t>Adjusted EPS includes net income from the Company’s Electric and Natural Gas segments, as well as after-tax Corporate and Other operating income and an allocation of corporate overhead based upon Electric’s and Natural Gas’s relative earnings contribution. Corporate overhead consists primarily of interest expense, preferred stock dividend requirements, and other items directly attributable to the parent along with the associated income taxes. It is also adjusted for certain factors to reflect what we consider to be our fundamental business performance. Please see below for the adjustments to Adjusted EPS in 2024, 2023, 2022, 2021 and 2020. Beginning in 2022, CenterPoint Energy no longer separates utility and midstream operations and reports on a consolidated Adjusted EPS basis.</w:t>
      </w:r>
    </w:p>
    <w:p>
      <w:pPr>
        <w:spacing w:after="0" w:line="109" w:lineRule="exact"/>
        <w:rPr>
          <w:sz w:val="20"/>
          <w:szCs w:val="20"/>
          <w:color w:val="auto"/>
        </w:rPr>
      </w:pPr>
    </w:p>
    <w:p>
      <w:pPr>
        <w:ind w:left="740" w:right="200"/>
        <w:spacing w:after="0" w:line="304" w:lineRule="auto"/>
        <w:rPr>
          <w:sz w:val="20"/>
          <w:szCs w:val="20"/>
          <w:color w:val="auto"/>
        </w:rPr>
      </w:pPr>
      <w:r>
        <w:rPr>
          <w:rFonts w:ascii="Arial" w:cs="Arial" w:eastAsia="Arial" w:hAnsi="Arial"/>
          <w:sz w:val="16"/>
          <w:szCs w:val="16"/>
          <w:color w:val="auto"/>
        </w:rPr>
        <w:t>Reconciliations of Consolidated income (loss) available to common shareholders and diluted earnings (loss) per share (GAAP) to non-GAAP income and non-GAAP diluted earnings per share:</w:t>
      </w:r>
    </w:p>
    <w:p>
      <w:pPr>
        <w:spacing w:after="0" w:line="12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24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1280" w:type="dxa"/>
            <w:vAlign w:val="bottom"/>
            <w:gridSpan w:val="4"/>
            <w:shd w:val="clear" w:color="auto" w:fill="003763"/>
          </w:tcPr>
          <w:p>
            <w:pPr>
              <w:ind w:left="60"/>
              <w:spacing w:after="0"/>
              <w:rPr>
                <w:sz w:val="20"/>
                <w:szCs w:val="20"/>
                <w:color w:val="auto"/>
              </w:rPr>
            </w:pPr>
            <w:r>
              <w:rPr>
                <w:rFonts w:ascii="Arial" w:cs="Arial" w:eastAsia="Arial" w:hAnsi="Arial"/>
                <w:sz w:val="13"/>
                <w:szCs w:val="13"/>
                <w:b w:val="1"/>
                <w:bCs w:val="1"/>
                <w:color w:val="FFFFFF"/>
                <w:w w:val="99"/>
              </w:rPr>
              <w:t>Year-to-Date Ended</w:t>
            </w:r>
          </w:p>
        </w:tc>
        <w:tc>
          <w:tcPr>
            <w:tcW w:w="100" w:type="dxa"/>
            <w:vAlign w:val="bottom"/>
            <w:shd w:val="clear" w:color="auto" w:fill="003763"/>
          </w:tcPr>
          <w:p>
            <w:pPr>
              <w:spacing w:after="0"/>
              <w:rPr>
                <w:sz w:val="14"/>
                <w:szCs w:val="14"/>
                <w:color w:val="auto"/>
              </w:rPr>
            </w:pPr>
          </w:p>
        </w:tc>
      </w:tr>
      <w:tr>
        <w:trPr>
          <w:trHeight w:val="234"/>
        </w:trPr>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7240" w:type="dxa"/>
            <w:vAlign w:val="bottom"/>
            <w:shd w:val="clear" w:color="auto" w:fill="003763"/>
          </w:tcPr>
          <w:p>
            <w:pPr>
              <w:spacing w:after="0"/>
              <w:rPr>
                <w:sz w:val="20"/>
                <w:szCs w:val="20"/>
                <w:color w:val="auto"/>
              </w:rPr>
            </w:pPr>
          </w:p>
        </w:tc>
        <w:tc>
          <w:tcPr>
            <w:tcW w:w="380" w:type="dxa"/>
            <w:vAlign w:val="bottom"/>
            <w:shd w:val="clear" w:color="auto" w:fill="003763"/>
          </w:tcPr>
          <w:p>
            <w:pPr>
              <w:ind w:left="28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280" w:type="dxa"/>
            <w:vAlign w:val="bottom"/>
            <w:gridSpan w:val="4"/>
            <w:shd w:val="clear" w:color="auto" w:fill="003763"/>
          </w:tcPr>
          <w:p>
            <w:pPr>
              <w:ind w:left="100"/>
              <w:spacing w:after="0"/>
              <w:rPr>
                <w:sz w:val="20"/>
                <w:szCs w:val="20"/>
                <w:color w:val="auto"/>
              </w:rPr>
            </w:pPr>
            <w:r>
              <w:rPr>
                <w:rFonts w:ascii="Arial" w:cs="Arial" w:eastAsia="Arial" w:hAnsi="Arial"/>
                <w:sz w:val="13"/>
                <w:szCs w:val="13"/>
                <w:b w:val="1"/>
                <w:bCs w:val="1"/>
                <w:color w:val="FFFFFF"/>
                <w:w w:val="99"/>
              </w:rPr>
              <w:t>December 31, 2024</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198"/>
        </w:trPr>
        <w:tc>
          <w:tcPr>
            <w:tcW w:w="8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7240" w:type="dxa"/>
            <w:vAlign w:val="bottom"/>
            <w:shd w:val="clear" w:color="auto" w:fill="003763"/>
          </w:tcPr>
          <w:p>
            <w:pPr>
              <w:spacing w:after="0"/>
              <w:rPr>
                <w:sz w:val="17"/>
                <w:szCs w:val="17"/>
                <w:color w:val="auto"/>
              </w:rPr>
            </w:pPr>
          </w:p>
        </w:tc>
        <w:tc>
          <w:tcPr>
            <w:tcW w:w="38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600" w:type="dxa"/>
            <w:vAlign w:val="bottom"/>
            <w:gridSpan w:val="2"/>
            <w:shd w:val="clear" w:color="auto" w:fill="003763"/>
          </w:tcPr>
          <w:p>
            <w:pPr>
              <w:spacing w:after="0"/>
              <w:rPr>
                <w:sz w:val="20"/>
                <w:szCs w:val="20"/>
                <w:color w:val="auto"/>
              </w:rPr>
            </w:pPr>
            <w:r>
              <w:rPr>
                <w:rFonts w:ascii="Arial" w:cs="Arial" w:eastAsia="Arial" w:hAnsi="Arial"/>
                <w:sz w:val="13"/>
                <w:szCs w:val="13"/>
                <w:b w:val="1"/>
                <w:bCs w:val="1"/>
                <w:color w:val="FFFFFF"/>
                <w:w w:val="97"/>
              </w:rPr>
              <w:t>Dollars in</w:t>
            </w:r>
          </w:p>
        </w:tc>
        <w:tc>
          <w:tcPr>
            <w:tcW w:w="140" w:type="dxa"/>
            <w:vAlign w:val="bottom"/>
            <w:shd w:val="clear" w:color="auto" w:fill="003763"/>
          </w:tcPr>
          <w:p>
            <w:pPr>
              <w:spacing w:after="0"/>
              <w:rPr>
                <w:sz w:val="17"/>
                <w:szCs w:val="17"/>
                <w:color w:val="auto"/>
              </w:rPr>
            </w:pPr>
          </w:p>
        </w:tc>
        <w:tc>
          <w:tcPr>
            <w:tcW w:w="54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w w:val="95"/>
              </w:rPr>
              <w:t>Diluted</w:t>
            </w:r>
          </w:p>
        </w:tc>
        <w:tc>
          <w:tcPr>
            <w:tcW w:w="100" w:type="dxa"/>
            <w:vAlign w:val="bottom"/>
            <w:shd w:val="clear" w:color="auto" w:fill="003763"/>
          </w:tcPr>
          <w:p>
            <w:pPr>
              <w:spacing w:after="0"/>
              <w:rPr>
                <w:sz w:val="17"/>
                <w:szCs w:val="17"/>
                <w:color w:val="auto"/>
              </w:rPr>
            </w:pPr>
          </w:p>
        </w:tc>
      </w:tr>
      <w:tr>
        <w:trPr>
          <w:trHeight w:val="234"/>
        </w:trPr>
        <w:tc>
          <w:tcPr>
            <w:tcW w:w="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7240" w:type="dxa"/>
            <w:vAlign w:val="bottom"/>
            <w:shd w:val="clear" w:color="auto" w:fill="003763"/>
          </w:tcPr>
          <w:p>
            <w:pPr>
              <w:spacing w:after="0"/>
              <w:rPr>
                <w:sz w:val="20"/>
                <w:szCs w:val="20"/>
                <w:color w:val="auto"/>
              </w:rPr>
            </w:pPr>
          </w:p>
        </w:tc>
        <w:tc>
          <w:tcPr>
            <w:tcW w:w="380" w:type="dxa"/>
            <w:vAlign w:val="bottom"/>
            <w:shd w:val="clear" w:color="auto" w:fill="003763"/>
          </w:tcPr>
          <w:p>
            <w:pPr>
              <w:ind w:left="3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00" w:type="dxa"/>
            <w:vAlign w:val="bottom"/>
            <w:gridSpan w:val="2"/>
            <w:shd w:val="clear" w:color="auto" w:fill="003763"/>
          </w:tcPr>
          <w:p>
            <w:pPr>
              <w:ind w:left="80"/>
              <w:spacing w:after="0"/>
              <w:rPr>
                <w:sz w:val="20"/>
                <w:szCs w:val="20"/>
                <w:color w:val="auto"/>
              </w:rPr>
            </w:pPr>
            <w:r>
              <w:rPr>
                <w:rFonts w:ascii="Arial" w:cs="Arial" w:eastAsia="Arial" w:hAnsi="Arial"/>
                <w:sz w:val="13"/>
                <w:szCs w:val="13"/>
                <w:b w:val="1"/>
                <w:bCs w:val="1"/>
                <w:color w:val="FFFFFF"/>
              </w:rPr>
              <w:t>millions</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540" w:type="dxa"/>
            <w:vAlign w:val="bottom"/>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283"/>
        </w:trPr>
        <w:tc>
          <w:tcPr>
            <w:tcW w:w="7400" w:type="dxa"/>
            <w:vAlign w:val="bottom"/>
            <w:tcBorders>
              <w:bottom w:val="single" w:sz="8" w:color="CCCCCC"/>
            </w:tcBorders>
            <w:gridSpan w:val="3"/>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income (loss) available to common shareholders and diluted EPS</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$ 1,019</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$ 1.58 </w:t>
            </w:r>
            <w:r>
              <w:rPr>
                <w:rFonts w:ascii="Arial" w:cs="Arial" w:eastAsia="Arial" w:hAnsi="Arial"/>
                <w:sz w:val="28"/>
                <w:szCs w:val="28"/>
                <w:color w:val="auto"/>
                <w:vertAlign w:val="subscript"/>
              </w:rPr>
              <w:t>​​</w:t>
            </w:r>
          </w:p>
        </w:tc>
      </w:tr>
      <w:tr>
        <w:trPr>
          <w:trHeight w:val="264"/>
        </w:trPr>
        <w:tc>
          <w:tcPr>
            <w:tcW w:w="740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ZENS-related mark-to-market (gains) losses:</w:t>
            </w:r>
          </w:p>
        </w:tc>
        <w:tc>
          <w:tcPr>
            <w:tcW w:w="48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CCCCCC"/>
            </w:tcBorders>
            <w:shd w:val="clear" w:color="auto" w:fill="F2F2F2"/>
          </w:tcPr>
          <w:p>
            <w:pPr>
              <w:ind w:left="8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48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xml:space="preserve"> ​ ​</w:t>
            </w:r>
          </w:p>
        </w:tc>
        <w:tc>
          <w:tcPr>
            <w:tcW w:w="5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1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r>
      <w:tr>
        <w:trPr>
          <w:trHeight w:val="290"/>
        </w:trPr>
        <w:tc>
          <w:tcPr>
            <w:tcW w:w="160" w:type="dxa"/>
            <w:vAlign w:val="bottom"/>
            <w:tcBorders>
              <w:bottom w:val="single" w:sz="8" w:color="CCCCCC"/>
            </w:tcBorders>
            <w:gridSpan w:val="2"/>
          </w:tcPr>
          <w:p>
            <w:pPr>
              <w:ind w:left="40"/>
              <w:spacing w:after="0"/>
              <w:rPr>
                <w:sz w:val="20"/>
                <w:szCs w:val="20"/>
                <w:color w:val="auto"/>
              </w:rPr>
            </w:pPr>
            <w:r>
              <w:rPr>
                <w:rFonts w:ascii="Arial" w:cs="Arial" w:eastAsia="Arial" w:hAnsi="Arial"/>
                <w:sz w:val="14"/>
                <w:szCs w:val="14"/>
                <w:color w:val="auto"/>
              </w:rPr>
              <w:t>​</w:t>
            </w:r>
          </w:p>
        </w:tc>
        <w:tc>
          <w:tcPr>
            <w:tcW w:w="724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Equity securities (net of taxes of $4)</w:t>
            </w:r>
            <w:r>
              <w:rPr>
                <w:rFonts w:ascii="Arial" w:cs="Arial" w:eastAsia="Arial" w:hAnsi="Arial"/>
                <w:sz w:val="17"/>
                <w:szCs w:val="17"/>
                <w:color w:val="auto"/>
                <w:vertAlign w:val="superscript"/>
              </w:rPr>
              <w:t>(2)(3)</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8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 xml:space="preserve">(15) </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​(0.02)</w:t>
            </w:r>
            <w:r>
              <w:rPr>
                <w:rFonts w:ascii="Arial" w:cs="Arial" w:eastAsia="Arial" w:hAnsi="Arial"/>
                <w:sz w:val="28"/>
                <w:szCs w:val="28"/>
                <w:color w:val="auto"/>
                <w:vertAlign w:val="subscript"/>
              </w:rPr>
              <w:t>​​</w:t>
            </w:r>
          </w:p>
        </w:tc>
      </w:tr>
      <w:tr>
        <w:trPr>
          <w:trHeight w:val="290"/>
        </w:trPr>
        <w:tc>
          <w:tcPr>
            <w:tcW w:w="16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4"/>
                <w:szCs w:val="14"/>
                <w:color w:val="auto"/>
              </w:rPr>
              <w:t>​</w:t>
            </w:r>
          </w:p>
        </w:tc>
        <w:tc>
          <w:tcPr>
            <w:tcW w:w="7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Indexed debt securities (net of taxes of $3)</w:t>
            </w:r>
            <w:r>
              <w:rPr>
                <w:rFonts w:ascii="Arial" w:cs="Arial" w:eastAsia="Arial" w:hAnsi="Arial"/>
                <w:sz w:val="17"/>
                <w:szCs w:val="17"/>
                <w:color w:val="auto"/>
                <w:vertAlign w:val="superscript"/>
              </w:rPr>
              <w:t>(2)</w:t>
            </w:r>
          </w:p>
        </w:tc>
        <w:tc>
          <w:tcPr>
            <w:tcW w:w="380" w:type="dxa"/>
            <w:vAlign w:val="bottom"/>
            <w:tcBorders>
              <w:bottom w:val="single" w:sz="8" w:color="CCCCCC"/>
            </w:tcBorders>
            <w:shd w:val="clear" w:color="auto" w:fill="F2F2F2"/>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shd w:val="clear" w:color="auto" w:fill="F2F2F2"/>
          </w:tcPr>
          <w:p>
            <w:pPr>
              <w:ind w:left="8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 0.01 </w:t>
            </w:r>
            <w:r>
              <w:rPr>
                <w:rFonts w:ascii="Arial" w:cs="Arial" w:eastAsia="Arial" w:hAnsi="Arial"/>
                <w:sz w:val="28"/>
                <w:szCs w:val="28"/>
                <w:color w:val="auto"/>
                <w:vertAlign w:val="subscript"/>
              </w:rPr>
              <w:t>​​</w:t>
            </w:r>
          </w:p>
        </w:tc>
      </w:tr>
      <w:tr>
        <w:trPr>
          <w:trHeight w:val="290"/>
        </w:trPr>
        <w:tc>
          <w:tcPr>
            <w:tcW w:w="7400" w:type="dxa"/>
            <w:vAlign w:val="bottom"/>
            <w:tcBorders>
              <w:bottom w:val="single" w:sz="8" w:color="CCCCCC"/>
            </w:tcBorders>
            <w:gridSpan w:val="3"/>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Impacts associated with mergers and divestitures (net of taxes of $3)</w:t>
            </w:r>
            <w:r>
              <w:rPr>
                <w:rFonts w:ascii="Arial" w:cs="Arial" w:eastAsia="Arial" w:hAnsi="Arial"/>
                <w:sz w:val="17"/>
                <w:szCs w:val="17"/>
                <w:b w:val="1"/>
                <w:bCs w:val="1"/>
                <w:color w:val="auto"/>
                <w:vertAlign w:val="superscript"/>
              </w:rPr>
              <w:t>(2)(4)</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tcPr>
          <w:p>
            <w:pPr>
              <w:ind w:left="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 0.04 </w:t>
            </w:r>
            <w:r>
              <w:rPr>
                <w:rFonts w:ascii="Arial" w:cs="Arial" w:eastAsia="Arial" w:hAnsi="Arial"/>
                <w:sz w:val="28"/>
                <w:szCs w:val="28"/>
                <w:color w:val="auto"/>
                <w:vertAlign w:val="subscript"/>
              </w:rPr>
              <w:t>​​</w:t>
            </w:r>
          </w:p>
        </w:tc>
      </w:tr>
      <w:tr>
        <w:trPr>
          <w:trHeight w:val="264"/>
        </w:trPr>
        <w:tc>
          <w:tcPr>
            <w:tcW w:w="740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income (loss) available to common shareholders on a non-GAAP basis and Adjusted EPS</w:t>
            </w:r>
          </w:p>
        </w:tc>
        <w:tc>
          <w:tcPr>
            <w:tcW w:w="380" w:type="dxa"/>
            <w:vAlign w:val="bottom"/>
            <w:tcBorders>
              <w:bottom w:val="single" w:sz="8" w:color="CCCCCC"/>
            </w:tcBorders>
            <w:shd w:val="clear" w:color="auto" w:fill="F2F2F2"/>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$ 1,041</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$ 1.62 </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-1414145</wp:posOffset>
            </wp:positionV>
            <wp:extent cx="8229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8" w:lineRule="exact"/>
        <w:rPr>
          <w:sz w:val="20"/>
          <w:szCs w:val="20"/>
          <w:color w:val="auto"/>
        </w:rPr>
      </w:pPr>
    </w:p>
    <w:p>
      <w:pPr>
        <w:ind w:left="920" w:right="140" w:hanging="189"/>
        <w:spacing w:after="0" w:line="198" w:lineRule="auto"/>
        <w:tabs>
          <w:tab w:leader="none" w:pos="920" w:val="left"/>
        </w:tabs>
        <w:numPr>
          <w:ilvl w:val="0"/>
          <w:numId w:val="145"/>
        </w:numPr>
        <w:rPr>
          <w:rFonts w:ascii="Arial" w:cs="Arial" w:eastAsia="Arial" w:hAnsi="Arial"/>
          <w:sz w:val="20"/>
          <w:szCs w:val="20"/>
          <w:color w:val="auto"/>
          <w:vertAlign w:val="superscript"/>
        </w:rPr>
      </w:pPr>
      <w:r>
        <w:rPr>
          <w:rFonts w:ascii="Arial" w:cs="Arial" w:eastAsia="Arial" w:hAnsi="Arial"/>
          <w:sz w:val="13"/>
          <w:szCs w:val="13"/>
          <w:color w:val="auto"/>
        </w:rPr>
        <w:t>Quarterly diluted EPS on both a GAAP and non-GAAP basis are based on the weighted average number of shares of common stock outstanding during the quarter, and the sum of the quarters may not equal year-to-date diluted EPS.</w:t>
      </w:r>
    </w:p>
    <w:p>
      <w:pPr>
        <w:spacing w:after="0" w:line="64" w:lineRule="exact"/>
        <w:rPr>
          <w:rFonts w:ascii="Arial" w:cs="Arial" w:eastAsia="Arial" w:hAnsi="Arial"/>
          <w:sz w:val="20"/>
          <w:szCs w:val="20"/>
          <w:color w:val="auto"/>
          <w:vertAlign w:val="superscript"/>
        </w:rPr>
      </w:pPr>
    </w:p>
    <w:p>
      <w:pPr>
        <w:ind w:left="920" w:right="40" w:hanging="189"/>
        <w:spacing w:after="0" w:line="198" w:lineRule="auto"/>
        <w:tabs>
          <w:tab w:leader="none" w:pos="920" w:val="left"/>
        </w:tabs>
        <w:numPr>
          <w:ilvl w:val="0"/>
          <w:numId w:val="145"/>
        </w:numPr>
        <w:rPr>
          <w:rFonts w:ascii="Arial" w:cs="Arial" w:eastAsia="Arial" w:hAnsi="Arial"/>
          <w:sz w:val="20"/>
          <w:szCs w:val="20"/>
          <w:color w:val="auto"/>
          <w:vertAlign w:val="superscript"/>
        </w:rPr>
      </w:pPr>
      <w:r>
        <w:rPr>
          <w:rFonts w:ascii="Arial" w:cs="Arial" w:eastAsia="Arial" w:hAnsi="Arial"/>
          <w:sz w:val="13"/>
          <w:szCs w:val="13"/>
          <w:color w:val="auto"/>
        </w:rPr>
        <w:t>Taxes are computed based on the impact removing such item would have on tax expense. Taxes related to the operating results of Energy Systems Group, as well as cash taxes payable and other tax impacts related to the sale of Energy Systems Group, are excluded from non-GAAP EPS.</w:t>
      </w:r>
    </w:p>
    <w:p>
      <w:pPr>
        <w:spacing w:after="0" w:line="1"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145"/>
        </w:numPr>
        <w:rPr>
          <w:rFonts w:ascii="Arial" w:cs="Arial" w:eastAsia="Arial" w:hAnsi="Arial"/>
          <w:sz w:val="20"/>
          <w:szCs w:val="20"/>
          <w:color w:val="auto"/>
          <w:vertAlign w:val="superscript"/>
        </w:rPr>
      </w:pPr>
      <w:r>
        <w:rPr>
          <w:rFonts w:ascii="Arial" w:cs="Arial" w:eastAsia="Arial" w:hAnsi="Arial"/>
          <w:sz w:val="13"/>
          <w:szCs w:val="13"/>
          <w:color w:val="auto"/>
        </w:rPr>
        <w:t>Comprised of common stock of AT&amp;T Inc., Charter Communications, Inc., and Warner Bros. Discovery, Inc.</w:t>
      </w:r>
    </w:p>
    <w:p>
      <w:pPr>
        <w:spacing w:after="0" w:line="71" w:lineRule="exact"/>
        <w:rPr>
          <w:rFonts w:ascii="Arial" w:cs="Arial" w:eastAsia="Arial" w:hAnsi="Arial"/>
          <w:sz w:val="20"/>
          <w:szCs w:val="20"/>
          <w:color w:val="auto"/>
          <w:vertAlign w:val="superscript"/>
        </w:rPr>
      </w:pPr>
    </w:p>
    <w:p>
      <w:pPr>
        <w:ind w:left="920" w:hanging="189"/>
        <w:spacing w:after="0" w:line="182" w:lineRule="auto"/>
        <w:tabs>
          <w:tab w:leader="none" w:pos="920" w:val="left"/>
        </w:tabs>
        <w:numPr>
          <w:ilvl w:val="0"/>
          <w:numId w:val="145"/>
        </w:numPr>
        <w:rPr>
          <w:rFonts w:ascii="Arial" w:cs="Arial" w:eastAsia="Arial" w:hAnsi="Arial"/>
          <w:sz w:val="18"/>
          <w:szCs w:val="18"/>
          <w:color w:val="auto"/>
          <w:vertAlign w:val="superscript"/>
        </w:rPr>
      </w:pPr>
      <w:r>
        <w:rPr>
          <w:rFonts w:ascii="Arial" w:cs="Arial" w:eastAsia="Arial" w:hAnsi="Arial"/>
          <w:sz w:val="11"/>
          <w:szCs w:val="11"/>
          <w:color w:val="auto"/>
        </w:rPr>
        <w:t>Includes professional fees associated with execution of transactions from the sale of Louisiana and Mississippi LDCs.</w:t>
      </w:r>
    </w:p>
    <w:p>
      <w:pPr>
        <w:spacing w:after="0" w:line="176"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724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1280" w:type="dxa"/>
            <w:vAlign w:val="bottom"/>
            <w:gridSpan w:val="4"/>
            <w:shd w:val="clear" w:color="auto" w:fill="003763"/>
          </w:tcPr>
          <w:p>
            <w:pPr>
              <w:jc w:val="right"/>
              <w:spacing w:after="0"/>
              <w:rPr>
                <w:sz w:val="20"/>
                <w:szCs w:val="20"/>
                <w:color w:val="auto"/>
              </w:rPr>
            </w:pPr>
            <w:r>
              <w:rPr>
                <w:rFonts w:ascii="Arial" w:cs="Arial" w:eastAsia="Arial" w:hAnsi="Arial"/>
                <w:sz w:val="13"/>
                <w:szCs w:val="13"/>
                <w:b w:val="1"/>
                <w:bCs w:val="1"/>
                <w:color w:val="FFFFFF"/>
                <w:w w:val="99"/>
              </w:rPr>
              <w:t>Year-to-Date Ended</w:t>
            </w:r>
          </w:p>
        </w:tc>
        <w:tc>
          <w:tcPr>
            <w:tcW w:w="100" w:type="dxa"/>
            <w:vAlign w:val="bottom"/>
            <w:shd w:val="clear" w:color="auto" w:fill="003763"/>
          </w:tcPr>
          <w:p>
            <w:pPr>
              <w:spacing w:after="0"/>
              <w:rPr>
                <w:sz w:val="14"/>
                <w:szCs w:val="14"/>
                <w:color w:val="auto"/>
              </w:rPr>
            </w:pPr>
          </w:p>
        </w:tc>
      </w:tr>
      <w:tr>
        <w:trPr>
          <w:trHeight w:val="234"/>
        </w:trPr>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7240" w:type="dxa"/>
            <w:vAlign w:val="bottom"/>
            <w:shd w:val="clear" w:color="auto" w:fill="003763"/>
          </w:tcPr>
          <w:p>
            <w:pPr>
              <w:spacing w:after="0"/>
              <w:rPr>
                <w:sz w:val="20"/>
                <w:szCs w:val="20"/>
                <w:color w:val="auto"/>
              </w:rPr>
            </w:pPr>
          </w:p>
        </w:tc>
        <w:tc>
          <w:tcPr>
            <w:tcW w:w="380" w:type="dxa"/>
            <w:vAlign w:val="bottom"/>
            <w:shd w:val="clear" w:color="auto" w:fill="003763"/>
          </w:tcPr>
          <w:p>
            <w:pPr>
              <w:ind w:left="28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280" w:type="dxa"/>
            <w:vAlign w:val="bottom"/>
            <w:gridSpan w:val="4"/>
            <w:shd w:val="clear" w:color="auto" w:fill="003763"/>
          </w:tcPr>
          <w:p>
            <w:pPr>
              <w:jc w:val="right"/>
              <w:spacing w:after="0"/>
              <w:rPr>
                <w:sz w:val="20"/>
                <w:szCs w:val="20"/>
                <w:color w:val="auto"/>
              </w:rPr>
            </w:pPr>
            <w:r>
              <w:rPr>
                <w:rFonts w:ascii="Arial" w:cs="Arial" w:eastAsia="Arial" w:hAnsi="Arial"/>
                <w:sz w:val="13"/>
                <w:szCs w:val="13"/>
                <w:b w:val="1"/>
                <w:bCs w:val="1"/>
                <w:color w:val="FFFFFF"/>
              </w:rPr>
              <w:t>December 31, 2023</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198"/>
        </w:trPr>
        <w:tc>
          <w:tcPr>
            <w:tcW w:w="8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7240" w:type="dxa"/>
            <w:vAlign w:val="bottom"/>
            <w:shd w:val="clear" w:color="auto" w:fill="003763"/>
          </w:tcPr>
          <w:p>
            <w:pPr>
              <w:spacing w:after="0"/>
              <w:rPr>
                <w:sz w:val="17"/>
                <w:szCs w:val="17"/>
                <w:color w:val="auto"/>
              </w:rPr>
            </w:pPr>
          </w:p>
        </w:tc>
        <w:tc>
          <w:tcPr>
            <w:tcW w:w="38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60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w w:val="97"/>
              </w:rPr>
              <w:t>Dollars in</w:t>
            </w:r>
          </w:p>
        </w:tc>
        <w:tc>
          <w:tcPr>
            <w:tcW w:w="140" w:type="dxa"/>
            <w:vAlign w:val="bottom"/>
            <w:shd w:val="clear" w:color="auto" w:fill="003763"/>
          </w:tcPr>
          <w:p>
            <w:pPr>
              <w:spacing w:after="0"/>
              <w:rPr>
                <w:sz w:val="17"/>
                <w:szCs w:val="17"/>
                <w:color w:val="auto"/>
              </w:rPr>
            </w:pPr>
          </w:p>
        </w:tc>
        <w:tc>
          <w:tcPr>
            <w:tcW w:w="540" w:type="dxa"/>
            <w:vAlign w:val="bottom"/>
            <w:gridSpan w:val="2"/>
            <w:shd w:val="clear" w:color="auto" w:fill="003763"/>
          </w:tcPr>
          <w:p>
            <w:pPr>
              <w:jc w:val="right"/>
              <w:spacing w:after="0"/>
              <w:rPr>
                <w:sz w:val="20"/>
                <w:szCs w:val="20"/>
                <w:color w:val="auto"/>
              </w:rPr>
            </w:pPr>
            <w:r>
              <w:rPr>
                <w:rFonts w:ascii="Arial" w:cs="Arial" w:eastAsia="Arial" w:hAnsi="Arial"/>
                <w:sz w:val="13"/>
                <w:szCs w:val="13"/>
                <w:b w:val="1"/>
                <w:bCs w:val="1"/>
                <w:color w:val="FFFFFF"/>
              </w:rPr>
              <w:t>Diluted</w:t>
            </w:r>
          </w:p>
        </w:tc>
        <w:tc>
          <w:tcPr>
            <w:tcW w:w="100" w:type="dxa"/>
            <w:vAlign w:val="bottom"/>
            <w:shd w:val="clear" w:color="auto" w:fill="003763"/>
          </w:tcPr>
          <w:p>
            <w:pPr>
              <w:spacing w:after="0"/>
              <w:rPr>
                <w:sz w:val="17"/>
                <w:szCs w:val="17"/>
                <w:color w:val="auto"/>
              </w:rPr>
            </w:pPr>
          </w:p>
        </w:tc>
      </w:tr>
      <w:tr>
        <w:trPr>
          <w:trHeight w:val="234"/>
        </w:trPr>
        <w:tc>
          <w:tcPr>
            <w:tcW w:w="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7240" w:type="dxa"/>
            <w:vAlign w:val="bottom"/>
            <w:shd w:val="clear" w:color="auto" w:fill="003763"/>
          </w:tcPr>
          <w:p>
            <w:pPr>
              <w:spacing w:after="0"/>
              <w:rPr>
                <w:sz w:val="20"/>
                <w:szCs w:val="20"/>
                <w:color w:val="auto"/>
              </w:rPr>
            </w:pPr>
          </w:p>
        </w:tc>
        <w:tc>
          <w:tcPr>
            <w:tcW w:w="380" w:type="dxa"/>
            <w:vAlign w:val="bottom"/>
            <w:shd w:val="clear" w:color="auto" w:fill="003763"/>
          </w:tcPr>
          <w:p>
            <w:pPr>
              <w:ind w:left="3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millions</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540" w:type="dxa"/>
            <w:vAlign w:val="bottom"/>
            <w:gridSpan w:val="2"/>
            <w:shd w:val="clear" w:color="auto" w:fill="003763"/>
          </w:tcPr>
          <w:p>
            <w:pPr>
              <w:jc w:val="right"/>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284"/>
        </w:trPr>
        <w:tc>
          <w:tcPr>
            <w:tcW w:w="7400" w:type="dxa"/>
            <w:vAlign w:val="bottom"/>
            <w:tcBorders>
              <w:bottom w:val="single" w:sz="8" w:color="CCCCCC"/>
            </w:tcBorders>
            <w:gridSpan w:val="3"/>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income (loss) available to common shareholders and diluted EPS</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tcPr>
          <w:p>
            <w:pPr>
              <w:ind w:left="1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$867</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tcPr>
          <w:p>
            <w:pPr>
              <w:ind w:left="40"/>
              <w:spacing w:after="0" w:line="284" w:lineRule="exact"/>
              <w:rPr>
                <w:sz w:val="20"/>
                <w:szCs w:val="20"/>
                <w:color w:val="auto"/>
              </w:rPr>
            </w:pPr>
            <w:r>
              <w:rPr>
                <w:rFonts w:ascii="Arial" w:cs="Arial" w:eastAsia="Arial" w:hAnsi="Arial"/>
                <w:sz w:val="14"/>
                <w:szCs w:val="14"/>
                <w:color w:val="auto"/>
                <w:w w:val="83"/>
              </w:rPr>
              <w:t>​ ​</w:t>
            </w:r>
            <w:r>
              <w:rPr>
                <w:rFonts w:ascii="Arial" w:cs="Arial" w:eastAsia="Arial" w:hAnsi="Arial"/>
                <w:sz w:val="28"/>
                <w:szCs w:val="28"/>
                <w:color w:val="auto"/>
                <w:w w:val="83"/>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740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ZENS-related mark-to-market (gains) losses:</w:t>
            </w:r>
          </w:p>
        </w:tc>
        <w:tc>
          <w:tcPr>
            <w:tcW w:w="48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CCCCCC"/>
            </w:tcBorders>
            <w:shd w:val="clear" w:color="auto" w:fill="F2F2F2"/>
          </w:tcPr>
          <w:p>
            <w:pPr>
              <w:ind w:left="1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   ​</w:t>
            </w:r>
          </w:p>
        </w:tc>
        <w:tc>
          <w:tcPr>
            <w:tcW w:w="320" w:type="dxa"/>
            <w:vAlign w:val="bottom"/>
            <w:tcBorders>
              <w:bottom w:val="single" w:sz="8" w:color="CCCCCC"/>
            </w:tcBorders>
            <w:gridSpan w:val="2"/>
            <w:shd w:val="clear" w:color="auto" w:fill="F2F2F2"/>
          </w:tcPr>
          <w:p>
            <w:pPr>
              <w:spacing w:after="0"/>
              <w:rPr>
                <w:sz w:val="20"/>
                <w:szCs w:val="20"/>
                <w:color w:val="auto"/>
              </w:rPr>
            </w:pPr>
            <w:r>
              <w:rPr>
                <w:rFonts w:ascii="Arial" w:cs="Arial" w:eastAsia="Arial" w:hAnsi="Arial"/>
                <w:sz w:val="14"/>
                <w:szCs w:val="14"/>
                <w:b w:val="1"/>
                <w:bCs w:val="1"/>
                <w:color w:val="auto"/>
              </w:rPr>
              <w:t>​ ​ ​ ​</w:t>
            </w:r>
          </w:p>
        </w:tc>
        <w:tc>
          <w:tcPr>
            <w:tcW w:w="360" w:type="dxa"/>
            <w:vAlign w:val="bottom"/>
            <w:tcBorders>
              <w:bottom w:val="single" w:sz="8" w:color="CCCCCC"/>
            </w:tcBorders>
            <w:shd w:val="clear" w:color="auto" w:fill="F2F2F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r>
      <w:tr>
        <w:trPr>
          <w:trHeight w:val="290"/>
        </w:trPr>
        <w:tc>
          <w:tcPr>
            <w:tcW w:w="160" w:type="dxa"/>
            <w:vAlign w:val="bottom"/>
            <w:tcBorders>
              <w:bottom w:val="single" w:sz="8" w:color="CCCCCC"/>
            </w:tcBorders>
            <w:gridSpan w:val="2"/>
          </w:tcPr>
          <w:p>
            <w:pPr>
              <w:ind w:left="40"/>
              <w:spacing w:after="0"/>
              <w:rPr>
                <w:sz w:val="20"/>
                <w:szCs w:val="20"/>
                <w:color w:val="auto"/>
              </w:rPr>
            </w:pPr>
            <w:r>
              <w:rPr>
                <w:rFonts w:ascii="Arial" w:cs="Arial" w:eastAsia="Arial" w:hAnsi="Arial"/>
                <w:sz w:val="14"/>
                <w:szCs w:val="14"/>
                <w:color w:val="auto"/>
              </w:rPr>
              <w:t>​</w:t>
            </w:r>
          </w:p>
        </w:tc>
        <w:tc>
          <w:tcPr>
            <w:tcW w:w="724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Equity securities (net of taxes of $7)</w:t>
            </w:r>
            <w:r>
              <w:rPr>
                <w:rFonts w:ascii="Arial" w:cs="Arial" w:eastAsia="Arial" w:hAnsi="Arial"/>
                <w:sz w:val="17"/>
                <w:szCs w:val="17"/>
                <w:color w:val="auto"/>
                <w:vertAlign w:val="superscript"/>
              </w:rPr>
              <w:t>(2)(3)</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tcPr>
          <w:p>
            <w:pPr>
              <w:ind w:left="1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​(25)</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46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​(0.04)</w:t>
            </w:r>
            <w:r>
              <w:rPr>
                <w:rFonts w:ascii="Arial" w:cs="Arial" w:eastAsia="Arial" w:hAnsi="Arial"/>
                <w:sz w:val="28"/>
                <w:szCs w:val="28"/>
                <w:color w:val="auto"/>
                <w:vertAlign w:val="subscript"/>
              </w:rPr>
              <w:t>​​</w:t>
            </w:r>
          </w:p>
        </w:tc>
      </w:tr>
      <w:tr>
        <w:trPr>
          <w:trHeight w:val="291"/>
        </w:trPr>
        <w:tc>
          <w:tcPr>
            <w:tcW w:w="16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4"/>
                <w:szCs w:val="14"/>
                <w:color w:val="auto"/>
              </w:rPr>
              <w:t>​</w:t>
            </w:r>
          </w:p>
        </w:tc>
        <w:tc>
          <w:tcPr>
            <w:tcW w:w="724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Indexed debt securities (net of taxes of $6)</w:t>
            </w:r>
            <w:r>
              <w:rPr>
                <w:rFonts w:ascii="Arial" w:cs="Arial" w:eastAsia="Arial" w:hAnsi="Arial"/>
                <w:sz w:val="17"/>
                <w:szCs w:val="17"/>
                <w:color w:val="auto"/>
                <w:vertAlign w:val="superscript"/>
              </w:rPr>
              <w:t>(2)</w:t>
            </w:r>
          </w:p>
        </w:tc>
        <w:tc>
          <w:tcPr>
            <w:tcW w:w="380" w:type="dxa"/>
            <w:vAlign w:val="bottom"/>
            <w:tcBorders>
              <w:bottom w:val="single" w:sz="8" w:color="CCCCCC"/>
            </w:tcBorders>
            <w:shd w:val="clear" w:color="auto" w:fill="F2F2F2"/>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shd w:val="clear" w:color="auto" w:fill="F2F2F2"/>
          </w:tcPr>
          <w:p>
            <w:pPr>
              <w:ind w:left="1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21</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0.03</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7400" w:type="dxa"/>
            <w:vAlign w:val="bottom"/>
            <w:tcBorders>
              <w:bottom w:val="single" w:sz="8" w:color="CCCCCC"/>
            </w:tcBorders>
            <w:gridSpan w:val="3"/>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Impacts associated with mergers and divestitures (net of taxes of $64)</w:t>
            </w:r>
            <w:r>
              <w:rPr>
                <w:rFonts w:ascii="Arial" w:cs="Arial" w:eastAsia="Arial" w:hAnsi="Arial"/>
                <w:sz w:val="17"/>
                <w:szCs w:val="17"/>
                <w:b w:val="1"/>
                <w:bCs w:val="1"/>
                <w:color w:val="auto"/>
                <w:vertAlign w:val="superscript"/>
              </w:rPr>
              <w:t>(2)(4)</w:t>
            </w:r>
          </w:p>
        </w:tc>
        <w:tc>
          <w:tcPr>
            <w:tcW w:w="3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tcPr>
          <w:p>
            <w:pPr>
              <w:ind w:left="1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89</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0.14</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740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income (loss) available to common shareholders on a non-GAAP basis and Adjusted EPS</w:t>
            </w:r>
          </w:p>
        </w:tc>
        <w:tc>
          <w:tcPr>
            <w:tcW w:w="380" w:type="dxa"/>
            <w:vAlign w:val="bottom"/>
            <w:tcBorders>
              <w:bottom w:val="single" w:sz="8" w:color="CCCCCC"/>
            </w:tcBorders>
            <w:shd w:val="clear" w:color="auto" w:fill="F2F2F2"/>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shd w:val="clear" w:color="auto" w:fill="F2F2F2"/>
          </w:tcPr>
          <w:p>
            <w:pPr>
              <w:ind w:left="1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$952</w:t>
            </w:r>
          </w:p>
        </w:tc>
        <w:tc>
          <w:tcPr>
            <w:tcW w:w="14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w w:val="83"/>
              </w:rPr>
              <w:t>​ ​</w:t>
            </w:r>
            <w:r>
              <w:rPr>
                <w:rFonts w:ascii="Arial" w:cs="Arial" w:eastAsia="Arial" w:hAnsi="Arial"/>
                <w:sz w:val="28"/>
                <w:szCs w:val="28"/>
                <w:color w:val="auto"/>
                <w:w w:val="83"/>
                <w:vertAlign w:val="superscript"/>
              </w:rPr>
              <w:t>$</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-1413510</wp:posOffset>
            </wp:positionV>
            <wp:extent cx="8229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52"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140" w:hanging="189"/>
        <w:spacing w:after="0" w:line="198" w:lineRule="auto"/>
        <w:tabs>
          <w:tab w:leader="none" w:pos="920" w:val="left"/>
        </w:tabs>
        <w:numPr>
          <w:ilvl w:val="0"/>
          <w:numId w:val="146"/>
        </w:numPr>
        <w:rPr>
          <w:rFonts w:ascii="Arial" w:cs="Arial" w:eastAsia="Arial" w:hAnsi="Arial"/>
          <w:sz w:val="20"/>
          <w:szCs w:val="20"/>
          <w:color w:val="auto"/>
          <w:vertAlign w:val="superscript"/>
        </w:rPr>
      </w:pPr>
      <w:r>
        <w:rPr>
          <w:rFonts w:ascii="Arial" w:cs="Arial" w:eastAsia="Arial" w:hAnsi="Arial"/>
          <w:sz w:val="13"/>
          <w:szCs w:val="13"/>
          <w:color w:val="auto"/>
        </w:rPr>
        <w:t>Quarterly diluted EPS on both a GAAP and non-GAAP basis are based on the weighted average number of shares of common stock outstanding during the quarter, and the sum of the quarters may not equal year-to-date diluted EPS.</w:t>
      </w:r>
    </w:p>
    <w:p>
      <w:pPr>
        <w:spacing w:after="0" w:line="51" w:lineRule="exact"/>
        <w:rPr>
          <w:rFonts w:ascii="Arial" w:cs="Arial" w:eastAsia="Arial" w:hAnsi="Arial"/>
          <w:sz w:val="20"/>
          <w:szCs w:val="20"/>
          <w:color w:val="auto"/>
          <w:vertAlign w:val="superscript"/>
        </w:rPr>
      </w:pPr>
    </w:p>
    <w:p>
      <w:pPr>
        <w:ind w:left="920" w:right="40" w:hanging="189"/>
        <w:spacing w:after="0" w:line="198" w:lineRule="auto"/>
        <w:tabs>
          <w:tab w:leader="none" w:pos="920" w:val="left"/>
        </w:tabs>
        <w:numPr>
          <w:ilvl w:val="0"/>
          <w:numId w:val="146"/>
        </w:numPr>
        <w:rPr>
          <w:rFonts w:ascii="Arial" w:cs="Arial" w:eastAsia="Arial" w:hAnsi="Arial"/>
          <w:sz w:val="20"/>
          <w:szCs w:val="20"/>
          <w:color w:val="auto"/>
          <w:vertAlign w:val="superscript"/>
        </w:rPr>
      </w:pPr>
      <w:r>
        <w:rPr>
          <w:rFonts w:ascii="Arial" w:cs="Arial" w:eastAsia="Arial" w:hAnsi="Arial"/>
          <w:sz w:val="13"/>
          <w:szCs w:val="13"/>
          <w:color w:val="auto"/>
        </w:rPr>
        <w:t>Taxes are computed based on the impact removing such item would have on tax expense. Taxes related to the operating results of Energy Systems Group, as well as cash taxes payable and other tax impacts related to the sale of Energy Systems Group, are excluded from non-GAAP EPS.</w:t>
      </w:r>
    </w:p>
    <w:p>
      <w:pPr>
        <w:spacing w:after="0" w:line="1" w:lineRule="exact"/>
        <w:rPr>
          <w:rFonts w:ascii="Arial" w:cs="Arial" w:eastAsia="Arial" w:hAnsi="Arial"/>
          <w:sz w:val="20"/>
          <w:szCs w:val="20"/>
          <w:color w:val="auto"/>
          <w:vertAlign w:val="superscript"/>
        </w:rPr>
      </w:pPr>
    </w:p>
    <w:p>
      <w:pPr>
        <w:ind w:left="920" w:hanging="189"/>
        <w:spacing w:after="0" w:line="225" w:lineRule="auto"/>
        <w:tabs>
          <w:tab w:leader="none" w:pos="920" w:val="left"/>
        </w:tabs>
        <w:numPr>
          <w:ilvl w:val="0"/>
          <w:numId w:val="146"/>
        </w:numPr>
        <w:rPr>
          <w:rFonts w:ascii="Arial" w:cs="Arial" w:eastAsia="Arial" w:hAnsi="Arial"/>
          <w:sz w:val="20"/>
          <w:szCs w:val="20"/>
          <w:color w:val="auto"/>
          <w:vertAlign w:val="superscript"/>
        </w:rPr>
      </w:pPr>
      <w:r>
        <w:rPr>
          <w:rFonts w:ascii="Arial" w:cs="Arial" w:eastAsia="Arial" w:hAnsi="Arial"/>
          <w:sz w:val="13"/>
          <w:szCs w:val="13"/>
          <w:color w:val="auto"/>
        </w:rPr>
        <w:t>Comprised of common stock of AT&amp;T Inc., Charter Communications, Inc., and Warner Bros. Discovery, Inc.</w:t>
      </w:r>
    </w:p>
    <w:p>
      <w:pPr>
        <w:spacing w:after="0" w:line="75" w:lineRule="exact"/>
        <w:rPr>
          <w:rFonts w:ascii="Arial" w:cs="Arial" w:eastAsia="Arial" w:hAnsi="Arial"/>
          <w:sz w:val="20"/>
          <w:szCs w:val="20"/>
          <w:color w:val="auto"/>
          <w:vertAlign w:val="superscript"/>
        </w:rPr>
      </w:pPr>
    </w:p>
    <w:p>
      <w:pPr>
        <w:ind w:left="920" w:right="440" w:hanging="189"/>
        <w:spacing w:after="0" w:line="191" w:lineRule="auto"/>
        <w:tabs>
          <w:tab w:leader="none" w:pos="920" w:val="left"/>
        </w:tabs>
        <w:numPr>
          <w:ilvl w:val="0"/>
          <w:numId w:val="146"/>
        </w:numPr>
        <w:rPr>
          <w:rFonts w:ascii="Arial" w:cs="Arial" w:eastAsia="Arial" w:hAnsi="Arial"/>
          <w:sz w:val="20"/>
          <w:szCs w:val="20"/>
          <w:color w:val="auto"/>
          <w:vertAlign w:val="superscript"/>
        </w:rPr>
      </w:pPr>
      <w:r>
        <w:rPr>
          <w:rFonts w:ascii="Arial" w:cs="Arial" w:eastAsia="Arial" w:hAnsi="Arial"/>
          <w:sz w:val="13"/>
          <w:szCs w:val="13"/>
          <w:color w:val="auto"/>
        </w:rPr>
        <w:t>Includes $4.4 million of pre-tax operating loss related to Energy Systems Group, a divested non-regulated business, as well as the $13 million loss on sale and approximately $2 million of other indirect related transaction costs associated with the divestiture.</w:t>
      </w:r>
    </w:p>
    <w:p>
      <w:pPr>
        <w:spacing w:after="0" w:line="176"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6400" w:type="dxa"/>
            <w:vAlign w:val="bottom"/>
            <w:shd w:val="clear" w:color="auto" w:fill="003763"/>
          </w:tcPr>
          <w:p>
            <w:pPr>
              <w:spacing w:after="0"/>
              <w:rPr>
                <w:sz w:val="14"/>
                <w:szCs w:val="14"/>
                <w:color w:val="auto"/>
              </w:rPr>
            </w:pPr>
          </w:p>
        </w:tc>
        <w:tc>
          <w:tcPr>
            <w:tcW w:w="122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1280" w:type="dxa"/>
            <w:vAlign w:val="bottom"/>
            <w:gridSpan w:val="4"/>
            <w:shd w:val="clear" w:color="auto" w:fill="003763"/>
          </w:tcPr>
          <w:p>
            <w:pPr>
              <w:ind w:left="60"/>
              <w:spacing w:after="0"/>
              <w:rPr>
                <w:sz w:val="20"/>
                <w:szCs w:val="20"/>
                <w:color w:val="auto"/>
              </w:rPr>
            </w:pPr>
            <w:r>
              <w:rPr>
                <w:rFonts w:ascii="Arial" w:cs="Arial" w:eastAsia="Arial" w:hAnsi="Arial"/>
                <w:sz w:val="13"/>
                <w:szCs w:val="13"/>
                <w:b w:val="1"/>
                <w:bCs w:val="1"/>
                <w:color w:val="FFFFFF"/>
                <w:w w:val="99"/>
              </w:rPr>
              <w:t>Year-to-Date Ended</w:t>
            </w:r>
          </w:p>
        </w:tc>
        <w:tc>
          <w:tcPr>
            <w:tcW w:w="100" w:type="dxa"/>
            <w:vAlign w:val="bottom"/>
            <w:shd w:val="clear" w:color="auto" w:fill="003763"/>
          </w:tcPr>
          <w:p>
            <w:pPr>
              <w:spacing w:after="0"/>
              <w:rPr>
                <w:sz w:val="14"/>
                <w:szCs w:val="14"/>
                <w:color w:val="auto"/>
              </w:rPr>
            </w:pPr>
          </w:p>
        </w:tc>
      </w:tr>
      <w:tr>
        <w:trPr>
          <w:trHeight w:val="234"/>
        </w:trPr>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6400" w:type="dxa"/>
            <w:vAlign w:val="bottom"/>
            <w:shd w:val="clear" w:color="auto" w:fill="003763"/>
          </w:tcPr>
          <w:p>
            <w:pPr>
              <w:spacing w:after="0"/>
              <w:rPr>
                <w:sz w:val="20"/>
                <w:szCs w:val="20"/>
                <w:color w:val="auto"/>
              </w:rPr>
            </w:pPr>
          </w:p>
        </w:tc>
        <w:tc>
          <w:tcPr>
            <w:tcW w:w="1220" w:type="dxa"/>
            <w:vAlign w:val="bottom"/>
            <w:shd w:val="clear" w:color="auto" w:fill="003763"/>
          </w:tcPr>
          <w:p>
            <w:pPr>
              <w:ind w:left="11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280" w:type="dxa"/>
            <w:vAlign w:val="bottom"/>
            <w:gridSpan w:val="4"/>
            <w:shd w:val="clear" w:color="auto" w:fill="003763"/>
          </w:tcPr>
          <w:p>
            <w:pPr>
              <w:ind w:left="100"/>
              <w:spacing w:after="0"/>
              <w:rPr>
                <w:sz w:val="20"/>
                <w:szCs w:val="20"/>
                <w:color w:val="auto"/>
              </w:rPr>
            </w:pPr>
            <w:r>
              <w:rPr>
                <w:rFonts w:ascii="Arial" w:cs="Arial" w:eastAsia="Arial" w:hAnsi="Arial"/>
                <w:sz w:val="13"/>
                <w:szCs w:val="13"/>
                <w:b w:val="1"/>
                <w:bCs w:val="1"/>
                <w:color w:val="FFFFFF"/>
                <w:w w:val="99"/>
              </w:rPr>
              <w:t>December 31, 2022</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198"/>
        </w:trPr>
        <w:tc>
          <w:tcPr>
            <w:tcW w:w="80" w:type="dxa"/>
            <w:vAlign w:val="bottom"/>
            <w:shd w:val="clear" w:color="auto" w:fill="003763"/>
          </w:tcPr>
          <w:p>
            <w:pPr>
              <w:spacing w:after="0"/>
              <w:rPr>
                <w:sz w:val="17"/>
                <w:szCs w:val="17"/>
                <w:color w:val="auto"/>
              </w:rPr>
            </w:pPr>
          </w:p>
        </w:tc>
        <w:tc>
          <w:tcPr>
            <w:tcW w:w="80" w:type="dxa"/>
            <w:vAlign w:val="bottom"/>
            <w:shd w:val="clear" w:color="auto" w:fill="003763"/>
          </w:tcPr>
          <w:p>
            <w:pPr>
              <w:spacing w:after="0"/>
              <w:rPr>
                <w:sz w:val="17"/>
                <w:szCs w:val="17"/>
                <w:color w:val="auto"/>
              </w:rPr>
            </w:pPr>
          </w:p>
        </w:tc>
        <w:tc>
          <w:tcPr>
            <w:tcW w:w="6400" w:type="dxa"/>
            <w:vAlign w:val="bottom"/>
            <w:shd w:val="clear" w:color="auto" w:fill="003763"/>
          </w:tcPr>
          <w:p>
            <w:pPr>
              <w:spacing w:after="0"/>
              <w:rPr>
                <w:sz w:val="17"/>
                <w:szCs w:val="17"/>
                <w:color w:val="auto"/>
              </w:rPr>
            </w:pPr>
          </w:p>
        </w:tc>
        <w:tc>
          <w:tcPr>
            <w:tcW w:w="1220" w:type="dxa"/>
            <w:vAlign w:val="bottom"/>
            <w:shd w:val="clear" w:color="auto" w:fill="003763"/>
          </w:tcPr>
          <w:p>
            <w:pPr>
              <w:spacing w:after="0"/>
              <w:rPr>
                <w:sz w:val="17"/>
                <w:szCs w:val="17"/>
                <w:color w:val="auto"/>
              </w:rPr>
            </w:pPr>
          </w:p>
        </w:tc>
        <w:tc>
          <w:tcPr>
            <w:tcW w:w="100" w:type="dxa"/>
            <w:vAlign w:val="bottom"/>
            <w:shd w:val="clear" w:color="auto" w:fill="003763"/>
          </w:tcPr>
          <w:p>
            <w:pPr>
              <w:spacing w:after="0"/>
              <w:rPr>
                <w:sz w:val="17"/>
                <w:szCs w:val="17"/>
                <w:color w:val="auto"/>
              </w:rPr>
            </w:pPr>
          </w:p>
        </w:tc>
        <w:tc>
          <w:tcPr>
            <w:tcW w:w="600" w:type="dxa"/>
            <w:vAlign w:val="bottom"/>
            <w:gridSpan w:val="2"/>
            <w:shd w:val="clear" w:color="auto" w:fill="003763"/>
          </w:tcPr>
          <w:p>
            <w:pPr>
              <w:spacing w:after="0"/>
              <w:rPr>
                <w:sz w:val="20"/>
                <w:szCs w:val="20"/>
                <w:color w:val="auto"/>
              </w:rPr>
            </w:pPr>
            <w:r>
              <w:rPr>
                <w:rFonts w:ascii="Arial" w:cs="Arial" w:eastAsia="Arial" w:hAnsi="Arial"/>
                <w:sz w:val="13"/>
                <w:szCs w:val="13"/>
                <w:b w:val="1"/>
                <w:bCs w:val="1"/>
                <w:color w:val="FFFFFF"/>
                <w:w w:val="97"/>
              </w:rPr>
              <w:t>Dollars in</w:t>
            </w:r>
          </w:p>
        </w:tc>
        <w:tc>
          <w:tcPr>
            <w:tcW w:w="140" w:type="dxa"/>
            <w:vAlign w:val="bottom"/>
            <w:shd w:val="clear" w:color="auto" w:fill="003763"/>
          </w:tcPr>
          <w:p>
            <w:pPr>
              <w:spacing w:after="0"/>
              <w:rPr>
                <w:sz w:val="17"/>
                <w:szCs w:val="17"/>
                <w:color w:val="auto"/>
              </w:rPr>
            </w:pPr>
          </w:p>
        </w:tc>
        <w:tc>
          <w:tcPr>
            <w:tcW w:w="54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w w:val="95"/>
              </w:rPr>
              <w:t>Diluted</w:t>
            </w:r>
          </w:p>
        </w:tc>
        <w:tc>
          <w:tcPr>
            <w:tcW w:w="100" w:type="dxa"/>
            <w:vAlign w:val="bottom"/>
            <w:shd w:val="clear" w:color="auto" w:fill="003763"/>
          </w:tcPr>
          <w:p>
            <w:pPr>
              <w:spacing w:after="0"/>
              <w:rPr>
                <w:sz w:val="17"/>
                <w:szCs w:val="17"/>
                <w:color w:val="auto"/>
              </w:rPr>
            </w:pPr>
          </w:p>
        </w:tc>
      </w:tr>
      <w:tr>
        <w:trPr>
          <w:trHeight w:val="234"/>
        </w:trPr>
        <w:tc>
          <w:tcPr>
            <w:tcW w:w="8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3763"/>
          </w:tcPr>
          <w:p>
            <w:pPr>
              <w:spacing w:after="0"/>
              <w:rPr>
                <w:sz w:val="20"/>
                <w:szCs w:val="20"/>
                <w:color w:val="auto"/>
              </w:rPr>
            </w:pPr>
            <w:r>
              <w:rPr>
                <w:rFonts w:ascii="Arial" w:cs="Arial" w:eastAsia="Arial" w:hAnsi="Arial"/>
                <w:sz w:val="13"/>
                <w:szCs w:val="13"/>
                <w:b w:val="1"/>
                <w:bCs w:val="1"/>
                <w:color w:val="FFFFFF"/>
              </w:rPr>
              <w:t>​</w:t>
            </w:r>
          </w:p>
        </w:tc>
        <w:tc>
          <w:tcPr>
            <w:tcW w:w="6400" w:type="dxa"/>
            <w:vAlign w:val="bottom"/>
            <w:shd w:val="clear" w:color="auto" w:fill="003763"/>
          </w:tcPr>
          <w:p>
            <w:pPr>
              <w:spacing w:after="0"/>
              <w:rPr>
                <w:sz w:val="20"/>
                <w:szCs w:val="20"/>
                <w:color w:val="auto"/>
              </w:rPr>
            </w:pPr>
          </w:p>
        </w:tc>
        <w:tc>
          <w:tcPr>
            <w:tcW w:w="1220" w:type="dxa"/>
            <w:vAlign w:val="bottom"/>
            <w:shd w:val="clear" w:color="auto" w:fill="003763"/>
          </w:tcPr>
          <w:p>
            <w:pPr>
              <w:ind w:left="11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600" w:type="dxa"/>
            <w:vAlign w:val="bottom"/>
            <w:gridSpan w:val="2"/>
            <w:shd w:val="clear" w:color="auto" w:fill="003763"/>
          </w:tcPr>
          <w:p>
            <w:pPr>
              <w:ind w:left="80"/>
              <w:spacing w:after="0"/>
              <w:rPr>
                <w:sz w:val="20"/>
                <w:szCs w:val="20"/>
                <w:color w:val="auto"/>
              </w:rPr>
            </w:pPr>
            <w:r>
              <w:rPr>
                <w:rFonts w:ascii="Arial" w:cs="Arial" w:eastAsia="Arial" w:hAnsi="Arial"/>
                <w:sz w:val="13"/>
                <w:szCs w:val="13"/>
                <w:b w:val="1"/>
                <w:bCs w:val="1"/>
                <w:color w:val="FFFFFF"/>
              </w:rPr>
              <w:t>millions</w:t>
            </w:r>
          </w:p>
        </w:tc>
        <w:tc>
          <w:tcPr>
            <w:tcW w:w="14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540" w:type="dxa"/>
            <w:vAlign w:val="bottom"/>
            <w:shd w:val="clear" w:color="auto" w:fill="003763"/>
          </w:tcPr>
          <w:p>
            <w:pPr>
              <w:ind w:left="40"/>
              <w:spacing w:after="0" w:line="23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p>
        </w:tc>
        <w:tc>
          <w:tcPr>
            <w:tcW w:w="10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r>
      <w:tr>
        <w:trPr>
          <w:trHeight w:val="283"/>
        </w:trPr>
        <w:tc>
          <w:tcPr>
            <w:tcW w:w="6560" w:type="dxa"/>
            <w:vAlign w:val="bottom"/>
            <w:tcBorders>
              <w:bottom w:val="single" w:sz="8" w:color="CCCCCC"/>
            </w:tcBorders>
            <w:gridSpan w:val="3"/>
          </w:tcPr>
          <w:p>
            <w:pPr>
              <w:ind w:left="40"/>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income (loss) available to common shareholders and diluted EPS</w:t>
            </w:r>
          </w:p>
        </w:tc>
        <w:tc>
          <w:tcPr>
            <w:tcW w:w="1220" w:type="dxa"/>
            <w:vAlign w:val="bottom"/>
            <w:tcBorders>
              <w:bottom w:val="single" w:sz="8" w:color="CCCCCC"/>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$ 1,008</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tcPr>
          <w:p>
            <w:pPr>
              <w:jc w:val="right"/>
              <w:spacing w:after="0" w:line="284"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$ 1.59 </w:t>
            </w:r>
            <w:r>
              <w:rPr>
                <w:rFonts w:ascii="Arial" w:cs="Arial" w:eastAsia="Arial" w:hAnsi="Arial"/>
                <w:sz w:val="28"/>
                <w:szCs w:val="28"/>
                <w:color w:val="auto"/>
                <w:vertAlign w:val="subscript"/>
              </w:rPr>
              <w:t>​​</w:t>
            </w:r>
          </w:p>
        </w:tc>
      </w:tr>
      <w:tr>
        <w:trPr>
          <w:trHeight w:val="263"/>
        </w:trPr>
        <w:tc>
          <w:tcPr>
            <w:tcW w:w="656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ZENS-related mark-to-market (gains) losses:</w:t>
            </w:r>
          </w:p>
        </w:tc>
        <w:tc>
          <w:tcPr>
            <w:tcW w:w="132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CCCCCC"/>
            </w:tcBorders>
            <w:shd w:val="clear" w:color="auto" w:fill="F2F2F2"/>
          </w:tcPr>
          <w:p>
            <w:pPr>
              <w:ind w:left="8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5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xml:space="preserve"> ​ ​</w:t>
            </w:r>
          </w:p>
        </w:tc>
        <w:tc>
          <w:tcPr>
            <w:tcW w:w="5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1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r>
      <w:tr>
        <w:trPr>
          <w:trHeight w:val="291"/>
        </w:trPr>
        <w:tc>
          <w:tcPr>
            <w:tcW w:w="160" w:type="dxa"/>
            <w:vAlign w:val="bottom"/>
            <w:tcBorders>
              <w:bottom w:val="single" w:sz="8" w:color="CCCCCC"/>
            </w:tcBorders>
            <w:gridSpan w:val="2"/>
          </w:tcPr>
          <w:p>
            <w:pPr>
              <w:ind w:left="40"/>
              <w:spacing w:after="0"/>
              <w:rPr>
                <w:sz w:val="20"/>
                <w:szCs w:val="20"/>
                <w:color w:val="auto"/>
              </w:rPr>
            </w:pPr>
            <w:r>
              <w:rPr>
                <w:rFonts w:ascii="Arial" w:cs="Arial" w:eastAsia="Arial" w:hAnsi="Arial"/>
                <w:sz w:val="14"/>
                <w:szCs w:val="14"/>
                <w:color w:val="auto"/>
              </w:rPr>
              <w:t>​</w:t>
            </w:r>
          </w:p>
        </w:tc>
        <w:tc>
          <w:tcPr>
            <w:tcW w:w="6400" w:type="dxa"/>
            <w:vAlign w:val="bottom"/>
            <w:tcBorders>
              <w:bottom w:val="single" w:sz="8" w:color="CCCCCC"/>
            </w:tcBorders>
          </w:tcPr>
          <w:p>
            <w:pPr>
              <w:ind w:left="60"/>
              <w:spacing w:after="0"/>
              <w:rPr>
                <w:sz w:val="20"/>
                <w:szCs w:val="20"/>
                <w:color w:val="auto"/>
              </w:rPr>
            </w:pPr>
            <w:r>
              <w:rPr>
                <w:rFonts w:ascii="Arial" w:cs="Arial" w:eastAsia="Arial" w:hAnsi="Arial"/>
                <w:sz w:val="14"/>
                <w:szCs w:val="14"/>
                <w:color w:val="auto"/>
              </w:rPr>
              <w:t>Equity securities (net of taxes of $66)</w:t>
            </w:r>
            <w:r>
              <w:rPr>
                <w:rFonts w:ascii="Arial" w:cs="Arial" w:eastAsia="Arial" w:hAnsi="Arial"/>
                <w:sz w:val="17"/>
                <w:szCs w:val="17"/>
                <w:color w:val="auto"/>
                <w:vertAlign w:val="superscript"/>
              </w:rPr>
              <w:t>(2)(3)</w:t>
            </w:r>
          </w:p>
        </w:tc>
        <w:tc>
          <w:tcPr>
            <w:tcW w:w="1220" w:type="dxa"/>
            <w:vAlign w:val="bottom"/>
            <w:tcBorders>
              <w:bottom w:val="single" w:sz="8" w:color="CCCCCC"/>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8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247</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 0.39 </w:t>
            </w:r>
            <w:r>
              <w:rPr>
                <w:rFonts w:ascii="Arial" w:cs="Arial" w:eastAsia="Arial" w:hAnsi="Arial"/>
                <w:sz w:val="28"/>
                <w:szCs w:val="28"/>
                <w:color w:val="auto"/>
                <w:vertAlign w:val="subscript"/>
              </w:rPr>
              <w:t>​​</w:t>
            </w:r>
          </w:p>
        </w:tc>
      </w:tr>
      <w:tr>
        <w:trPr>
          <w:trHeight w:val="291"/>
        </w:trPr>
        <w:tc>
          <w:tcPr>
            <w:tcW w:w="160" w:type="dxa"/>
            <w:vAlign w:val="bottom"/>
            <w:tcBorders>
              <w:bottom w:val="single" w:sz="8" w:color="CCCCCC"/>
            </w:tcBorders>
            <w:gridSpan w:val="2"/>
            <w:shd w:val="clear" w:color="auto" w:fill="F2F2F2"/>
          </w:tcPr>
          <w:p>
            <w:pPr>
              <w:ind w:left="40"/>
              <w:spacing w:after="0"/>
              <w:rPr>
                <w:sz w:val="20"/>
                <w:szCs w:val="20"/>
                <w:color w:val="auto"/>
              </w:rPr>
            </w:pPr>
            <w:r>
              <w:rPr>
                <w:rFonts w:ascii="Arial" w:cs="Arial" w:eastAsia="Arial" w:hAnsi="Arial"/>
                <w:sz w:val="14"/>
                <w:szCs w:val="14"/>
                <w:color w:val="auto"/>
              </w:rPr>
              <w:t>​</w:t>
            </w:r>
          </w:p>
        </w:tc>
        <w:tc>
          <w:tcPr>
            <w:tcW w:w="6400" w:type="dxa"/>
            <w:vAlign w:val="bottom"/>
            <w:tcBorders>
              <w:bottom w:val="single" w:sz="8" w:color="CCCCCC"/>
            </w:tcBorders>
            <w:shd w:val="clear" w:color="auto" w:fill="F2F2F2"/>
          </w:tcPr>
          <w:p>
            <w:pPr>
              <w:ind w:left="60"/>
              <w:spacing w:after="0"/>
              <w:rPr>
                <w:sz w:val="20"/>
                <w:szCs w:val="20"/>
                <w:color w:val="auto"/>
              </w:rPr>
            </w:pPr>
            <w:r>
              <w:rPr>
                <w:rFonts w:ascii="Arial" w:cs="Arial" w:eastAsia="Arial" w:hAnsi="Arial"/>
                <w:sz w:val="14"/>
                <w:szCs w:val="14"/>
                <w:color w:val="auto"/>
              </w:rPr>
              <w:t>Indexed debt securities (net of taxes of $68)</w:t>
            </w:r>
            <w:r>
              <w:rPr>
                <w:rFonts w:ascii="Arial" w:cs="Arial" w:eastAsia="Arial" w:hAnsi="Arial"/>
                <w:sz w:val="17"/>
                <w:szCs w:val="17"/>
                <w:color w:val="auto"/>
                <w:vertAlign w:val="superscript"/>
              </w:rPr>
              <w:t>(2)</w:t>
            </w:r>
          </w:p>
        </w:tc>
        <w:tc>
          <w:tcPr>
            <w:tcW w:w="1220" w:type="dxa"/>
            <w:vAlign w:val="bottom"/>
            <w:tcBorders>
              <w:bottom w:val="single" w:sz="8" w:color="CCCCCC"/>
            </w:tcBorders>
            <w:shd w:val="clear" w:color="auto" w:fill="F2F2F2"/>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(256) </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​(0.40)</w:t>
            </w:r>
            <w:r>
              <w:rPr>
                <w:rFonts w:ascii="Arial" w:cs="Arial" w:eastAsia="Arial" w:hAnsi="Arial"/>
                <w:sz w:val="28"/>
                <w:szCs w:val="28"/>
                <w:color w:val="auto"/>
                <w:vertAlign w:val="subscript"/>
              </w:rPr>
              <w:t>​​</w:t>
            </w:r>
          </w:p>
        </w:tc>
      </w:tr>
      <w:tr>
        <w:trPr>
          <w:trHeight w:val="290"/>
        </w:trPr>
        <w:tc>
          <w:tcPr>
            <w:tcW w:w="6560" w:type="dxa"/>
            <w:vAlign w:val="bottom"/>
            <w:tcBorders>
              <w:bottom w:val="single" w:sz="8" w:color="CCCCCC"/>
            </w:tcBorders>
            <w:gridSpan w:val="3"/>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Midstream-related earnings (net of taxes of $2)</w:t>
            </w:r>
            <w:r>
              <w:rPr>
                <w:rFonts w:ascii="Arial" w:cs="Arial" w:eastAsia="Arial" w:hAnsi="Arial"/>
                <w:sz w:val="17"/>
                <w:szCs w:val="17"/>
                <w:color w:val="auto"/>
                <w:vertAlign w:val="superscript"/>
              </w:rPr>
              <w:t>(2)(4)</w:t>
            </w:r>
          </w:p>
        </w:tc>
        <w:tc>
          <w:tcPr>
            <w:tcW w:w="1220" w:type="dxa"/>
            <w:vAlign w:val="bottom"/>
            <w:tcBorders>
              <w:bottom w:val="single" w:sz="8" w:color="CCCCCC"/>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5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 xml:space="preserve">(46) </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​(0.07)</w:t>
            </w:r>
            <w:r>
              <w:rPr>
                <w:rFonts w:ascii="Arial" w:cs="Arial" w:eastAsia="Arial" w:hAnsi="Arial"/>
                <w:sz w:val="28"/>
                <w:szCs w:val="28"/>
                <w:color w:val="auto"/>
                <w:vertAlign w:val="subscript"/>
              </w:rPr>
              <w:t>​​</w:t>
            </w:r>
          </w:p>
        </w:tc>
      </w:tr>
      <w:tr>
        <w:trPr>
          <w:trHeight w:val="291"/>
        </w:trPr>
        <w:tc>
          <w:tcPr>
            <w:tcW w:w="6560" w:type="dxa"/>
            <w:vAlign w:val="bottom"/>
            <w:tcBorders>
              <w:bottom w:val="single" w:sz="8" w:color="CCCCCC"/>
            </w:tcBorders>
            <w:gridSpan w:val="3"/>
            <w:shd w:val="clear" w:color="auto" w:fill="F2F2F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Impacts associated with mergers and divestitures (net of taxes of $165)</w:t>
            </w:r>
            <w:r>
              <w:rPr>
                <w:rFonts w:ascii="Arial" w:cs="Arial" w:eastAsia="Arial" w:hAnsi="Arial"/>
                <w:sz w:val="17"/>
                <w:szCs w:val="17"/>
                <w:color w:val="auto"/>
                <w:vertAlign w:val="superscript"/>
              </w:rPr>
              <w:t>(2)(5)</w:t>
            </w:r>
          </w:p>
        </w:tc>
        <w:tc>
          <w:tcPr>
            <w:tcW w:w="1320" w:type="dxa"/>
            <w:vAlign w:val="bottom"/>
            <w:tcBorders>
              <w:bottom w:val="single" w:sz="8" w:color="CCCCCC"/>
            </w:tcBorders>
            <w:gridSpan w:val="2"/>
            <w:shd w:val="clear" w:color="auto" w:fill="F2F2F2"/>
          </w:tcPr>
          <w:p>
            <w:pPr>
              <w:jc w:val="right"/>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CCCCCC"/>
            </w:tcBorders>
            <w:shd w:val="clear" w:color="auto" w:fill="F2F2F2"/>
          </w:tcPr>
          <w:p>
            <w:pPr>
              <w:ind w:left="8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 xml:space="preserve">(80) </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​(0.13)</w:t>
            </w:r>
            <w:r>
              <w:rPr>
                <w:rFonts w:ascii="Arial" w:cs="Arial" w:eastAsia="Arial" w:hAnsi="Arial"/>
                <w:sz w:val="28"/>
                <w:szCs w:val="28"/>
                <w:color w:val="auto"/>
                <w:vertAlign w:val="subscript"/>
              </w:rPr>
              <w:t>​​</w:t>
            </w:r>
          </w:p>
        </w:tc>
      </w:tr>
      <w:tr>
        <w:trPr>
          <w:trHeight w:val="263"/>
        </w:trPr>
        <w:tc>
          <w:tcPr>
            <w:tcW w:w="656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on a non-GAAP basis</w:t>
            </w:r>
          </w:p>
        </w:tc>
        <w:tc>
          <w:tcPr>
            <w:tcW w:w="1220" w:type="dxa"/>
            <w:vAlign w:val="bottom"/>
            <w:tcBorders>
              <w:bottom w:val="single" w:sz="8" w:color="CCCCCC"/>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80"/>
              <w:spacing w:after="0" w:line="26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873</w:t>
            </w:r>
          </w:p>
        </w:tc>
        <w:tc>
          <w:tcPr>
            <w:tcW w:w="14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$ 1.38 </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-1610995</wp:posOffset>
            </wp:positionV>
            <wp:extent cx="8229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8" w:lineRule="exact"/>
        <w:rPr>
          <w:sz w:val="20"/>
          <w:szCs w:val="20"/>
          <w:color w:val="auto"/>
        </w:rPr>
      </w:pPr>
    </w:p>
    <w:p>
      <w:pPr>
        <w:ind w:left="920" w:right="140" w:hanging="189"/>
        <w:spacing w:after="0" w:line="198" w:lineRule="auto"/>
        <w:tabs>
          <w:tab w:leader="none" w:pos="920" w:val="left"/>
        </w:tabs>
        <w:numPr>
          <w:ilvl w:val="0"/>
          <w:numId w:val="147"/>
        </w:numPr>
        <w:rPr>
          <w:rFonts w:ascii="Arial" w:cs="Arial" w:eastAsia="Arial" w:hAnsi="Arial"/>
          <w:sz w:val="20"/>
          <w:szCs w:val="20"/>
          <w:color w:val="auto"/>
          <w:vertAlign w:val="superscript"/>
        </w:rPr>
      </w:pPr>
      <w:r>
        <w:rPr>
          <w:rFonts w:ascii="Arial" w:cs="Arial" w:eastAsia="Arial" w:hAnsi="Arial"/>
          <w:sz w:val="13"/>
          <w:szCs w:val="13"/>
          <w:color w:val="auto"/>
        </w:rPr>
        <w:t>Quarterly diluted EPS on both a GAAP and non-GAAP basis are based on the weighted average number of shares of common stock outstanding during the quarter, and the sum of the quarters may not equal year-to-date diluted EPS.</w:t>
      </w:r>
    </w:p>
    <w:p>
      <w:pPr>
        <w:spacing w:after="0" w:line="1" w:lineRule="exact"/>
        <w:rPr>
          <w:rFonts w:ascii="Arial" w:cs="Arial" w:eastAsia="Arial" w:hAnsi="Arial"/>
          <w:sz w:val="20"/>
          <w:szCs w:val="20"/>
          <w:color w:val="auto"/>
          <w:vertAlign w:val="superscript"/>
        </w:rPr>
      </w:pPr>
    </w:p>
    <w:p>
      <w:pPr>
        <w:ind w:left="920" w:hanging="189"/>
        <w:spacing w:after="0" w:line="225" w:lineRule="auto"/>
        <w:tabs>
          <w:tab w:leader="none" w:pos="920" w:val="left"/>
        </w:tabs>
        <w:numPr>
          <w:ilvl w:val="0"/>
          <w:numId w:val="147"/>
        </w:numPr>
        <w:rPr>
          <w:rFonts w:ascii="Arial" w:cs="Arial" w:eastAsia="Arial" w:hAnsi="Arial"/>
          <w:sz w:val="20"/>
          <w:szCs w:val="20"/>
          <w:color w:val="auto"/>
          <w:vertAlign w:val="superscript"/>
        </w:rPr>
      </w:pPr>
      <w:r>
        <w:rPr>
          <w:rFonts w:ascii="Arial" w:cs="Arial" w:eastAsia="Arial" w:hAnsi="Arial"/>
          <w:sz w:val="13"/>
          <w:szCs w:val="13"/>
          <w:color w:val="auto"/>
        </w:rPr>
        <w:t>Taxes are computed based on the impact removing such item would have on tax expense.</w:t>
      </w:r>
    </w:p>
    <w:p>
      <w:pPr>
        <w:spacing w:after="0" w:line="62" w:lineRule="exact"/>
        <w:rPr>
          <w:rFonts w:ascii="Arial" w:cs="Arial" w:eastAsia="Arial" w:hAnsi="Arial"/>
          <w:sz w:val="20"/>
          <w:szCs w:val="20"/>
          <w:color w:val="auto"/>
          <w:vertAlign w:val="superscript"/>
        </w:rPr>
      </w:pPr>
    </w:p>
    <w:p>
      <w:pPr>
        <w:ind w:left="920" w:hanging="189"/>
        <w:spacing w:after="0" w:line="200" w:lineRule="auto"/>
        <w:tabs>
          <w:tab w:leader="none" w:pos="920" w:val="left"/>
        </w:tabs>
        <w:numPr>
          <w:ilvl w:val="0"/>
          <w:numId w:val="147"/>
        </w:numPr>
        <w:rPr>
          <w:rFonts w:ascii="Arial" w:cs="Arial" w:eastAsia="Arial" w:hAnsi="Arial"/>
          <w:sz w:val="16"/>
          <w:szCs w:val="16"/>
          <w:color w:val="auto"/>
          <w:vertAlign w:val="superscript"/>
        </w:rPr>
      </w:pPr>
      <w:r>
        <w:rPr>
          <w:rFonts w:ascii="Arial" w:cs="Arial" w:eastAsia="Arial" w:hAnsi="Arial"/>
          <w:sz w:val="11"/>
          <w:szCs w:val="11"/>
          <w:color w:val="auto"/>
        </w:rPr>
        <w:t>Comprised of common stock of AT&amp;T Inc., Charter Communications, Inc., and Warner Bros. Discovery, Inc.</w:t>
      </w:r>
    </w:p>
    <w:p>
      <w:pPr>
        <w:spacing w:after="0" w:line="62" w:lineRule="exact"/>
        <w:rPr>
          <w:rFonts w:ascii="Arial" w:cs="Arial" w:eastAsia="Arial" w:hAnsi="Arial"/>
          <w:sz w:val="16"/>
          <w:szCs w:val="16"/>
          <w:color w:val="auto"/>
          <w:vertAlign w:val="superscript"/>
        </w:rPr>
      </w:pPr>
    </w:p>
    <w:p>
      <w:pPr>
        <w:ind w:left="920" w:right="80" w:hanging="189"/>
        <w:spacing w:after="0" w:line="204" w:lineRule="auto"/>
        <w:tabs>
          <w:tab w:leader="none" w:pos="920" w:val="left"/>
        </w:tabs>
        <w:numPr>
          <w:ilvl w:val="0"/>
          <w:numId w:val="147"/>
        </w:numPr>
        <w:rPr>
          <w:rFonts w:ascii="Arial" w:cs="Arial" w:eastAsia="Arial" w:hAnsi="Arial"/>
          <w:sz w:val="20"/>
          <w:szCs w:val="20"/>
          <w:color w:val="auto"/>
          <w:vertAlign w:val="superscript"/>
        </w:rPr>
      </w:pPr>
      <w:r>
        <w:rPr>
          <w:rFonts w:ascii="Arial" w:cs="Arial" w:eastAsia="Arial" w:hAnsi="Arial"/>
          <w:sz w:val="13"/>
          <w:szCs w:val="13"/>
          <w:color w:val="auto"/>
        </w:rPr>
        <w:t>Includes earnings and expenses related to ownership and disposal of Energy Transfer LP units, a corresponding amount of debt related to the units and an allocation of associated corporate overhead. Includes costs associated with early extinguishment of $600 million debt at CenterPoint Energy, Inc. of approximately $35 million, net of taxes.</w:t>
      </w:r>
    </w:p>
    <w:p>
      <w:pPr>
        <w:spacing w:after="0" w:line="51" w:lineRule="exact"/>
        <w:rPr>
          <w:rFonts w:ascii="Arial" w:cs="Arial" w:eastAsia="Arial" w:hAnsi="Arial"/>
          <w:sz w:val="20"/>
          <w:szCs w:val="20"/>
          <w:color w:val="auto"/>
          <w:vertAlign w:val="superscript"/>
        </w:rPr>
      </w:pPr>
    </w:p>
    <w:p>
      <w:pPr>
        <w:ind w:left="920" w:right="440" w:hanging="189"/>
        <w:spacing w:after="0" w:line="207" w:lineRule="auto"/>
        <w:tabs>
          <w:tab w:leader="none" w:pos="920" w:val="left"/>
        </w:tabs>
        <w:numPr>
          <w:ilvl w:val="0"/>
          <w:numId w:val="147"/>
        </w:numPr>
        <w:rPr>
          <w:rFonts w:ascii="Arial" w:cs="Arial" w:eastAsia="Arial" w:hAnsi="Arial"/>
          <w:sz w:val="20"/>
          <w:szCs w:val="20"/>
          <w:color w:val="auto"/>
          <w:vertAlign w:val="superscript"/>
        </w:rPr>
      </w:pPr>
      <w:r>
        <w:rPr>
          <w:rFonts w:ascii="Arial" w:cs="Arial" w:eastAsia="Arial" w:hAnsi="Arial"/>
          <w:sz w:val="13"/>
          <w:szCs w:val="13"/>
          <w:color w:val="auto"/>
        </w:rPr>
        <w:t>Includes a settlement charge of $35 million, net of tax, related to CenterPoint Energy pension plan’s purchase of a group annuity contract in December 2022 to transfer benefit obligations of CenterPoint Energy’s previously divested businesses to an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112395</wp:posOffset>
            </wp:positionV>
            <wp:extent cx="51435" cy="8058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05815"/>
                    </a:xfrm>
                    <a:prstGeom prst="rect">
                      <a:avLst/>
                    </a:prstGeom>
                    <a:noFill/>
                  </pic:spPr>
                </pic:pic>
              </a:graphicData>
            </a:graphic>
          </wp:anchor>
        </w:drawing>
      </w:r>
    </w:p>
    <w:p>
      <w:pPr>
        <w:spacing w:after="0" w:line="157"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0" w:type="dxa"/>
            <w:vAlign w:val="bottom"/>
            <w:shd w:val="clear" w:color="auto" w:fill="003763"/>
          </w:tcPr>
          <w:p>
            <w:pPr>
              <w:spacing w:after="0"/>
              <w:rPr>
                <w:sz w:val="14"/>
                <w:szCs w:val="14"/>
                <w:color w:val="auto"/>
              </w:rPr>
            </w:pPr>
          </w:p>
        </w:tc>
        <w:tc>
          <w:tcPr>
            <w:tcW w:w="320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1200" w:type="dxa"/>
            <w:vAlign w:val="bottom"/>
            <w:gridSpan w:val="4"/>
            <w:shd w:val="clear" w:color="auto" w:fill="003763"/>
          </w:tcPr>
          <w:p>
            <w:pPr>
              <w:jc w:val="right"/>
              <w:spacing w:after="0"/>
              <w:rPr>
                <w:sz w:val="20"/>
                <w:szCs w:val="20"/>
                <w:color w:val="auto"/>
              </w:rPr>
            </w:pPr>
            <w:r>
              <w:rPr>
                <w:rFonts w:ascii="Arial" w:cs="Arial" w:eastAsia="Arial" w:hAnsi="Arial"/>
                <w:sz w:val="13"/>
                <w:szCs w:val="13"/>
                <w:b w:val="1"/>
                <w:bCs w:val="1"/>
                <w:color w:val="FFFFFF"/>
                <w:w w:val="94"/>
              </w:rPr>
              <w:t>Year-to-Date Ended</w:t>
            </w:r>
          </w:p>
        </w:tc>
        <w:tc>
          <w:tcPr>
            <w:tcW w:w="2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480" w:type="dxa"/>
            <w:vAlign w:val="bottom"/>
            <w:shd w:val="clear" w:color="auto" w:fill="003763"/>
          </w:tcPr>
          <w:p>
            <w:pPr>
              <w:spacing w:after="0"/>
              <w:rPr>
                <w:sz w:val="14"/>
                <w:szCs w:val="14"/>
                <w:color w:val="auto"/>
              </w:rPr>
            </w:pPr>
          </w:p>
        </w:tc>
        <w:tc>
          <w:tcPr>
            <w:tcW w:w="40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36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20" w:type="dxa"/>
            <w:vAlign w:val="bottom"/>
            <w:shd w:val="clear" w:color="auto" w:fill="003763"/>
          </w:tcPr>
          <w:p>
            <w:pPr>
              <w:spacing w:after="0"/>
              <w:rPr>
                <w:sz w:val="14"/>
                <w:szCs w:val="14"/>
                <w:color w:val="auto"/>
              </w:rPr>
            </w:pPr>
          </w:p>
        </w:tc>
        <w:tc>
          <w:tcPr>
            <w:tcW w:w="80" w:type="dxa"/>
            <w:vAlign w:val="bottom"/>
            <w:shd w:val="clear" w:color="auto" w:fill="003763"/>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vMerge w:val="restart"/>
            <w:shd w:val="clear" w:color="auto" w:fill="003763"/>
          </w:tcPr>
          <w:p>
            <w:pPr>
              <w:ind w:left="40"/>
              <w:spacing w:after="0"/>
              <w:rPr>
                <w:sz w:val="20"/>
                <w:szCs w:val="20"/>
                <w:color w:val="auto"/>
              </w:rPr>
            </w:pPr>
            <w:r>
              <w:rPr>
                <w:rFonts w:ascii="Arial" w:cs="Arial" w:eastAsia="Arial" w:hAnsi="Arial"/>
                <w:sz w:val="13"/>
                <w:szCs w:val="13"/>
                <w:b w:val="1"/>
                <w:bCs w:val="1"/>
                <w:color w:val="FFFFFF"/>
              </w:rPr>
              <w:t>​</w:t>
            </w:r>
          </w:p>
        </w:tc>
        <w:tc>
          <w:tcPr>
            <w:tcW w:w="320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1200" w:type="dxa"/>
            <w:vAlign w:val="bottom"/>
            <w:gridSpan w:val="4"/>
            <w:shd w:val="clear" w:color="auto" w:fill="003763"/>
          </w:tcPr>
          <w:p>
            <w:pPr>
              <w:jc w:val="right"/>
              <w:spacing w:after="0"/>
              <w:rPr>
                <w:sz w:val="20"/>
                <w:szCs w:val="20"/>
                <w:color w:val="auto"/>
              </w:rPr>
            </w:pPr>
            <w:r>
              <w:rPr>
                <w:rFonts w:ascii="Arial" w:cs="Arial" w:eastAsia="Arial" w:hAnsi="Arial"/>
                <w:sz w:val="13"/>
                <w:szCs w:val="13"/>
                <w:b w:val="1"/>
                <w:bCs w:val="1"/>
                <w:color w:val="FFFFFF"/>
                <w:w w:val="99"/>
              </w:rPr>
              <w:t>December 31, 2021</w:t>
            </w:r>
          </w:p>
        </w:tc>
        <w:tc>
          <w:tcPr>
            <w:tcW w:w="280" w:type="dxa"/>
            <w:vAlign w:val="bottom"/>
            <w:shd w:val="clear" w:color="auto" w:fill="003763"/>
          </w:tcPr>
          <w:p>
            <w:pPr>
              <w:spacing w:after="0"/>
              <w:rPr>
                <w:sz w:val="14"/>
                <w:szCs w:val="14"/>
                <w:color w:val="auto"/>
              </w:rPr>
            </w:pPr>
          </w:p>
        </w:tc>
        <w:tc>
          <w:tcPr>
            <w:tcW w:w="160" w:type="dxa"/>
            <w:vAlign w:val="bottom"/>
            <w:shd w:val="clear" w:color="auto" w:fill="003763"/>
          </w:tcPr>
          <w:p>
            <w:pPr>
              <w:spacing w:after="0"/>
              <w:rPr>
                <w:sz w:val="14"/>
                <w:szCs w:val="14"/>
                <w:color w:val="auto"/>
              </w:rPr>
            </w:pPr>
          </w:p>
        </w:tc>
        <w:tc>
          <w:tcPr>
            <w:tcW w:w="100" w:type="dxa"/>
            <w:vAlign w:val="bottom"/>
            <w:shd w:val="clear" w:color="auto" w:fill="003763"/>
          </w:tcPr>
          <w:p>
            <w:pPr>
              <w:spacing w:after="0"/>
              <w:rPr>
                <w:sz w:val="14"/>
                <w:szCs w:val="14"/>
                <w:color w:val="auto"/>
              </w:rPr>
            </w:pPr>
          </w:p>
        </w:tc>
        <w:tc>
          <w:tcPr>
            <w:tcW w:w="240" w:type="dxa"/>
            <w:vAlign w:val="bottom"/>
            <w:shd w:val="clear" w:color="auto" w:fill="003763"/>
          </w:tcPr>
          <w:p>
            <w:pPr>
              <w:spacing w:after="0"/>
              <w:rPr>
                <w:sz w:val="14"/>
                <w:szCs w:val="14"/>
                <w:color w:val="auto"/>
              </w:rPr>
            </w:pPr>
          </w:p>
        </w:tc>
        <w:tc>
          <w:tcPr>
            <w:tcW w:w="460" w:type="dxa"/>
            <w:vAlign w:val="bottom"/>
            <w:shd w:val="clear" w:color="auto" w:fill="003763"/>
          </w:tcPr>
          <w:p>
            <w:pPr>
              <w:spacing w:after="0"/>
              <w:rPr>
                <w:sz w:val="14"/>
                <w:szCs w:val="14"/>
                <w:color w:val="auto"/>
              </w:rPr>
            </w:pPr>
          </w:p>
        </w:tc>
        <w:tc>
          <w:tcPr>
            <w:tcW w:w="28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480" w:type="dxa"/>
            <w:vAlign w:val="bottom"/>
            <w:shd w:val="clear" w:color="auto" w:fill="003763"/>
          </w:tcPr>
          <w:p>
            <w:pPr>
              <w:spacing w:after="0"/>
              <w:rPr>
                <w:sz w:val="14"/>
                <w:szCs w:val="14"/>
                <w:color w:val="auto"/>
              </w:rPr>
            </w:pPr>
          </w:p>
        </w:tc>
        <w:tc>
          <w:tcPr>
            <w:tcW w:w="400" w:type="dxa"/>
            <w:vAlign w:val="bottom"/>
            <w:shd w:val="clear" w:color="auto" w:fill="003763"/>
          </w:tcPr>
          <w:p>
            <w:pPr>
              <w:spacing w:after="0"/>
              <w:rPr>
                <w:sz w:val="14"/>
                <w:szCs w:val="14"/>
                <w:color w:val="auto"/>
              </w:rPr>
            </w:pPr>
          </w:p>
        </w:tc>
        <w:tc>
          <w:tcPr>
            <w:tcW w:w="200" w:type="dxa"/>
            <w:vAlign w:val="bottom"/>
            <w:shd w:val="clear" w:color="auto" w:fill="003763"/>
          </w:tcPr>
          <w:p>
            <w:pPr>
              <w:spacing w:after="0"/>
              <w:rPr>
                <w:sz w:val="14"/>
                <w:szCs w:val="14"/>
                <w:color w:val="auto"/>
              </w:rPr>
            </w:pPr>
          </w:p>
        </w:tc>
        <w:tc>
          <w:tcPr>
            <w:tcW w:w="380" w:type="dxa"/>
            <w:vAlign w:val="bottom"/>
            <w:shd w:val="clear" w:color="auto" w:fill="003763"/>
          </w:tcPr>
          <w:p>
            <w:pPr>
              <w:spacing w:after="0"/>
              <w:rPr>
                <w:sz w:val="14"/>
                <w:szCs w:val="14"/>
                <w:color w:val="auto"/>
              </w:rPr>
            </w:pPr>
          </w:p>
        </w:tc>
        <w:tc>
          <w:tcPr>
            <w:tcW w:w="360" w:type="dxa"/>
            <w:vAlign w:val="bottom"/>
            <w:shd w:val="clear" w:color="auto" w:fill="003763"/>
          </w:tcPr>
          <w:p>
            <w:pPr>
              <w:spacing w:after="0"/>
              <w:rPr>
                <w:sz w:val="14"/>
                <w:szCs w:val="14"/>
                <w:color w:val="auto"/>
              </w:rPr>
            </w:pPr>
          </w:p>
        </w:tc>
        <w:tc>
          <w:tcPr>
            <w:tcW w:w="300" w:type="dxa"/>
            <w:vAlign w:val="bottom"/>
            <w:shd w:val="clear" w:color="auto" w:fill="003763"/>
          </w:tcPr>
          <w:p>
            <w:pPr>
              <w:spacing w:after="0"/>
              <w:rPr>
                <w:sz w:val="14"/>
                <w:szCs w:val="14"/>
                <w:color w:val="auto"/>
              </w:rPr>
            </w:pPr>
          </w:p>
        </w:tc>
        <w:tc>
          <w:tcPr>
            <w:tcW w:w="20" w:type="dxa"/>
            <w:vAlign w:val="bottom"/>
            <w:shd w:val="clear" w:color="auto" w:fill="003763"/>
          </w:tcPr>
          <w:p>
            <w:pPr>
              <w:spacing w:after="0"/>
              <w:rPr>
                <w:sz w:val="14"/>
                <w:szCs w:val="14"/>
                <w:color w:val="auto"/>
              </w:rPr>
            </w:pPr>
          </w:p>
        </w:tc>
        <w:tc>
          <w:tcPr>
            <w:tcW w:w="80" w:type="dxa"/>
            <w:vAlign w:val="bottom"/>
            <w:vMerge w:val="restart"/>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7"/>
        </w:trPr>
        <w:tc>
          <w:tcPr>
            <w:tcW w:w="80" w:type="dxa"/>
            <w:vAlign w:val="bottom"/>
            <w:vMerge w:val="continue"/>
            <w:shd w:val="clear" w:color="auto" w:fill="003763"/>
          </w:tcPr>
          <w:p>
            <w:pPr>
              <w:spacing w:after="0"/>
              <w:rPr>
                <w:sz w:val="5"/>
                <w:szCs w:val="5"/>
                <w:color w:val="auto"/>
              </w:rPr>
            </w:pPr>
          </w:p>
        </w:tc>
        <w:tc>
          <w:tcPr>
            <w:tcW w:w="3200" w:type="dxa"/>
            <w:vAlign w:val="bottom"/>
            <w:shd w:val="clear" w:color="auto" w:fill="003763"/>
          </w:tcPr>
          <w:p>
            <w:pPr>
              <w:spacing w:after="0"/>
              <w:rPr>
                <w:sz w:val="5"/>
                <w:szCs w:val="5"/>
                <w:color w:val="auto"/>
              </w:rPr>
            </w:pPr>
          </w:p>
        </w:tc>
        <w:tc>
          <w:tcPr>
            <w:tcW w:w="160" w:type="dxa"/>
            <w:vAlign w:val="bottom"/>
            <w:shd w:val="clear" w:color="auto" w:fill="003763"/>
          </w:tcPr>
          <w:p>
            <w:pPr>
              <w:spacing w:after="0"/>
              <w:rPr>
                <w:sz w:val="5"/>
                <w:szCs w:val="5"/>
                <w:color w:val="auto"/>
              </w:rPr>
            </w:pPr>
          </w:p>
        </w:tc>
        <w:tc>
          <w:tcPr>
            <w:tcW w:w="280" w:type="dxa"/>
            <w:vAlign w:val="bottom"/>
            <w:shd w:val="clear" w:color="auto" w:fill="003763"/>
          </w:tcPr>
          <w:p>
            <w:pPr>
              <w:spacing w:after="0"/>
              <w:rPr>
                <w:sz w:val="5"/>
                <w:szCs w:val="5"/>
                <w:color w:val="auto"/>
              </w:rPr>
            </w:pPr>
          </w:p>
        </w:tc>
        <w:tc>
          <w:tcPr>
            <w:tcW w:w="300" w:type="dxa"/>
            <w:vAlign w:val="bottom"/>
            <w:shd w:val="clear" w:color="auto" w:fill="003763"/>
          </w:tcPr>
          <w:p>
            <w:pPr>
              <w:spacing w:after="0"/>
              <w:rPr>
                <w:sz w:val="5"/>
                <w:szCs w:val="5"/>
                <w:color w:val="auto"/>
              </w:rPr>
            </w:pPr>
          </w:p>
        </w:tc>
        <w:tc>
          <w:tcPr>
            <w:tcW w:w="340" w:type="dxa"/>
            <w:vAlign w:val="bottom"/>
            <w:shd w:val="clear" w:color="auto" w:fill="003763"/>
          </w:tcPr>
          <w:p>
            <w:pPr>
              <w:spacing w:after="0"/>
              <w:rPr>
                <w:sz w:val="5"/>
                <w:szCs w:val="5"/>
                <w:color w:val="auto"/>
              </w:rPr>
            </w:pPr>
          </w:p>
        </w:tc>
        <w:tc>
          <w:tcPr>
            <w:tcW w:w="280" w:type="dxa"/>
            <w:vAlign w:val="bottom"/>
            <w:shd w:val="clear" w:color="auto" w:fill="003763"/>
          </w:tcPr>
          <w:p>
            <w:pPr>
              <w:spacing w:after="0"/>
              <w:rPr>
                <w:sz w:val="5"/>
                <w:szCs w:val="5"/>
                <w:color w:val="auto"/>
              </w:rPr>
            </w:pPr>
          </w:p>
        </w:tc>
        <w:tc>
          <w:tcPr>
            <w:tcW w:w="220" w:type="dxa"/>
            <w:vAlign w:val="bottom"/>
            <w:shd w:val="clear" w:color="auto" w:fill="003763"/>
          </w:tcPr>
          <w:p>
            <w:pPr>
              <w:spacing w:after="0"/>
              <w:rPr>
                <w:sz w:val="5"/>
                <w:szCs w:val="5"/>
                <w:color w:val="auto"/>
              </w:rPr>
            </w:pPr>
          </w:p>
        </w:tc>
        <w:tc>
          <w:tcPr>
            <w:tcW w:w="360" w:type="dxa"/>
            <w:vAlign w:val="bottom"/>
            <w:shd w:val="clear" w:color="auto" w:fill="003763"/>
          </w:tcPr>
          <w:p>
            <w:pPr>
              <w:spacing w:after="0"/>
              <w:rPr>
                <w:sz w:val="5"/>
                <w:szCs w:val="5"/>
                <w:color w:val="auto"/>
              </w:rPr>
            </w:pPr>
          </w:p>
        </w:tc>
        <w:tc>
          <w:tcPr>
            <w:tcW w:w="280" w:type="dxa"/>
            <w:vAlign w:val="bottom"/>
            <w:shd w:val="clear" w:color="auto" w:fill="003763"/>
          </w:tcPr>
          <w:p>
            <w:pPr>
              <w:spacing w:after="0"/>
              <w:rPr>
                <w:sz w:val="5"/>
                <w:szCs w:val="5"/>
                <w:color w:val="auto"/>
              </w:rPr>
            </w:pPr>
          </w:p>
        </w:tc>
        <w:tc>
          <w:tcPr>
            <w:tcW w:w="160" w:type="dxa"/>
            <w:vAlign w:val="bottom"/>
            <w:shd w:val="clear" w:color="auto" w:fill="003763"/>
          </w:tcPr>
          <w:p>
            <w:pPr>
              <w:spacing w:after="0"/>
              <w:rPr>
                <w:sz w:val="5"/>
                <w:szCs w:val="5"/>
                <w:color w:val="auto"/>
              </w:rPr>
            </w:pPr>
          </w:p>
        </w:tc>
        <w:tc>
          <w:tcPr>
            <w:tcW w:w="100" w:type="dxa"/>
            <w:vAlign w:val="bottom"/>
            <w:shd w:val="clear" w:color="auto" w:fill="003763"/>
          </w:tcPr>
          <w:p>
            <w:pPr>
              <w:spacing w:after="0"/>
              <w:rPr>
                <w:sz w:val="5"/>
                <w:szCs w:val="5"/>
                <w:color w:val="auto"/>
              </w:rPr>
            </w:pPr>
          </w:p>
        </w:tc>
        <w:tc>
          <w:tcPr>
            <w:tcW w:w="240" w:type="dxa"/>
            <w:vAlign w:val="bottom"/>
            <w:shd w:val="clear" w:color="auto" w:fill="003763"/>
          </w:tcPr>
          <w:p>
            <w:pPr>
              <w:spacing w:after="0"/>
              <w:rPr>
                <w:sz w:val="5"/>
                <w:szCs w:val="5"/>
                <w:color w:val="auto"/>
              </w:rPr>
            </w:pPr>
          </w:p>
        </w:tc>
        <w:tc>
          <w:tcPr>
            <w:tcW w:w="460" w:type="dxa"/>
            <w:vAlign w:val="bottom"/>
            <w:shd w:val="clear" w:color="auto" w:fill="003763"/>
          </w:tcPr>
          <w:p>
            <w:pPr>
              <w:spacing w:after="0"/>
              <w:rPr>
                <w:sz w:val="5"/>
                <w:szCs w:val="5"/>
                <w:color w:val="auto"/>
              </w:rPr>
            </w:pPr>
          </w:p>
        </w:tc>
        <w:tc>
          <w:tcPr>
            <w:tcW w:w="280" w:type="dxa"/>
            <w:vAlign w:val="bottom"/>
            <w:shd w:val="clear" w:color="auto" w:fill="003763"/>
          </w:tcPr>
          <w:p>
            <w:pPr>
              <w:spacing w:after="0"/>
              <w:rPr>
                <w:sz w:val="5"/>
                <w:szCs w:val="5"/>
                <w:color w:val="auto"/>
              </w:rPr>
            </w:pPr>
          </w:p>
        </w:tc>
        <w:tc>
          <w:tcPr>
            <w:tcW w:w="300" w:type="dxa"/>
            <w:vAlign w:val="bottom"/>
            <w:shd w:val="clear" w:color="auto" w:fill="003763"/>
          </w:tcPr>
          <w:p>
            <w:pPr>
              <w:spacing w:after="0"/>
              <w:rPr>
                <w:sz w:val="5"/>
                <w:szCs w:val="5"/>
                <w:color w:val="auto"/>
              </w:rPr>
            </w:pPr>
          </w:p>
        </w:tc>
        <w:tc>
          <w:tcPr>
            <w:tcW w:w="480" w:type="dxa"/>
            <w:vAlign w:val="bottom"/>
            <w:shd w:val="clear" w:color="auto" w:fill="003763"/>
          </w:tcPr>
          <w:p>
            <w:pPr>
              <w:spacing w:after="0"/>
              <w:rPr>
                <w:sz w:val="5"/>
                <w:szCs w:val="5"/>
                <w:color w:val="auto"/>
              </w:rPr>
            </w:pPr>
          </w:p>
        </w:tc>
        <w:tc>
          <w:tcPr>
            <w:tcW w:w="400" w:type="dxa"/>
            <w:vAlign w:val="bottom"/>
            <w:shd w:val="clear" w:color="auto" w:fill="003763"/>
          </w:tcPr>
          <w:p>
            <w:pPr>
              <w:spacing w:after="0"/>
              <w:rPr>
                <w:sz w:val="5"/>
                <w:szCs w:val="5"/>
                <w:color w:val="auto"/>
              </w:rPr>
            </w:pPr>
          </w:p>
        </w:tc>
        <w:tc>
          <w:tcPr>
            <w:tcW w:w="200" w:type="dxa"/>
            <w:vAlign w:val="bottom"/>
            <w:shd w:val="clear" w:color="auto" w:fill="003763"/>
          </w:tcPr>
          <w:p>
            <w:pPr>
              <w:spacing w:after="0"/>
              <w:rPr>
                <w:sz w:val="5"/>
                <w:szCs w:val="5"/>
                <w:color w:val="auto"/>
              </w:rPr>
            </w:pPr>
          </w:p>
        </w:tc>
        <w:tc>
          <w:tcPr>
            <w:tcW w:w="380" w:type="dxa"/>
            <w:vAlign w:val="bottom"/>
            <w:shd w:val="clear" w:color="auto" w:fill="003763"/>
          </w:tcPr>
          <w:p>
            <w:pPr>
              <w:spacing w:after="0"/>
              <w:rPr>
                <w:sz w:val="5"/>
                <w:szCs w:val="5"/>
                <w:color w:val="auto"/>
              </w:rPr>
            </w:pPr>
          </w:p>
        </w:tc>
        <w:tc>
          <w:tcPr>
            <w:tcW w:w="360" w:type="dxa"/>
            <w:vAlign w:val="bottom"/>
            <w:shd w:val="clear" w:color="auto" w:fill="003763"/>
          </w:tcPr>
          <w:p>
            <w:pPr>
              <w:spacing w:after="0"/>
              <w:rPr>
                <w:sz w:val="5"/>
                <w:szCs w:val="5"/>
                <w:color w:val="auto"/>
              </w:rPr>
            </w:pPr>
          </w:p>
        </w:tc>
        <w:tc>
          <w:tcPr>
            <w:tcW w:w="300" w:type="dxa"/>
            <w:vAlign w:val="bottom"/>
            <w:shd w:val="clear" w:color="auto" w:fill="003763"/>
          </w:tcPr>
          <w:p>
            <w:pPr>
              <w:spacing w:after="0"/>
              <w:rPr>
                <w:sz w:val="5"/>
                <w:szCs w:val="5"/>
                <w:color w:val="auto"/>
              </w:rPr>
            </w:pPr>
          </w:p>
        </w:tc>
        <w:tc>
          <w:tcPr>
            <w:tcW w:w="20" w:type="dxa"/>
            <w:vAlign w:val="bottom"/>
            <w:shd w:val="clear" w:color="auto" w:fill="003763"/>
          </w:tcPr>
          <w:p>
            <w:pPr>
              <w:spacing w:after="0"/>
              <w:rPr>
                <w:sz w:val="5"/>
                <w:szCs w:val="5"/>
                <w:color w:val="auto"/>
              </w:rPr>
            </w:pPr>
          </w:p>
        </w:tc>
        <w:tc>
          <w:tcPr>
            <w:tcW w:w="80" w:type="dxa"/>
            <w:vAlign w:val="bottom"/>
            <w:tcBorders>
              <w:bottom w:val="single" w:sz="8" w:color="003763"/>
            </w:tcBorders>
            <w:vMerge w:val="continue"/>
            <w:shd w:val="clear" w:color="auto" w:fill="003763"/>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3"/>
          </w:tcPr>
          <w:p>
            <w:pPr>
              <w:jc w:val="center"/>
              <w:ind w:left="90"/>
              <w:spacing w:after="0"/>
              <w:rPr>
                <w:sz w:val="20"/>
                <w:szCs w:val="20"/>
                <w:color w:val="auto"/>
              </w:rPr>
            </w:pPr>
            <w:r>
              <w:rPr>
                <w:rFonts w:ascii="Arial" w:cs="Arial" w:eastAsia="Arial" w:hAnsi="Arial"/>
                <w:sz w:val="13"/>
                <w:szCs w:val="13"/>
                <w:b w:val="1"/>
                <w:bCs w:val="1"/>
                <w:color w:val="FFFFFF"/>
                <w:w w:val="96"/>
              </w:rPr>
              <w:t>Corporate and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ind w:left="40"/>
              <w:spacing w:after="0"/>
              <w:rPr>
                <w:sz w:val="20"/>
                <w:szCs w:val="20"/>
                <w:color w:val="auto"/>
              </w:rPr>
            </w:pPr>
            <w:r>
              <w:rPr>
                <w:rFonts w:ascii="Arial" w:cs="Arial" w:eastAsia="Arial" w:hAnsi="Arial"/>
                <w:sz w:val="13"/>
                <w:szCs w:val="13"/>
                <w:b w:val="1"/>
                <w:bCs w:val="1"/>
                <w:color w:val="FFFFFF"/>
              </w:rPr>
              <w:t>​ ​</w:t>
            </w:r>
          </w:p>
        </w:tc>
        <w:tc>
          <w:tcPr>
            <w:tcW w:w="1200" w:type="dxa"/>
            <w:vAlign w:val="bottom"/>
            <w:gridSpan w:val="4"/>
          </w:tcPr>
          <w:p>
            <w:pPr>
              <w:ind w:left="100"/>
              <w:spacing w:after="0"/>
              <w:rPr>
                <w:sz w:val="20"/>
                <w:szCs w:val="20"/>
                <w:color w:val="auto"/>
              </w:rPr>
            </w:pPr>
            <w:r>
              <w:rPr>
                <w:rFonts w:ascii="Arial" w:cs="Arial" w:eastAsia="Arial" w:hAnsi="Arial"/>
                <w:sz w:val="13"/>
                <w:szCs w:val="13"/>
                <w:b w:val="1"/>
                <w:bCs w:val="1"/>
                <w:color w:val="FFFFFF"/>
                <w:w w:val="99"/>
              </w:rPr>
              <w:t>Utility Operations</w:t>
            </w:r>
          </w:p>
        </w:tc>
        <w:tc>
          <w:tcPr>
            <w:tcW w:w="1820" w:type="dxa"/>
            <w:vAlign w:val="bottom"/>
            <w:gridSpan w:val="7"/>
          </w:tcPr>
          <w:p>
            <w:pPr>
              <w:jc w:val="right"/>
              <w:spacing w:after="0" w:line="24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Midstream Investments </w:t>
            </w:r>
            <w:r>
              <w:rPr>
                <w:rFonts w:ascii="Arial" w:cs="Arial" w:eastAsia="Arial" w:hAnsi="Arial"/>
                <w:sz w:val="25"/>
                <w:szCs w:val="25"/>
                <w:b w:val="1"/>
                <w:bCs w:val="1"/>
                <w:color w:val="FFFFFF"/>
                <w:vertAlign w:val="subscript"/>
              </w:rPr>
              <w:t>​ ​</w:t>
            </w:r>
          </w:p>
        </w:tc>
        <w:tc>
          <w:tcPr>
            <w:tcW w:w="280" w:type="dxa"/>
            <w:vAlign w:val="bottom"/>
          </w:tcPr>
          <w:p>
            <w:pPr>
              <w:spacing w:after="0"/>
              <w:rPr>
                <w:sz w:val="21"/>
                <w:szCs w:val="21"/>
                <w:color w:val="auto"/>
              </w:rPr>
            </w:pPr>
          </w:p>
        </w:tc>
        <w:tc>
          <w:tcPr>
            <w:tcW w:w="780" w:type="dxa"/>
            <w:vAlign w:val="bottom"/>
            <w:gridSpan w:val="2"/>
          </w:tcPr>
          <w:p>
            <w:pPr>
              <w:jc w:val="center"/>
              <w:ind w:right="9"/>
              <w:spacing w:after="0"/>
              <w:rPr>
                <w:sz w:val="20"/>
                <w:szCs w:val="20"/>
                <w:color w:val="auto"/>
              </w:rPr>
            </w:pPr>
            <w:r>
              <w:rPr>
                <w:rFonts w:ascii="Arial" w:cs="Arial" w:eastAsia="Arial" w:hAnsi="Arial"/>
                <w:sz w:val="13"/>
                <w:szCs w:val="13"/>
                <w:b w:val="1"/>
                <w:bCs w:val="1"/>
                <w:color w:val="FFFFFF"/>
                <w:w w:val="87"/>
              </w:rPr>
              <w:t>Other</w:t>
            </w:r>
            <w:r>
              <w:rPr>
                <w:rFonts w:ascii="Arial" w:cs="Arial" w:eastAsia="Arial" w:hAnsi="Arial"/>
                <w:sz w:val="16"/>
                <w:szCs w:val="16"/>
                <w:b w:val="1"/>
                <w:bCs w:val="1"/>
                <w:color w:val="FFFFFF"/>
                <w:w w:val="87"/>
                <w:vertAlign w:val="superscript"/>
              </w:rPr>
              <w:t>(7)</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FFFFFF"/>
              </w:rPr>
              <w:t>​ ​</w:t>
            </w:r>
          </w:p>
        </w:tc>
        <w:tc>
          <w:tcPr>
            <w:tcW w:w="200" w:type="dxa"/>
            <w:vAlign w:val="bottom"/>
          </w:tcPr>
          <w:p>
            <w:pPr>
              <w:spacing w:after="0"/>
              <w:rPr>
                <w:sz w:val="21"/>
                <w:szCs w:val="21"/>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FFFFFF"/>
              </w:rPr>
              <w:t>Consolidated</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shd w:val="clear" w:color="auto" w:fill="003763"/>
          </w:tcPr>
          <w:p>
            <w:pPr>
              <w:spacing w:after="0"/>
              <w:rPr>
                <w:sz w:val="16"/>
                <w:szCs w:val="16"/>
                <w:color w:val="auto"/>
              </w:rPr>
            </w:pPr>
          </w:p>
        </w:tc>
        <w:tc>
          <w:tcPr>
            <w:tcW w:w="580" w:type="dxa"/>
            <w:vAlign w:val="bottom"/>
            <w:gridSpan w:val="2"/>
            <w:shd w:val="clear" w:color="auto" w:fill="003763"/>
          </w:tcPr>
          <w:p>
            <w:pPr>
              <w:spacing w:after="0"/>
              <w:rPr>
                <w:sz w:val="20"/>
                <w:szCs w:val="20"/>
                <w:color w:val="auto"/>
              </w:rPr>
            </w:pPr>
            <w:r>
              <w:rPr>
                <w:rFonts w:ascii="Arial" w:cs="Arial" w:eastAsia="Arial" w:hAnsi="Arial"/>
                <w:sz w:val="13"/>
                <w:szCs w:val="13"/>
                <w:b w:val="1"/>
                <w:bCs w:val="1"/>
                <w:color w:val="FFFFFF"/>
                <w:w w:val="94"/>
              </w:rPr>
              <w:t>Dollars in</w:t>
            </w:r>
          </w:p>
        </w:tc>
        <w:tc>
          <w:tcPr>
            <w:tcW w:w="620" w:type="dxa"/>
            <w:vAlign w:val="bottom"/>
            <w:gridSpan w:val="2"/>
            <w:shd w:val="clear" w:color="auto" w:fill="003763"/>
          </w:tcPr>
          <w:p>
            <w:pPr>
              <w:ind w:left="180"/>
              <w:spacing w:after="0"/>
              <w:rPr>
                <w:sz w:val="20"/>
                <w:szCs w:val="20"/>
                <w:color w:val="auto"/>
              </w:rPr>
            </w:pPr>
            <w:r>
              <w:rPr>
                <w:rFonts w:ascii="Arial" w:cs="Arial" w:eastAsia="Arial" w:hAnsi="Arial"/>
                <w:sz w:val="13"/>
                <w:szCs w:val="13"/>
                <w:b w:val="1"/>
                <w:bCs w:val="1"/>
                <w:color w:val="FFFFFF"/>
                <w:w w:val="95"/>
              </w:rPr>
              <w:t>Diluted</w:t>
            </w:r>
          </w:p>
        </w:tc>
        <w:tc>
          <w:tcPr>
            <w:tcW w:w="220" w:type="dxa"/>
            <w:vAlign w:val="bottom"/>
            <w:shd w:val="clear" w:color="auto" w:fill="003763"/>
          </w:tcPr>
          <w:p>
            <w:pPr>
              <w:spacing w:after="0"/>
              <w:rPr>
                <w:sz w:val="16"/>
                <w:szCs w:val="16"/>
                <w:color w:val="auto"/>
              </w:rPr>
            </w:pPr>
          </w:p>
        </w:tc>
        <w:tc>
          <w:tcPr>
            <w:tcW w:w="640" w:type="dxa"/>
            <w:vAlign w:val="bottom"/>
            <w:gridSpan w:val="2"/>
            <w:shd w:val="clear" w:color="auto" w:fill="003763"/>
          </w:tcPr>
          <w:p>
            <w:pPr>
              <w:ind w:left="20"/>
              <w:spacing w:after="0"/>
              <w:rPr>
                <w:sz w:val="20"/>
                <w:szCs w:val="20"/>
                <w:color w:val="auto"/>
              </w:rPr>
            </w:pPr>
            <w:r>
              <w:rPr>
                <w:rFonts w:ascii="Arial" w:cs="Arial" w:eastAsia="Arial" w:hAnsi="Arial"/>
                <w:sz w:val="13"/>
                <w:szCs w:val="13"/>
                <w:b w:val="1"/>
                <w:bCs w:val="1"/>
                <w:color w:val="FFFFFF"/>
              </w:rPr>
              <w:t>Dollars in</w:t>
            </w:r>
          </w:p>
        </w:tc>
        <w:tc>
          <w:tcPr>
            <w:tcW w:w="160" w:type="dxa"/>
            <w:vAlign w:val="bottom"/>
            <w:shd w:val="clear" w:color="auto" w:fill="003763"/>
          </w:tcPr>
          <w:p>
            <w:pPr>
              <w:spacing w:after="0"/>
              <w:rPr>
                <w:sz w:val="16"/>
                <w:szCs w:val="16"/>
                <w:color w:val="auto"/>
              </w:rPr>
            </w:pPr>
          </w:p>
        </w:tc>
        <w:tc>
          <w:tcPr>
            <w:tcW w:w="100" w:type="dxa"/>
            <w:vAlign w:val="bottom"/>
            <w:shd w:val="clear" w:color="auto" w:fill="003763"/>
          </w:tcPr>
          <w:p>
            <w:pPr>
              <w:spacing w:after="0"/>
              <w:rPr>
                <w:sz w:val="16"/>
                <w:szCs w:val="16"/>
                <w:color w:val="auto"/>
              </w:rPr>
            </w:pPr>
          </w:p>
        </w:tc>
        <w:tc>
          <w:tcPr>
            <w:tcW w:w="700" w:type="dxa"/>
            <w:vAlign w:val="bottom"/>
            <w:gridSpan w:val="2"/>
            <w:shd w:val="clear" w:color="auto" w:fill="003763"/>
          </w:tcPr>
          <w:p>
            <w:pPr>
              <w:jc w:val="right"/>
              <w:ind w:right="188"/>
              <w:spacing w:after="0"/>
              <w:rPr>
                <w:sz w:val="20"/>
                <w:szCs w:val="20"/>
                <w:color w:val="auto"/>
              </w:rPr>
            </w:pPr>
            <w:r>
              <w:rPr>
                <w:rFonts w:ascii="Arial" w:cs="Arial" w:eastAsia="Arial" w:hAnsi="Arial"/>
                <w:sz w:val="13"/>
                <w:szCs w:val="13"/>
                <w:b w:val="1"/>
                <w:bCs w:val="1"/>
                <w:color w:val="FFFFFF"/>
                <w:w w:val="95"/>
              </w:rPr>
              <w:t>Diluted</w:t>
            </w:r>
          </w:p>
        </w:tc>
        <w:tc>
          <w:tcPr>
            <w:tcW w:w="5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4"/>
              </w:rPr>
              <w:t>Dollars in</w:t>
            </w:r>
          </w:p>
        </w:tc>
        <w:tc>
          <w:tcPr>
            <w:tcW w:w="880" w:type="dxa"/>
            <w:vAlign w:val="bottom"/>
            <w:gridSpan w:val="2"/>
            <w:shd w:val="clear" w:color="auto" w:fill="003763"/>
          </w:tcPr>
          <w:p>
            <w:pPr>
              <w:jc w:val="right"/>
              <w:ind w:right="170"/>
              <w:spacing w:after="0"/>
              <w:rPr>
                <w:sz w:val="20"/>
                <w:szCs w:val="20"/>
                <w:color w:val="auto"/>
              </w:rPr>
            </w:pPr>
            <w:r>
              <w:rPr>
                <w:rFonts w:ascii="Arial" w:cs="Arial" w:eastAsia="Arial" w:hAnsi="Arial"/>
                <w:sz w:val="13"/>
                <w:szCs w:val="13"/>
                <w:b w:val="1"/>
                <w:bCs w:val="1"/>
                <w:color w:val="FFFFFF"/>
              </w:rPr>
              <w:t>Diluted</w:t>
            </w:r>
          </w:p>
        </w:tc>
        <w:tc>
          <w:tcPr>
            <w:tcW w:w="580" w:type="dxa"/>
            <w:vAlign w:val="bottom"/>
            <w:gridSpan w:val="2"/>
            <w:shd w:val="clear" w:color="auto" w:fill="003763"/>
          </w:tcPr>
          <w:p>
            <w:pPr>
              <w:spacing w:after="0"/>
              <w:rPr>
                <w:sz w:val="20"/>
                <w:szCs w:val="20"/>
                <w:color w:val="auto"/>
              </w:rPr>
            </w:pPr>
            <w:r>
              <w:rPr>
                <w:rFonts w:ascii="Arial" w:cs="Arial" w:eastAsia="Arial" w:hAnsi="Arial"/>
                <w:sz w:val="13"/>
                <w:szCs w:val="13"/>
                <w:b w:val="1"/>
                <w:bCs w:val="1"/>
                <w:color w:val="FFFFFF"/>
                <w:w w:val="94"/>
              </w:rPr>
              <w:t>Dollars in</w:t>
            </w:r>
          </w:p>
        </w:tc>
        <w:tc>
          <w:tcPr>
            <w:tcW w:w="660" w:type="dxa"/>
            <w:vAlign w:val="bottom"/>
            <w:gridSpan w:val="2"/>
            <w:shd w:val="clear" w:color="auto" w:fill="003763"/>
          </w:tcPr>
          <w:p>
            <w:pPr>
              <w:ind w:left="220"/>
              <w:spacing w:after="0"/>
              <w:rPr>
                <w:sz w:val="20"/>
                <w:szCs w:val="20"/>
                <w:color w:val="auto"/>
              </w:rPr>
            </w:pPr>
            <w:r>
              <w:rPr>
                <w:rFonts w:ascii="Arial" w:cs="Arial" w:eastAsia="Arial" w:hAnsi="Arial"/>
                <w:sz w:val="13"/>
                <w:szCs w:val="13"/>
                <w:b w:val="1"/>
                <w:bCs w:val="1"/>
                <w:color w:val="FFFFFF"/>
                <w:w w:val="95"/>
              </w:rPr>
              <w:t>Diluted</w:t>
            </w:r>
          </w:p>
        </w:tc>
        <w:tc>
          <w:tcPr>
            <w:tcW w:w="20" w:type="dxa"/>
            <w:vAlign w:val="bottom"/>
            <w:shd w:val="clear" w:color="auto" w:fill="003763"/>
          </w:tcPr>
          <w:p>
            <w:pPr>
              <w:spacing w:after="0"/>
              <w:rPr>
                <w:sz w:val="16"/>
                <w:szCs w:val="16"/>
                <w:color w:val="auto"/>
              </w:rPr>
            </w:pPr>
          </w:p>
        </w:tc>
        <w:tc>
          <w:tcPr>
            <w:tcW w:w="8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line="244"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5"/>
                <w:szCs w:val="25"/>
                <w:b w:val="1"/>
                <w:bCs w:val="1"/>
                <w:color w:val="FFFFFF"/>
                <w:vertAlign w:val="superscript"/>
              </w:rPr>
              <w:t>​</w:t>
            </w:r>
          </w:p>
        </w:tc>
        <w:tc>
          <w:tcPr>
            <w:tcW w:w="16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rPr>
              <w:t>​ ​</w:t>
            </w:r>
          </w:p>
        </w:tc>
        <w:tc>
          <w:tcPr>
            <w:tcW w:w="580" w:type="dxa"/>
            <w:vAlign w:val="bottom"/>
            <w:gridSpan w:val="2"/>
            <w:shd w:val="clear" w:color="auto" w:fill="003763"/>
          </w:tcPr>
          <w:p>
            <w:pPr>
              <w:ind w:left="60"/>
              <w:spacing w:after="0"/>
              <w:rPr>
                <w:sz w:val="20"/>
                <w:szCs w:val="20"/>
                <w:color w:val="auto"/>
              </w:rPr>
            </w:pPr>
            <w:r>
              <w:rPr>
                <w:rFonts w:ascii="Arial" w:cs="Arial" w:eastAsia="Arial" w:hAnsi="Arial"/>
                <w:sz w:val="13"/>
                <w:szCs w:val="13"/>
                <w:b w:val="1"/>
                <w:bCs w:val="1"/>
                <w:color w:val="FFFFFF"/>
              </w:rPr>
              <w:t>millions</w:t>
            </w:r>
          </w:p>
        </w:tc>
        <w:tc>
          <w:tcPr>
            <w:tcW w:w="620" w:type="dxa"/>
            <w:vAlign w:val="bottom"/>
            <w:gridSpan w:val="2"/>
            <w:shd w:val="clear" w:color="auto" w:fill="003763"/>
          </w:tcPr>
          <w:p>
            <w:pPr>
              <w:ind w:left="60"/>
              <w:spacing w:after="0" w:line="24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p>
        </w:tc>
        <w:tc>
          <w:tcPr>
            <w:tcW w:w="22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 ​</w:t>
            </w:r>
          </w:p>
        </w:tc>
        <w:tc>
          <w:tcPr>
            <w:tcW w:w="640" w:type="dxa"/>
            <w:vAlign w:val="bottom"/>
            <w:gridSpan w:val="2"/>
            <w:shd w:val="clear" w:color="auto" w:fill="003763"/>
          </w:tcPr>
          <w:p>
            <w:pPr>
              <w:ind w:left="100"/>
              <w:spacing w:after="0"/>
              <w:rPr>
                <w:sz w:val="20"/>
                <w:szCs w:val="20"/>
                <w:color w:val="auto"/>
              </w:rPr>
            </w:pPr>
            <w:r>
              <w:rPr>
                <w:rFonts w:ascii="Arial" w:cs="Arial" w:eastAsia="Arial" w:hAnsi="Arial"/>
                <w:sz w:val="13"/>
                <w:szCs w:val="13"/>
                <w:b w:val="1"/>
                <w:bCs w:val="1"/>
                <w:color w:val="FFFFFF"/>
              </w:rPr>
              <w:t>millions</w:t>
            </w:r>
          </w:p>
        </w:tc>
        <w:tc>
          <w:tcPr>
            <w:tcW w:w="16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700" w:type="dxa"/>
            <w:vAlign w:val="bottom"/>
            <w:gridSpan w:val="2"/>
            <w:shd w:val="clear" w:color="auto" w:fill="003763"/>
          </w:tcPr>
          <w:p>
            <w:pPr>
              <w:jc w:val="right"/>
              <w:spacing w:after="0" w:line="244" w:lineRule="exact"/>
              <w:rPr>
                <w:sz w:val="20"/>
                <w:szCs w:val="20"/>
                <w:color w:val="auto"/>
              </w:rPr>
            </w:pPr>
            <w:r>
              <w:rPr>
                <w:rFonts w:ascii="Arial" w:cs="Arial" w:eastAsia="Arial" w:hAnsi="Arial"/>
                <w:sz w:val="13"/>
                <w:szCs w:val="13"/>
                <w:b w:val="1"/>
                <w:bCs w:val="1"/>
                <w:color w:val="FFFFFF"/>
              </w:rPr>
              <w:t>EPS</w:t>
            </w:r>
            <w:r>
              <w:rPr>
                <w:rFonts w:ascii="Arial" w:cs="Arial" w:eastAsia="Arial" w:hAnsi="Arial"/>
                <w:sz w:val="16"/>
                <w:szCs w:val="16"/>
                <w:b w:val="1"/>
                <w:bCs w:val="1"/>
                <w:color w:val="FFFFFF"/>
                <w:vertAlign w:val="superscript"/>
              </w:rPr>
              <w:t>(1)</w:t>
            </w:r>
            <w:r>
              <w:rPr>
                <w:rFonts w:ascii="Arial" w:cs="Arial" w:eastAsia="Arial" w:hAnsi="Arial"/>
                <w:sz w:val="13"/>
                <w:szCs w:val="13"/>
                <w:b w:val="1"/>
                <w:bCs w:val="1"/>
                <w:color w:val="FFFFFF"/>
              </w:rPr>
              <w:t xml:space="preserve">   </w:t>
            </w:r>
            <w:r>
              <w:rPr>
                <w:rFonts w:ascii="Arial" w:cs="Arial" w:eastAsia="Arial" w:hAnsi="Arial"/>
                <w:sz w:val="25"/>
                <w:szCs w:val="25"/>
                <w:b w:val="1"/>
                <w:bCs w:val="1"/>
                <w:color w:val="FFFFFF"/>
                <w:vertAlign w:val="subscript"/>
              </w:rPr>
              <w:t>​ ​</w:t>
            </w:r>
          </w:p>
        </w:tc>
        <w:tc>
          <w:tcPr>
            <w:tcW w:w="580" w:type="dxa"/>
            <w:vAlign w:val="bottom"/>
            <w:gridSpan w:val="2"/>
            <w:shd w:val="clear" w:color="auto" w:fill="003763"/>
          </w:tcPr>
          <w:p>
            <w:pPr>
              <w:jc w:val="center"/>
              <w:spacing w:after="0"/>
              <w:rPr>
                <w:sz w:val="20"/>
                <w:szCs w:val="20"/>
                <w:color w:val="auto"/>
              </w:rPr>
            </w:pPr>
            <w:r>
              <w:rPr>
                <w:rFonts w:ascii="Arial" w:cs="Arial" w:eastAsia="Arial" w:hAnsi="Arial"/>
                <w:sz w:val="13"/>
                <w:szCs w:val="13"/>
                <w:b w:val="1"/>
                <w:bCs w:val="1"/>
                <w:color w:val="FFFFFF"/>
                <w:w w:val="97"/>
              </w:rPr>
              <w:t>millions</w:t>
            </w:r>
          </w:p>
        </w:tc>
        <w:tc>
          <w:tcPr>
            <w:tcW w:w="880" w:type="dxa"/>
            <w:vAlign w:val="bottom"/>
            <w:gridSpan w:val="2"/>
            <w:shd w:val="clear" w:color="auto" w:fill="003763"/>
          </w:tcPr>
          <w:p>
            <w:pPr>
              <w:jc w:val="right"/>
              <w:spacing w:after="0" w:line="24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r>
              <w:rPr>
                <w:rFonts w:ascii="Arial" w:cs="Arial" w:eastAsia="Arial" w:hAnsi="Arial"/>
                <w:sz w:val="13"/>
                <w:szCs w:val="13"/>
                <w:b w:val="1"/>
                <w:bCs w:val="1"/>
                <w:color w:val="FFFFFF"/>
              </w:rPr>
              <w:t xml:space="preserve">   </w:t>
            </w:r>
            <w:r>
              <w:rPr>
                <w:rFonts w:ascii="Arial" w:cs="Arial" w:eastAsia="Arial" w:hAnsi="Arial"/>
                <w:sz w:val="25"/>
                <w:szCs w:val="25"/>
                <w:b w:val="1"/>
                <w:bCs w:val="1"/>
                <w:color w:val="FFFFFF"/>
                <w:vertAlign w:val="subscript"/>
              </w:rPr>
              <w:t>​ ​</w:t>
            </w:r>
          </w:p>
        </w:tc>
        <w:tc>
          <w:tcPr>
            <w:tcW w:w="580" w:type="dxa"/>
            <w:vAlign w:val="bottom"/>
            <w:gridSpan w:val="2"/>
            <w:shd w:val="clear" w:color="auto" w:fill="003763"/>
          </w:tcPr>
          <w:p>
            <w:pPr>
              <w:ind w:left="60"/>
              <w:spacing w:after="0"/>
              <w:rPr>
                <w:sz w:val="20"/>
                <w:szCs w:val="20"/>
                <w:color w:val="auto"/>
              </w:rPr>
            </w:pPr>
            <w:r>
              <w:rPr>
                <w:rFonts w:ascii="Arial" w:cs="Arial" w:eastAsia="Arial" w:hAnsi="Arial"/>
                <w:sz w:val="13"/>
                <w:szCs w:val="13"/>
                <w:b w:val="1"/>
                <w:bCs w:val="1"/>
                <w:color w:val="FFFFFF"/>
              </w:rPr>
              <w:t>millions</w:t>
            </w:r>
          </w:p>
        </w:tc>
        <w:tc>
          <w:tcPr>
            <w:tcW w:w="660" w:type="dxa"/>
            <w:vAlign w:val="bottom"/>
            <w:gridSpan w:val="2"/>
            <w:shd w:val="clear" w:color="auto" w:fill="003763"/>
          </w:tcPr>
          <w:p>
            <w:pPr>
              <w:ind w:left="60"/>
              <w:spacing w:after="0" w:line="24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(1)</w:t>
            </w:r>
          </w:p>
        </w:tc>
        <w:tc>
          <w:tcPr>
            <w:tcW w:w="20" w:type="dxa"/>
            <w:vAlign w:val="bottom"/>
            <w:shd w:val="clear" w:color="auto" w:fill="003763"/>
          </w:tcPr>
          <w:p>
            <w:pPr>
              <w:spacing w:after="0"/>
              <w:rPr>
                <w:sz w:val="21"/>
                <w:szCs w:val="21"/>
                <w:color w:val="auto"/>
              </w:rPr>
            </w:pPr>
          </w:p>
        </w:tc>
        <w:tc>
          <w:tcPr>
            <w:tcW w:w="80" w:type="dxa"/>
            <w:vAlign w:val="bottom"/>
            <w:shd w:val="clear" w:color="auto" w:fill="003763"/>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Consolidated income (loss) available to</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common shareholders and diluted EPS</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gridSpan w:val="2"/>
          </w:tcPr>
          <w:p>
            <w:pPr>
              <w:ind w:left="100"/>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$ 878</w:t>
            </w:r>
          </w:p>
        </w:tc>
        <w:tc>
          <w:tcPr>
            <w:tcW w:w="340" w:type="dxa"/>
            <w:vAlign w:val="bottom"/>
            <w:tcBorders>
              <w:bottom w:val="single" w:sz="8" w:color="CCCCCC"/>
            </w:tcBorders>
          </w:tcPr>
          <w:p>
            <w:pPr>
              <w:ind w:left="20"/>
              <w:spacing w:after="0" w:line="239"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500" w:type="dxa"/>
            <w:vAlign w:val="bottom"/>
            <w:tcBorders>
              <w:bottom w:val="single" w:sz="8" w:color="CCCCCC"/>
            </w:tcBorders>
            <w:gridSpan w:val="2"/>
          </w:tcPr>
          <w:p>
            <w:pPr>
              <w:jc w:val="right"/>
              <w:spacing w:after="0" w:line="239" w:lineRule="exact"/>
              <w:rPr>
                <w:sz w:val="20"/>
                <w:szCs w:val="20"/>
                <w:color w:val="auto"/>
              </w:rPr>
            </w:pPr>
            <w:r>
              <w:rPr>
                <w:rFonts w:ascii="Arial" w:cs="Arial" w:eastAsia="Arial" w:hAnsi="Arial"/>
                <w:sz w:val="14"/>
                <w:szCs w:val="14"/>
                <w:color w:val="auto"/>
              </w:rPr>
              <w:t xml:space="preserve">1.44 </w:t>
            </w:r>
            <w:r>
              <w:rPr>
                <w:rFonts w:ascii="Arial" w:cs="Arial" w:eastAsia="Arial" w:hAnsi="Arial"/>
                <w:sz w:val="27"/>
                <w:szCs w:val="27"/>
                <w:color w:val="auto"/>
                <w:vertAlign w:val="subscript"/>
              </w:rPr>
              <w:t>​​ ​</w:t>
            </w:r>
          </w:p>
        </w:tc>
        <w:tc>
          <w:tcPr>
            <w:tcW w:w="640" w:type="dxa"/>
            <w:vAlign w:val="bottom"/>
            <w:tcBorders>
              <w:bottom w:val="single" w:sz="8" w:color="CCCCCC"/>
            </w:tcBorders>
            <w:gridSpan w:val="2"/>
          </w:tcPr>
          <w:p>
            <w:pPr>
              <w:ind w:left="140"/>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$ 818</w:t>
            </w:r>
          </w:p>
        </w:tc>
        <w:tc>
          <w:tcPr>
            <w:tcW w:w="960" w:type="dxa"/>
            <w:vAlign w:val="bottom"/>
            <w:tcBorders>
              <w:bottom w:val="single" w:sz="8" w:color="CCCCCC"/>
            </w:tcBorders>
            <w:gridSpan w:val="4"/>
          </w:tcPr>
          <w:p>
            <w:pPr>
              <w:jc w:val="right"/>
              <w:spacing w:after="0" w:line="239" w:lineRule="exact"/>
              <w:rPr>
                <w:sz w:val="20"/>
                <w:szCs w:val="20"/>
                <w:color w:val="auto"/>
              </w:rPr>
            </w:pPr>
            <w:r>
              <w:rPr>
                <w:rFonts w:ascii="Arial" w:cs="Arial" w:eastAsia="Arial" w:hAnsi="Arial"/>
                <w:sz w:val="14"/>
                <w:szCs w:val="14"/>
                <w:color w:val="auto"/>
              </w:rPr>
              <w:t>​​ ​ ​</w:t>
            </w:r>
            <w:r>
              <w:rPr>
                <w:rFonts w:ascii="Arial" w:cs="Arial" w:eastAsia="Arial" w:hAnsi="Arial"/>
                <w:sz w:val="27"/>
                <w:szCs w:val="27"/>
                <w:color w:val="auto"/>
                <w:vertAlign w:val="superscript"/>
              </w:rPr>
              <w:t>$ 1.34</w:t>
            </w:r>
            <w:r>
              <w:rPr>
                <w:rFonts w:ascii="Arial" w:cs="Arial" w:eastAsia="Arial" w:hAnsi="Arial"/>
                <w:sz w:val="14"/>
                <w:szCs w:val="14"/>
                <w:color w:val="auto"/>
              </w:rPr>
              <w:t xml:space="preserve"> ​​ ​</w:t>
            </w:r>
          </w:p>
        </w:tc>
        <w:tc>
          <w:tcPr>
            <w:tcW w:w="580" w:type="dxa"/>
            <w:vAlign w:val="bottom"/>
            <w:tcBorders>
              <w:bottom w:val="single" w:sz="8" w:color="CCCCCC"/>
            </w:tcBorders>
            <w:gridSpan w:val="2"/>
          </w:tcPr>
          <w:p>
            <w:pPr>
              <w:ind w:left="100"/>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$(305)</w:t>
            </w:r>
          </w:p>
        </w:tc>
        <w:tc>
          <w:tcPr>
            <w:tcW w:w="880" w:type="dxa"/>
            <w:vAlign w:val="bottom"/>
            <w:tcBorders>
              <w:bottom w:val="single" w:sz="8" w:color="CCCCCC"/>
            </w:tcBorders>
            <w:gridSpan w:val="2"/>
          </w:tcPr>
          <w:p>
            <w:pPr>
              <w:jc w:val="right"/>
              <w:spacing w:after="0" w:line="239"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 (0.50)</w:t>
            </w:r>
            <w:r>
              <w:rPr>
                <w:rFonts w:ascii="Arial" w:cs="Arial" w:eastAsia="Arial" w:hAnsi="Arial"/>
                <w:sz w:val="14"/>
                <w:szCs w:val="14"/>
                <w:color w:val="auto"/>
              </w:rPr>
              <w:t>​​ ​</w:t>
            </w:r>
          </w:p>
        </w:tc>
        <w:tc>
          <w:tcPr>
            <w:tcW w:w="580" w:type="dxa"/>
            <w:vAlign w:val="bottom"/>
            <w:tcBorders>
              <w:bottom w:val="single" w:sz="8" w:color="CCCCCC"/>
            </w:tcBorders>
            <w:gridSpan w:val="2"/>
          </w:tcPr>
          <w:p>
            <w:pPr>
              <w:ind w:left="60"/>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$ 1,391</w:t>
            </w:r>
          </w:p>
        </w:tc>
        <w:tc>
          <w:tcPr>
            <w:tcW w:w="360" w:type="dxa"/>
            <w:vAlign w:val="bottom"/>
            <w:tcBorders>
              <w:bottom w:val="single" w:sz="8" w:color="CCCCCC"/>
            </w:tcBorders>
          </w:tcPr>
          <w:p>
            <w:pPr>
              <w:ind w:left="20"/>
              <w:spacing w:after="0" w:line="239"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400" w:type="dxa"/>
            <w:vAlign w:val="bottom"/>
            <w:tcBorders>
              <w:bottom w:val="single" w:sz="8" w:color="CCCCCC"/>
            </w:tcBorders>
            <w:gridSpan w:val="3"/>
          </w:tcPr>
          <w:p>
            <w:pPr>
              <w:jc w:val="right"/>
              <w:spacing w:after="0" w:line="239" w:lineRule="exact"/>
              <w:rPr>
                <w:sz w:val="20"/>
                <w:szCs w:val="20"/>
                <w:color w:val="auto"/>
              </w:rPr>
            </w:pPr>
            <w:r>
              <w:rPr>
                <w:rFonts w:ascii="Arial" w:cs="Arial" w:eastAsia="Arial" w:hAnsi="Arial"/>
                <w:sz w:val="14"/>
                <w:szCs w:val="14"/>
                <w:color w:val="auto"/>
              </w:rPr>
              <w:t xml:space="preserve">2.28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ZENS-related mark-to-market (gains) losses:</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CCCCCC"/>
            </w:tcBorders>
            <w:shd w:val="clear" w:color="auto" w:fill="F2F2F2"/>
          </w:tcPr>
          <w:p>
            <w:pPr>
              <w:ind w:left="10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3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280" w:type="dxa"/>
            <w:vAlign w:val="bottom"/>
            <w:tcBorders>
              <w:bottom w:val="single" w:sz="8" w:color="CCCCCC"/>
            </w:tcBorders>
            <w:shd w:val="clear" w:color="auto" w:fill="F2F2F2"/>
          </w:tcPr>
          <w:p>
            <w:pPr>
              <w:spacing w:after="0"/>
              <w:rPr>
                <w:sz w:val="22"/>
                <w:szCs w:val="22"/>
                <w:color w:val="auto"/>
              </w:rPr>
            </w:pPr>
          </w:p>
        </w:tc>
        <w:tc>
          <w:tcPr>
            <w:tcW w:w="22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w:t>
            </w:r>
          </w:p>
        </w:tc>
        <w:tc>
          <w:tcPr>
            <w:tcW w:w="360" w:type="dxa"/>
            <w:vAlign w:val="bottom"/>
            <w:tcBorders>
              <w:bottom w:val="single" w:sz="8" w:color="CCCCCC"/>
            </w:tcBorders>
            <w:shd w:val="clear" w:color="auto" w:fill="F2F2F2"/>
          </w:tcPr>
          <w:p>
            <w:pPr>
              <w:ind w:left="14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280" w:type="dxa"/>
            <w:vAlign w:val="bottom"/>
            <w:tcBorders>
              <w:bottom w:val="single" w:sz="8" w:color="CCCCCC"/>
            </w:tcBorders>
            <w:shd w:val="clear" w:color="auto" w:fill="F2F2F2"/>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46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w:t>
            </w:r>
          </w:p>
        </w:tc>
        <w:tc>
          <w:tcPr>
            <w:tcW w:w="280" w:type="dxa"/>
            <w:vAlign w:val="bottom"/>
            <w:tcBorders>
              <w:bottom w:val="single" w:sz="8" w:color="CCCCCC"/>
            </w:tcBorders>
            <w:shd w:val="clear" w:color="auto" w:fill="F2F2F2"/>
          </w:tcPr>
          <w:p>
            <w:pPr>
              <w:ind w:left="10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3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4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w:t>
            </w:r>
          </w:p>
        </w:tc>
        <w:tc>
          <w:tcPr>
            <w:tcW w:w="200" w:type="dxa"/>
            <w:vAlign w:val="bottom"/>
            <w:tcBorders>
              <w:bottom w:val="single" w:sz="8" w:color="CCCCCC"/>
            </w:tcBorders>
            <w:shd w:val="clear" w:color="auto" w:fill="F2F2F2"/>
          </w:tcPr>
          <w:p>
            <w:pPr>
              <w:ind w:left="60"/>
              <w:spacing w:after="0" w:line="26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380" w:type="dxa"/>
            <w:vAlign w:val="bottom"/>
            <w:tcBorders>
              <w:bottom w:val="single" w:sz="8" w:color="CCCCCC"/>
            </w:tcBorders>
            <w:shd w:val="clear" w:color="auto" w:fill="F2F2F2"/>
          </w:tcPr>
          <w:p>
            <w:pPr>
              <w:ind w:left="32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300" w:type="dxa"/>
            <w:vAlign w:val="bottom"/>
            <w:tcBorders>
              <w:bottom w:val="single" w:sz="8" w:color="CCCCCC"/>
            </w:tcBorders>
            <w:shd w:val="clear" w:color="auto" w:fill="F2F2F2"/>
          </w:tcPr>
          <w:p>
            <w:pPr>
              <w:spacing w:after="0"/>
              <w:rPr>
                <w:sz w:val="22"/>
                <w:szCs w:val="22"/>
                <w:color w:val="auto"/>
              </w:rPr>
            </w:pPr>
          </w:p>
        </w:tc>
        <w:tc>
          <w:tcPr>
            <w:tcW w:w="1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1"/>
        </w:trPr>
        <w:tc>
          <w:tcPr>
            <w:tcW w:w="328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Equity securities (net of taxes of $11)</w:t>
            </w:r>
            <w:r>
              <w:rPr>
                <w:rFonts w:ascii="Arial" w:cs="Arial" w:eastAsia="Arial" w:hAnsi="Arial"/>
                <w:sz w:val="17"/>
                <w:szCs w:val="17"/>
                <w:color w:val="auto"/>
                <w:vertAlign w:val="superscript"/>
              </w:rPr>
              <w:t>(2)(3)</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tcPr>
          <w:p>
            <w:pPr>
              <w:ind w:left="10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60" w:type="dxa"/>
            <w:vAlign w:val="bottom"/>
            <w:tcBorders>
              <w:bottom w:val="single" w:sz="8" w:color="CCCCCC"/>
            </w:tcBorders>
          </w:tcPr>
          <w:p>
            <w:pPr>
              <w:ind w:left="1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tcPr>
          <w:p>
            <w:pPr>
              <w:ind w:left="10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9"/>
              <w:spacing w:after="0"/>
              <w:rPr>
                <w:sz w:val="20"/>
                <w:szCs w:val="20"/>
                <w:color w:val="auto"/>
              </w:rPr>
            </w:pPr>
            <w:r>
              <w:rPr>
                <w:rFonts w:ascii="Arial" w:cs="Arial" w:eastAsia="Arial" w:hAnsi="Arial"/>
                <w:sz w:val="14"/>
                <w:szCs w:val="14"/>
                <w:color w:val="auto"/>
              </w:rPr>
              <w:t>40</w:t>
            </w:r>
          </w:p>
        </w:tc>
        <w:tc>
          <w:tcPr>
            <w:tcW w:w="88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0.07</w:t>
            </w:r>
            <w:r>
              <w:rPr>
                <w:rFonts w:ascii="Arial" w:cs="Arial" w:eastAsia="Arial" w:hAnsi="Arial"/>
                <w:sz w:val="14"/>
                <w:szCs w:val="14"/>
                <w:color w:val="auto"/>
              </w:rPr>
              <w:t xml:space="preserve"> ​​ ​</w:t>
            </w:r>
          </w:p>
        </w:tc>
        <w:tc>
          <w:tcPr>
            <w:tcW w:w="200" w:type="dxa"/>
            <w:vAlign w:val="bottom"/>
            <w:tcBorders>
              <w:bottom w:val="single" w:sz="8" w:color="CCCCCC"/>
            </w:tcBorders>
          </w:tcPr>
          <w:p>
            <w:pPr>
              <w:ind w:left="6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CCCCCC"/>
            </w:tcBorders>
            <w:gridSpan w:val="4"/>
          </w:tcPr>
          <w:p>
            <w:pPr>
              <w:jc w:val="right"/>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0.07</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90"/>
        </w:trPr>
        <w:tc>
          <w:tcPr>
            <w:tcW w:w="328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Indexed debt securities (net of taxes of $11)</w:t>
            </w:r>
            <w:r>
              <w:rPr>
                <w:rFonts w:ascii="Arial" w:cs="Arial" w:eastAsia="Arial" w:hAnsi="Arial"/>
                <w:sz w:val="17"/>
                <w:szCs w:val="17"/>
                <w:color w:val="auto"/>
                <w:vertAlign w:val="superscript"/>
              </w:rPr>
              <w:t>(2)</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shd w:val="clear" w:color="auto" w:fill="F2F2F2"/>
          </w:tcPr>
          <w:p>
            <w:pPr>
              <w:ind w:left="10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60" w:type="dxa"/>
            <w:vAlign w:val="bottom"/>
            <w:tcBorders>
              <w:bottom w:val="single" w:sz="8" w:color="CCCCCC"/>
            </w:tcBorders>
            <w:shd w:val="clear" w:color="auto" w:fill="F2F2F2"/>
          </w:tcPr>
          <w:p>
            <w:pPr>
              <w:ind w:left="1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580" w:type="dxa"/>
            <w:vAlign w:val="bottom"/>
            <w:tcBorders>
              <w:bottom w:val="single" w:sz="8" w:color="CCCCCC"/>
            </w:tcBorders>
            <w:gridSpan w:val="2"/>
            <w:shd w:val="clear" w:color="auto" w:fill="F2F2F2"/>
          </w:tcPr>
          <w:p>
            <w:pPr>
              <w:ind w:left="10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(39)</w:t>
            </w:r>
          </w:p>
        </w:tc>
        <w:tc>
          <w:tcPr>
            <w:tcW w:w="88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​(0.06)</w:t>
            </w:r>
            <w:r>
              <w:rPr>
                <w:rFonts w:ascii="Arial" w:cs="Arial" w:eastAsia="Arial" w:hAnsi="Arial"/>
                <w:sz w:val="14"/>
                <w:szCs w:val="14"/>
                <w:color w:val="auto"/>
              </w:rPr>
              <w:t>​​ ​</w:t>
            </w:r>
          </w:p>
        </w:tc>
        <w:tc>
          <w:tcPr>
            <w:tcW w:w="200" w:type="dxa"/>
            <w:vAlign w:val="bottom"/>
            <w:tcBorders>
              <w:bottom w:val="single" w:sz="8" w:color="CCCCCC"/>
            </w:tcBorders>
            <w:shd w:val="clear" w:color="auto" w:fill="F2F2F2"/>
          </w:tcPr>
          <w:p>
            <w:pPr>
              <w:ind w:left="6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(39)</w:t>
            </w:r>
          </w:p>
        </w:tc>
        <w:tc>
          <w:tcPr>
            <w:tcW w:w="760" w:type="dxa"/>
            <w:vAlign w:val="bottom"/>
            <w:tcBorders>
              <w:bottom w:val="single" w:sz="8" w:color="CCCCCC"/>
            </w:tcBorders>
            <w:gridSpan w:val="4"/>
            <w:shd w:val="clear" w:color="auto" w:fill="F2F2F2"/>
          </w:tcPr>
          <w:p>
            <w:pPr>
              <w:jc w:val="right"/>
              <w:spacing w:after="0" w:line="29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​(0.06)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Impacts associated with gas LDC sales (net of</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taxes of $2, $3)</w:t>
            </w:r>
            <w:r>
              <w:rPr>
                <w:rFonts w:ascii="Arial" w:cs="Arial" w:eastAsia="Arial" w:hAnsi="Arial"/>
                <w:sz w:val="17"/>
                <w:szCs w:val="17"/>
                <w:b w:val="1"/>
                <w:bCs w:val="1"/>
                <w:color w:val="auto"/>
                <w:vertAlign w:val="superscript"/>
              </w:rPr>
              <w:t>(2)(4)</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(4)</w:t>
            </w:r>
          </w:p>
        </w:tc>
        <w:tc>
          <w:tcPr>
            <w:tcW w:w="8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​(0.01)</w:t>
            </w:r>
            <w:r>
              <w:rPr>
                <w:rFonts w:ascii="Arial" w:cs="Arial" w:eastAsia="Arial" w:hAnsi="Arial"/>
                <w:sz w:val="14"/>
                <w:szCs w:val="14"/>
                <w:color w:val="auto"/>
              </w:rPr>
              <w:t>​​ ​</w:t>
            </w:r>
          </w:p>
        </w:tc>
        <w:tc>
          <w:tcPr>
            <w:tcW w:w="360" w:type="dxa"/>
            <w:vAlign w:val="bottom"/>
            <w:tcBorders>
              <w:bottom w:val="single" w:sz="8" w:color="CCCCCC"/>
            </w:tcBorders>
          </w:tcPr>
          <w:p>
            <w:pPr>
              <w:ind w:left="1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9"/>
              <w:spacing w:after="0"/>
              <w:rPr>
                <w:sz w:val="20"/>
                <w:szCs w:val="20"/>
                <w:color w:val="auto"/>
              </w:rPr>
            </w:pPr>
            <w:r>
              <w:rPr>
                <w:rFonts w:ascii="Arial" w:cs="Arial" w:eastAsia="Arial" w:hAnsi="Arial"/>
                <w:sz w:val="14"/>
                <w:szCs w:val="14"/>
                <w:color w:val="auto"/>
              </w:rPr>
              <w:t>5</w:t>
            </w:r>
          </w:p>
        </w:tc>
        <w:tc>
          <w:tcPr>
            <w:tcW w:w="88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0.01</w:t>
            </w:r>
            <w:r>
              <w:rPr>
                <w:rFonts w:ascii="Arial" w:cs="Arial" w:eastAsia="Arial" w:hAnsi="Arial"/>
                <w:sz w:val="14"/>
                <w:szCs w:val="14"/>
                <w:color w:val="auto"/>
              </w:rPr>
              <w:t xml:space="preserve"> ​​ ​</w:t>
            </w:r>
          </w:p>
        </w:tc>
        <w:tc>
          <w:tcPr>
            <w:tcW w:w="20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CCCCCC"/>
            </w:tcBorders>
          </w:tcPr>
          <w:p>
            <w:pPr>
              <w:ind w:left="20"/>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0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00"/>
        </w:trPr>
        <w:tc>
          <w:tcPr>
            <w:tcW w:w="80" w:type="dxa"/>
            <w:vAlign w:val="bottom"/>
            <w:shd w:val="clear" w:color="auto" w:fill="F2F2F2"/>
          </w:tcPr>
          <w:p>
            <w:pPr>
              <w:spacing w:after="0"/>
              <w:rPr>
                <w:sz w:val="17"/>
                <w:szCs w:val="17"/>
                <w:color w:val="auto"/>
              </w:rPr>
            </w:pPr>
          </w:p>
        </w:tc>
        <w:tc>
          <w:tcPr>
            <w:tcW w:w="320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Cost associated with the early extinguishment</w:t>
            </w:r>
          </w:p>
        </w:tc>
        <w:tc>
          <w:tcPr>
            <w:tcW w:w="1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of debt (net of taxes of $7)</w:t>
            </w:r>
            <w:r>
              <w:rPr>
                <w:rFonts w:ascii="Arial" w:cs="Arial" w:eastAsia="Arial" w:hAnsi="Arial"/>
                <w:sz w:val="17"/>
                <w:szCs w:val="17"/>
                <w:b w:val="1"/>
                <w:bCs w:val="1"/>
                <w:color w:val="auto"/>
                <w:vertAlign w:val="superscript"/>
              </w:rPr>
              <w:t>(2)</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00" w:type="dxa"/>
            <w:vAlign w:val="bottom"/>
            <w:tcBorders>
              <w:bottom w:val="single" w:sz="8" w:color="CCCCCC"/>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60" w:type="dxa"/>
            <w:vAlign w:val="bottom"/>
            <w:tcBorders>
              <w:bottom w:val="single" w:sz="8" w:color="CCCCCC"/>
            </w:tcBorders>
            <w:shd w:val="clear" w:color="auto" w:fill="F2F2F2"/>
          </w:tcPr>
          <w:p>
            <w:pPr>
              <w:ind w:left="1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6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00" w:type="dxa"/>
            <w:vAlign w:val="bottom"/>
            <w:tcBorders>
              <w:bottom w:val="single" w:sz="8" w:color="CCCCCC"/>
            </w:tcBorders>
            <w:shd w:val="clear" w:color="auto" w:fill="F2F2F2"/>
          </w:tcPr>
          <w:p>
            <w:pPr>
              <w:jc w:val="right"/>
              <w:ind w:right="29"/>
              <w:spacing w:after="0"/>
              <w:rPr>
                <w:sz w:val="20"/>
                <w:szCs w:val="20"/>
                <w:color w:val="auto"/>
              </w:rPr>
            </w:pPr>
            <w:r>
              <w:rPr>
                <w:rFonts w:ascii="Arial" w:cs="Arial" w:eastAsia="Arial" w:hAnsi="Arial"/>
                <w:sz w:val="14"/>
                <w:szCs w:val="14"/>
                <w:color w:val="auto"/>
              </w:rPr>
              <w:t>27</w:t>
            </w:r>
          </w:p>
        </w:tc>
        <w:tc>
          <w:tcPr>
            <w:tcW w:w="88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0.04</w:t>
            </w:r>
            <w:r>
              <w:rPr>
                <w:rFonts w:ascii="Arial" w:cs="Arial" w:eastAsia="Arial" w:hAnsi="Arial"/>
                <w:sz w:val="14"/>
                <w:szCs w:val="14"/>
                <w:color w:val="auto"/>
              </w:rPr>
              <w:t xml:space="preserve"> ​​ ​</w:t>
            </w:r>
          </w:p>
        </w:tc>
        <w:tc>
          <w:tcPr>
            <w:tcW w:w="20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CCCCCC"/>
            </w:tcBorders>
            <w:gridSpan w:val="4"/>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0.04</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Impacts associated with Enable &amp; Energy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b w:val="1"/>
                <w:bCs w:val="1"/>
                <w:color w:val="auto"/>
              </w:rPr>
              <w:t>​</w:t>
            </w:r>
          </w:p>
        </w:tc>
        <w:tc>
          <w:tcPr>
            <w:tcW w:w="320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Transfer merger:</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CCCCCC"/>
            </w:tcBorders>
          </w:tcPr>
          <w:p>
            <w:pPr>
              <w:ind w:left="10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300" w:type="dxa"/>
            <w:vAlign w:val="bottom"/>
            <w:tcBorders>
              <w:bottom w:val="single" w:sz="8" w:color="CCCCCC"/>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tcPr>
          <w:p>
            <w:pPr>
              <w:ind w:left="20"/>
              <w:spacing w:after="0" w:line="239"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tcPr>
          <w:p>
            <w:pPr>
              <w:spacing w:after="0"/>
              <w:rPr>
                <w:sz w:val="20"/>
                <w:szCs w:val="20"/>
                <w:color w:val="auto"/>
              </w:rPr>
            </w:pPr>
          </w:p>
        </w:tc>
        <w:tc>
          <w:tcPr>
            <w:tcW w:w="220" w:type="dxa"/>
            <w:vAlign w:val="bottom"/>
            <w:tcBorders>
              <w:bottom w:val="single" w:sz="8" w:color="CCCCCC"/>
            </w:tcBorders>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w:t>
            </w:r>
          </w:p>
        </w:tc>
        <w:tc>
          <w:tcPr>
            <w:tcW w:w="360" w:type="dxa"/>
            <w:vAlign w:val="bottom"/>
            <w:tcBorders>
              <w:bottom w:val="single" w:sz="8" w:color="CCCCCC"/>
            </w:tcBorders>
          </w:tcPr>
          <w:p>
            <w:pPr>
              <w:ind w:left="1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CCCC"/>
            </w:tcBorders>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60" w:type="dxa"/>
            <w:vAlign w:val="bottom"/>
            <w:tcBorders>
              <w:bottom w:val="single" w:sz="8" w:color="CCCCCC"/>
            </w:tcBorders>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w:t>
            </w:r>
          </w:p>
        </w:tc>
        <w:tc>
          <w:tcPr>
            <w:tcW w:w="280" w:type="dxa"/>
            <w:vAlign w:val="bottom"/>
            <w:tcBorders>
              <w:bottom w:val="single" w:sz="8" w:color="CCCCCC"/>
            </w:tcBorders>
          </w:tcPr>
          <w:p>
            <w:pPr>
              <w:ind w:left="10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300" w:type="dxa"/>
            <w:vAlign w:val="bottom"/>
            <w:tcBorders>
              <w:bottom w:val="single" w:sz="8" w:color="CCCCCC"/>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CCCC"/>
            </w:tcBorders>
          </w:tcPr>
          <w:p>
            <w:pPr>
              <w:ind w:left="20"/>
              <w:spacing w:after="0" w:line="239"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p>
        </w:tc>
        <w:tc>
          <w:tcPr>
            <w:tcW w:w="400" w:type="dxa"/>
            <w:vAlign w:val="bottom"/>
            <w:tcBorders>
              <w:bottom w:val="single" w:sz="8" w:color="CCCCCC"/>
            </w:tcBorders>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w:t>
            </w:r>
          </w:p>
        </w:tc>
        <w:tc>
          <w:tcPr>
            <w:tcW w:w="200" w:type="dxa"/>
            <w:vAlign w:val="bottom"/>
            <w:tcBorders>
              <w:bottom w:val="single" w:sz="8" w:color="CCCCCC"/>
            </w:tcBorders>
          </w:tcPr>
          <w:p>
            <w:pPr>
              <w:ind w:left="6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740" w:type="dxa"/>
            <w:vAlign w:val="bottom"/>
            <w:tcBorders>
              <w:bottom w:val="single" w:sz="8" w:color="CCCCCC"/>
            </w:tcBorders>
            <w:gridSpan w:val="2"/>
          </w:tcPr>
          <w:p>
            <w:pPr>
              <w:ind w:left="320"/>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 </w:t>
            </w:r>
            <w:r>
              <w:rPr>
                <w:rFonts w:ascii="Arial" w:cs="Arial" w:eastAsia="Arial" w:hAnsi="Arial"/>
                <w:sz w:val="27"/>
                <w:szCs w:val="27"/>
                <w:b w:val="1"/>
                <w:bCs w:val="1"/>
                <w:color w:val="auto"/>
                <w:vertAlign w:val="superscript"/>
              </w:rPr>
              <w:t>​</w:t>
            </w:r>
          </w:p>
        </w:tc>
        <w:tc>
          <w:tcPr>
            <w:tcW w:w="300" w:type="dxa"/>
            <w:vAlign w:val="bottom"/>
            <w:tcBorders>
              <w:bottom w:val="single" w:sz="8" w:color="CCCCCC"/>
            </w:tcBorders>
          </w:tcPr>
          <w:p>
            <w:pPr>
              <w:spacing w:after="0"/>
              <w:rPr>
                <w:sz w:val="20"/>
                <w:szCs w:val="20"/>
                <w:color w:val="auto"/>
              </w:rPr>
            </w:pPr>
          </w:p>
        </w:tc>
        <w:tc>
          <w:tcPr>
            <w:tcW w:w="100" w:type="dxa"/>
            <w:vAlign w:val="bottom"/>
            <w:tcBorders>
              <w:bottom w:val="single" w:sz="8" w:color="CCCCCC"/>
            </w:tcBorders>
            <w:gridSpan w:val="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80" w:type="dxa"/>
            <w:vAlign w:val="bottom"/>
            <w:shd w:val="clear" w:color="auto" w:fill="F2F2F2"/>
          </w:tcPr>
          <w:p>
            <w:pPr>
              <w:spacing w:after="0"/>
              <w:rPr>
                <w:sz w:val="17"/>
                <w:szCs w:val="17"/>
                <w:color w:val="auto"/>
              </w:rPr>
            </w:pPr>
          </w:p>
        </w:tc>
        <w:tc>
          <w:tcPr>
            <w:tcW w:w="3200" w:type="dxa"/>
            <w:vAlign w:val="bottom"/>
            <w:shd w:val="clear" w:color="auto" w:fill="F2F2F2"/>
          </w:tcPr>
          <w:p>
            <w:pPr>
              <w:spacing w:after="0"/>
              <w:rPr>
                <w:sz w:val="20"/>
                <w:szCs w:val="20"/>
                <w:color w:val="auto"/>
              </w:rPr>
            </w:pPr>
            <w:r>
              <w:rPr>
                <w:rFonts w:ascii="Arial" w:cs="Arial" w:eastAsia="Arial" w:hAnsi="Arial"/>
                <w:sz w:val="14"/>
                <w:szCs w:val="14"/>
                <w:color w:val="auto"/>
              </w:rPr>
              <w:t>Gain at merger close, net of transaction costs (net</w:t>
            </w:r>
          </w:p>
        </w:tc>
        <w:tc>
          <w:tcPr>
            <w:tcW w:w="1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of taxes of $134 and $0)</w:t>
            </w:r>
            <w:r>
              <w:rPr>
                <w:rFonts w:ascii="Arial" w:cs="Arial" w:eastAsia="Arial" w:hAnsi="Arial"/>
                <w:sz w:val="17"/>
                <w:szCs w:val="17"/>
                <w:color w:val="auto"/>
                <w:vertAlign w:val="superscript"/>
              </w:rPr>
              <w:t>(2)</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00" w:type="dxa"/>
            <w:vAlign w:val="bottom"/>
            <w:tcBorders>
              <w:bottom w:val="single" w:sz="8" w:color="CCCCCC"/>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640" w:type="dxa"/>
            <w:vAlign w:val="bottom"/>
            <w:tcBorders>
              <w:bottom w:val="single" w:sz="8" w:color="CCCCCC"/>
            </w:tcBorders>
            <w:gridSpan w:val="2"/>
            <w:shd w:val="clear" w:color="auto" w:fill="F2F2F2"/>
          </w:tcPr>
          <w:p>
            <w:pPr>
              <w:ind w:left="1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​(546)</w:t>
            </w:r>
          </w:p>
        </w:tc>
        <w:tc>
          <w:tcPr>
            <w:tcW w:w="960" w:type="dxa"/>
            <w:vAlign w:val="bottom"/>
            <w:tcBorders>
              <w:bottom w:val="single" w:sz="8" w:color="CCCCCC"/>
            </w:tcBorders>
            <w:gridSpan w:val="4"/>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 xml:space="preserve"> ​(0.90)</w:t>
            </w:r>
            <w:r>
              <w:rPr>
                <w:rFonts w:ascii="Arial" w:cs="Arial" w:eastAsia="Arial" w:hAnsi="Arial"/>
                <w:sz w:val="28"/>
                <w:szCs w:val="28"/>
                <w:color w:val="auto"/>
                <w:vertAlign w:val="subscript"/>
              </w:rPr>
              <w:t>​​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3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580" w:type="dxa"/>
            <w:vAlign w:val="bottom"/>
            <w:tcBorders>
              <w:bottom w:val="single" w:sz="8" w:color="CCCCCC"/>
            </w:tcBorders>
            <w:gridSpan w:val="2"/>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(547)</w:t>
            </w:r>
          </w:p>
        </w:tc>
        <w:tc>
          <w:tcPr>
            <w:tcW w:w="760" w:type="dxa"/>
            <w:vAlign w:val="bottom"/>
            <w:tcBorders>
              <w:bottom w:val="single" w:sz="8" w:color="CCCCCC"/>
            </w:tcBorders>
            <w:gridSpan w:val="4"/>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​(0.90)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91"/>
        </w:trPr>
        <w:tc>
          <w:tcPr>
            <w:tcW w:w="328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Loss on equity securities (net of taxes of $24)</w:t>
            </w:r>
            <w:r>
              <w:rPr>
                <w:rFonts w:ascii="Arial" w:cs="Arial" w:eastAsia="Arial" w:hAnsi="Arial"/>
                <w:sz w:val="17"/>
                <w:szCs w:val="17"/>
                <w:color w:val="auto"/>
                <w:vertAlign w:val="superscript"/>
              </w:rPr>
              <w:t>(2)(5)</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tcPr>
          <w:p>
            <w:pPr>
              <w:ind w:left="10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20"/>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60" w:type="dxa"/>
            <w:vAlign w:val="bottom"/>
            <w:tcBorders>
              <w:bottom w:val="single" w:sz="8" w:color="CCCCCC"/>
            </w:tcBorders>
          </w:tcPr>
          <w:p>
            <w:pPr>
              <w:ind w:left="1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tcPr>
          <w:p>
            <w:pPr>
              <w:ind w:left="10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9"/>
              <w:spacing w:after="0"/>
              <w:rPr>
                <w:sz w:val="20"/>
                <w:szCs w:val="20"/>
                <w:color w:val="auto"/>
              </w:rPr>
            </w:pPr>
            <w:r>
              <w:rPr>
                <w:rFonts w:ascii="Arial" w:cs="Arial" w:eastAsia="Arial" w:hAnsi="Arial"/>
                <w:sz w:val="14"/>
                <w:szCs w:val="14"/>
                <w:color w:val="auto"/>
              </w:rPr>
              <w:t>98</w:t>
            </w:r>
          </w:p>
        </w:tc>
        <w:tc>
          <w:tcPr>
            <w:tcW w:w="88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0.16</w:t>
            </w:r>
            <w:r>
              <w:rPr>
                <w:rFonts w:ascii="Arial" w:cs="Arial" w:eastAsia="Arial" w:hAnsi="Arial"/>
                <w:sz w:val="14"/>
                <w:szCs w:val="14"/>
                <w:color w:val="auto"/>
              </w:rPr>
              <w:t xml:space="preserve"> ​​ ​</w:t>
            </w:r>
          </w:p>
        </w:tc>
        <w:tc>
          <w:tcPr>
            <w:tcW w:w="200" w:type="dxa"/>
            <w:vAlign w:val="bottom"/>
            <w:tcBorders>
              <w:bottom w:val="single" w:sz="8" w:color="CCCCCC"/>
            </w:tcBorders>
          </w:tcPr>
          <w:p>
            <w:pPr>
              <w:ind w:left="6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98</w:t>
            </w:r>
          </w:p>
        </w:tc>
        <w:tc>
          <w:tcPr>
            <w:tcW w:w="760" w:type="dxa"/>
            <w:vAlign w:val="bottom"/>
            <w:tcBorders>
              <w:bottom w:val="single" w:sz="8" w:color="CCCCCC"/>
            </w:tcBorders>
            <w:gridSpan w:val="4"/>
          </w:tcPr>
          <w:p>
            <w:pPr>
              <w:jc w:val="right"/>
              <w:spacing w:after="0" w:line="29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0.16</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00"/>
        </w:trPr>
        <w:tc>
          <w:tcPr>
            <w:tcW w:w="80" w:type="dxa"/>
            <w:vAlign w:val="bottom"/>
            <w:shd w:val="clear" w:color="auto" w:fill="F2F2F2"/>
          </w:tcPr>
          <w:p>
            <w:pPr>
              <w:spacing w:after="0"/>
              <w:rPr>
                <w:sz w:val="17"/>
                <w:szCs w:val="17"/>
                <w:color w:val="auto"/>
              </w:rPr>
            </w:pPr>
          </w:p>
        </w:tc>
        <w:tc>
          <w:tcPr>
            <w:tcW w:w="3200" w:type="dxa"/>
            <w:vAlign w:val="bottom"/>
            <w:shd w:val="clear" w:color="auto" w:fill="F2F2F2"/>
          </w:tcPr>
          <w:p>
            <w:pPr>
              <w:spacing w:after="0"/>
              <w:rPr>
                <w:sz w:val="20"/>
                <w:szCs w:val="20"/>
                <w:color w:val="auto"/>
              </w:rPr>
            </w:pPr>
            <w:r>
              <w:rPr>
                <w:rFonts w:ascii="Arial" w:cs="Arial" w:eastAsia="Arial" w:hAnsi="Arial"/>
                <w:sz w:val="14"/>
                <w:szCs w:val="14"/>
                <w:color w:val="auto"/>
              </w:rPr>
              <w:t>Costs associated with the early extinguishment of</w:t>
            </w:r>
          </w:p>
        </w:tc>
        <w:tc>
          <w:tcPr>
            <w:tcW w:w="1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6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debt (net of taxes of $1)</w:t>
            </w:r>
            <w:r>
              <w:rPr>
                <w:rFonts w:ascii="Arial" w:cs="Arial" w:eastAsia="Arial" w:hAnsi="Arial"/>
                <w:sz w:val="17"/>
                <w:szCs w:val="17"/>
                <w:color w:val="auto"/>
                <w:vertAlign w:val="superscript"/>
              </w:rPr>
              <w:t>(2)</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60" w:type="dxa"/>
            <w:vAlign w:val="bottom"/>
            <w:tcBorders>
              <w:bottom w:val="single" w:sz="8" w:color="CCCCCC"/>
            </w:tcBorders>
            <w:shd w:val="clear" w:color="auto" w:fill="F2F2F2"/>
          </w:tcPr>
          <w:p>
            <w:pPr>
              <w:ind w:left="1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shd w:val="clear" w:color="auto" w:fill="F2F2F2"/>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shd w:val="clear" w:color="auto" w:fill="F2F2F2"/>
          </w:tcPr>
          <w:p>
            <w:pPr>
              <w:jc w:val="right"/>
              <w:ind w:right="29"/>
              <w:spacing w:after="0"/>
              <w:rPr>
                <w:sz w:val="20"/>
                <w:szCs w:val="20"/>
                <w:color w:val="auto"/>
              </w:rPr>
            </w:pPr>
            <w:r>
              <w:rPr>
                <w:rFonts w:ascii="Arial" w:cs="Arial" w:eastAsia="Arial" w:hAnsi="Arial"/>
                <w:sz w:val="14"/>
                <w:szCs w:val="14"/>
                <w:color w:val="auto"/>
              </w:rPr>
              <w:t>6</w:t>
            </w:r>
          </w:p>
        </w:tc>
        <w:tc>
          <w:tcPr>
            <w:tcW w:w="88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0.01</w:t>
            </w:r>
            <w:r>
              <w:rPr>
                <w:rFonts w:ascii="Arial" w:cs="Arial" w:eastAsia="Arial" w:hAnsi="Arial"/>
                <w:sz w:val="14"/>
                <w:szCs w:val="14"/>
                <w:color w:val="auto"/>
              </w:rPr>
              <w:t xml:space="preserve"> ​​ ​</w:t>
            </w:r>
          </w:p>
        </w:tc>
        <w:tc>
          <w:tcPr>
            <w:tcW w:w="20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CCCCCC"/>
            </w:tcBorders>
            <w:gridSpan w:val="4"/>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0.01</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Impacts associated with other mergers 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320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divestitures (net of taxes of $2, $13)</w:t>
            </w:r>
            <w:r>
              <w:rPr>
                <w:rFonts w:ascii="Arial" w:cs="Arial" w:eastAsia="Arial" w:hAnsi="Arial"/>
                <w:sz w:val="17"/>
                <w:szCs w:val="17"/>
                <w:b w:val="1"/>
                <w:bCs w:val="1"/>
                <w:color w:val="auto"/>
                <w:vertAlign w:val="superscript"/>
              </w:rPr>
              <w:t>(2)(6)</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CCCCCC"/>
            </w:tcBorders>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rPr>
              <w:t>4</w:t>
            </w:r>
          </w:p>
        </w:tc>
        <w:tc>
          <w:tcPr>
            <w:tcW w:w="8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0.01</w:t>
            </w:r>
            <w:r>
              <w:rPr>
                <w:rFonts w:ascii="Arial" w:cs="Arial" w:eastAsia="Arial" w:hAnsi="Arial"/>
                <w:sz w:val="14"/>
                <w:szCs w:val="14"/>
                <w:color w:val="auto"/>
              </w:rPr>
              <w:t xml:space="preserve"> ​​ ​</w:t>
            </w:r>
          </w:p>
        </w:tc>
        <w:tc>
          <w:tcPr>
            <w:tcW w:w="360" w:type="dxa"/>
            <w:vAlign w:val="bottom"/>
            <w:tcBorders>
              <w:bottom w:val="single" w:sz="8" w:color="CCCCCC"/>
            </w:tcBorders>
          </w:tcPr>
          <w:p>
            <w:pPr>
              <w:ind w:left="1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6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80" w:type="dxa"/>
            <w:vAlign w:val="bottom"/>
            <w:tcBorders>
              <w:bottom w:val="single" w:sz="8" w:color="CCCCCC"/>
            </w:tcBorders>
          </w:tcPr>
          <w:p>
            <w:pPr>
              <w:ind w:left="10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00" w:type="dxa"/>
            <w:vAlign w:val="bottom"/>
            <w:tcBorders>
              <w:bottom w:val="single" w:sz="8" w:color="CCCCCC"/>
            </w:tcBorders>
          </w:tcPr>
          <w:p>
            <w:pPr>
              <w:jc w:val="right"/>
              <w:ind w:right="29"/>
              <w:spacing w:after="0"/>
              <w:rPr>
                <w:sz w:val="20"/>
                <w:szCs w:val="20"/>
                <w:color w:val="auto"/>
              </w:rPr>
            </w:pPr>
            <w:r>
              <w:rPr>
                <w:rFonts w:ascii="Arial" w:cs="Arial" w:eastAsia="Arial" w:hAnsi="Arial"/>
                <w:sz w:val="14"/>
                <w:szCs w:val="14"/>
                <w:color w:val="auto"/>
              </w:rPr>
              <w:t>20</w:t>
            </w:r>
          </w:p>
        </w:tc>
        <w:tc>
          <w:tcPr>
            <w:tcW w:w="88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0.03</w:t>
            </w:r>
            <w:r>
              <w:rPr>
                <w:rFonts w:ascii="Arial" w:cs="Arial" w:eastAsia="Arial" w:hAnsi="Arial"/>
                <w:sz w:val="14"/>
                <w:szCs w:val="14"/>
                <w:color w:val="auto"/>
              </w:rPr>
              <w:t xml:space="preserve"> ​​ ​</w:t>
            </w:r>
          </w:p>
        </w:tc>
        <w:tc>
          <w:tcPr>
            <w:tcW w:w="20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24</w:t>
            </w:r>
          </w:p>
        </w:tc>
        <w:tc>
          <w:tcPr>
            <w:tcW w:w="760" w:type="dxa"/>
            <w:vAlign w:val="bottom"/>
            <w:tcBorders>
              <w:bottom w:val="single" w:sz="8" w:color="CCCCCC"/>
            </w:tcBorders>
            <w:gridSpan w:val="4"/>
          </w:tcPr>
          <w:p>
            <w:pPr>
              <w:jc w:val="right"/>
              <w:spacing w:after="0" w:line="266"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0.04</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Corporate and Other Allocation</w:t>
            </w:r>
          </w:p>
        </w:tc>
        <w:tc>
          <w:tcPr>
            <w:tcW w:w="16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gridSpan w:val="2"/>
            <w:shd w:val="clear" w:color="auto" w:fill="F2F2F2"/>
          </w:tcPr>
          <w:p>
            <w:pPr>
              <w:ind w:left="1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​(105)</w:t>
            </w:r>
          </w:p>
        </w:tc>
        <w:tc>
          <w:tcPr>
            <w:tcW w:w="84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​(0.17)</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shd w:val="clear" w:color="auto" w:fill="F2F2F2"/>
          </w:tcPr>
          <w:p>
            <w:pPr>
              <w:ind w:left="1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(44)</w:t>
            </w:r>
          </w:p>
        </w:tc>
        <w:tc>
          <w:tcPr>
            <w:tcW w:w="960" w:type="dxa"/>
            <w:vAlign w:val="bottom"/>
            <w:tcBorders>
              <w:bottom w:val="single" w:sz="8" w:color="CCCCCC"/>
            </w:tcBorders>
            <w:gridSpan w:val="4"/>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 xml:space="preserve"> ​(0.07)</w:t>
            </w:r>
            <w:r>
              <w:rPr>
                <w:rFonts w:ascii="Arial" w:cs="Arial" w:eastAsia="Arial" w:hAnsi="Arial"/>
                <w:sz w:val="28"/>
                <w:szCs w:val="28"/>
                <w:color w:val="auto"/>
                <w:vertAlign w:val="subscript"/>
              </w:rPr>
              <w:t>​​ ​</w:t>
            </w:r>
          </w:p>
        </w:tc>
        <w:tc>
          <w:tcPr>
            <w:tcW w:w="580" w:type="dxa"/>
            <w:vAlign w:val="bottom"/>
            <w:tcBorders>
              <w:bottom w:val="single" w:sz="8" w:color="CCCCCC"/>
            </w:tcBorders>
            <w:gridSpan w:val="2"/>
            <w:shd w:val="clear" w:color="auto" w:fill="F2F2F2"/>
          </w:tcPr>
          <w:p>
            <w:pPr>
              <w:ind w:left="1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​149</w:t>
            </w:r>
          </w:p>
        </w:tc>
        <w:tc>
          <w:tcPr>
            <w:tcW w:w="88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0.24</w:t>
            </w:r>
            <w:r>
              <w:rPr>
                <w:rFonts w:ascii="Arial" w:cs="Arial" w:eastAsia="Arial" w:hAnsi="Arial"/>
                <w:sz w:val="14"/>
                <w:szCs w:val="14"/>
                <w:color w:val="auto"/>
              </w:rPr>
              <w:t xml:space="preserve"> ​​ ​</w:t>
            </w:r>
          </w:p>
        </w:tc>
        <w:tc>
          <w:tcPr>
            <w:tcW w:w="200" w:type="dxa"/>
            <w:vAlign w:val="bottom"/>
            <w:tcBorders>
              <w:bottom w:val="single" w:sz="8" w:color="CCCCCC"/>
            </w:tcBorders>
            <w:shd w:val="clear" w:color="auto" w:fill="F2F2F2"/>
          </w:tcPr>
          <w:p>
            <w:pPr>
              <w:ind w:left="6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CCCC"/>
            </w:tcBorders>
            <w:shd w:val="clear" w:color="auto" w:fill="F2F2F2"/>
          </w:tcPr>
          <w:p>
            <w:pPr>
              <w:ind w:left="20"/>
              <w:spacing w:after="0" w:line="263"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40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on a non-GAAP basis</w:t>
            </w:r>
          </w:p>
        </w:tc>
        <w:tc>
          <w:tcPr>
            <w:tcW w:w="16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gridSpan w:val="2"/>
          </w:tcPr>
          <w:p>
            <w:pPr>
              <w:ind w:left="1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$ 773</w:t>
            </w:r>
          </w:p>
        </w:tc>
        <w:tc>
          <w:tcPr>
            <w:tcW w:w="34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5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 xml:space="preserve">1.27 </w:t>
            </w:r>
            <w:r>
              <w:rPr>
                <w:rFonts w:ascii="Arial" w:cs="Arial" w:eastAsia="Arial" w:hAnsi="Arial"/>
                <w:sz w:val="28"/>
                <w:szCs w:val="28"/>
                <w:color w:val="auto"/>
                <w:vertAlign w:val="subscript"/>
              </w:rPr>
              <w:t>​​ ​</w:t>
            </w:r>
          </w:p>
        </w:tc>
        <w:tc>
          <w:tcPr>
            <w:tcW w:w="640" w:type="dxa"/>
            <w:vAlign w:val="bottom"/>
            <w:tcBorders>
              <w:bottom w:val="single" w:sz="8" w:color="CCCCCC"/>
            </w:tcBorders>
            <w:gridSpan w:val="2"/>
          </w:tcPr>
          <w:p>
            <w:pPr>
              <w:ind w:left="1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$ 228</w:t>
            </w:r>
          </w:p>
        </w:tc>
        <w:tc>
          <w:tcPr>
            <w:tcW w:w="1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$ 0.37 </w:t>
            </w:r>
            <w:r>
              <w:rPr>
                <w:rFonts w:ascii="Arial" w:cs="Arial" w:eastAsia="Arial" w:hAnsi="Arial"/>
                <w:sz w:val="28"/>
                <w:szCs w:val="28"/>
                <w:color w:val="auto"/>
                <w:vertAlign w:val="subscript"/>
              </w:rPr>
              <w:t>​​ ​</w:t>
            </w:r>
          </w:p>
        </w:tc>
        <w:tc>
          <w:tcPr>
            <w:tcW w:w="280" w:type="dxa"/>
            <w:vAlign w:val="bottom"/>
            <w:tcBorders>
              <w:bottom w:val="single" w:sz="8" w:color="CCCCCC"/>
            </w:tcBorders>
          </w:tcPr>
          <w:p>
            <w:pPr>
              <w:ind w:left="10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00" w:type="dxa"/>
            <w:vAlign w:val="bottom"/>
            <w:tcBorders>
              <w:bottom w:val="single" w:sz="8" w:color="CCCCCC"/>
            </w:tcBorders>
          </w:tcPr>
          <w:p>
            <w:pPr>
              <w:jc w:val="right"/>
              <w:ind w:right="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58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$ 1,001</w:t>
            </w:r>
          </w:p>
        </w:tc>
        <w:tc>
          <w:tcPr>
            <w:tcW w:w="360" w:type="dxa"/>
            <w:vAlign w:val="bottom"/>
            <w:tcBorders>
              <w:bottom w:val="single" w:sz="8" w:color="CCCCCC"/>
            </w:tcBorders>
          </w:tcPr>
          <w:p>
            <w:pPr>
              <w:ind w:left="20"/>
              <w:spacing w:after="0" w:line="26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40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14"/>
                <w:szCs w:val="14"/>
                <w:color w:val="auto"/>
              </w:rPr>
              <w:t xml:space="preserve">1.64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-3813810</wp:posOffset>
            </wp:positionV>
            <wp:extent cx="5829300" cy="548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0" cy="54864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39"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​A-2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140" w:hanging="189"/>
        <w:spacing w:after="0" w:line="210" w:lineRule="auto"/>
        <w:tabs>
          <w:tab w:leader="none" w:pos="920" w:val="left"/>
        </w:tabs>
        <w:numPr>
          <w:ilvl w:val="0"/>
          <w:numId w:val="148"/>
        </w:numPr>
        <w:rPr>
          <w:rFonts w:ascii="Arial" w:cs="Arial" w:eastAsia="Arial" w:hAnsi="Arial"/>
          <w:sz w:val="20"/>
          <w:szCs w:val="20"/>
          <w:color w:val="auto"/>
          <w:vertAlign w:val="superscript"/>
        </w:rPr>
      </w:pPr>
      <w:r>
        <w:rPr>
          <w:rFonts w:ascii="Arial" w:cs="Arial" w:eastAsia="Arial" w:hAnsi="Arial"/>
          <w:sz w:val="13"/>
          <w:szCs w:val="13"/>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spacing w:after="0" w:line="13" w:lineRule="exact"/>
        <w:rPr>
          <w:rFonts w:ascii="Arial" w:cs="Arial" w:eastAsia="Arial" w:hAnsi="Arial"/>
          <w:sz w:val="20"/>
          <w:szCs w:val="20"/>
          <w:color w:val="auto"/>
          <w:vertAlign w:val="superscript"/>
        </w:rPr>
      </w:pPr>
    </w:p>
    <w:p>
      <w:pPr>
        <w:ind w:left="920" w:hanging="189"/>
        <w:spacing w:after="0"/>
        <w:tabs>
          <w:tab w:leader="none" w:pos="920" w:val="left"/>
        </w:tabs>
        <w:numPr>
          <w:ilvl w:val="0"/>
          <w:numId w:val="148"/>
        </w:numPr>
        <w:rPr>
          <w:rFonts w:ascii="Arial" w:cs="Arial" w:eastAsia="Arial" w:hAnsi="Arial"/>
          <w:sz w:val="20"/>
          <w:szCs w:val="20"/>
          <w:color w:val="auto"/>
          <w:vertAlign w:val="superscript"/>
        </w:rPr>
      </w:pPr>
      <w:r>
        <w:rPr>
          <w:rFonts w:ascii="Arial" w:cs="Arial" w:eastAsia="Arial" w:hAnsi="Arial"/>
          <w:sz w:val="13"/>
          <w:szCs w:val="13"/>
          <w:color w:val="auto"/>
        </w:rPr>
        <w:t>Taxes are computed based on the impact removing such item would have on tax expense.</w:t>
      </w:r>
    </w:p>
    <w:p>
      <w:pPr>
        <w:spacing w:after="0" w:line="72" w:lineRule="exact"/>
        <w:rPr>
          <w:rFonts w:ascii="Arial" w:cs="Arial" w:eastAsia="Arial" w:hAnsi="Arial"/>
          <w:sz w:val="20"/>
          <w:szCs w:val="20"/>
          <w:color w:val="auto"/>
          <w:vertAlign w:val="superscript"/>
        </w:rPr>
      </w:pPr>
    </w:p>
    <w:p>
      <w:pPr>
        <w:ind w:left="920" w:hanging="189"/>
        <w:spacing w:after="0" w:line="182" w:lineRule="auto"/>
        <w:tabs>
          <w:tab w:leader="none" w:pos="920" w:val="left"/>
        </w:tabs>
        <w:numPr>
          <w:ilvl w:val="0"/>
          <w:numId w:val="148"/>
        </w:numPr>
        <w:rPr>
          <w:rFonts w:ascii="Arial" w:cs="Arial" w:eastAsia="Arial" w:hAnsi="Arial"/>
          <w:sz w:val="18"/>
          <w:szCs w:val="18"/>
          <w:color w:val="auto"/>
          <w:vertAlign w:val="superscript"/>
        </w:rPr>
      </w:pPr>
      <w:r>
        <w:rPr>
          <w:rFonts w:ascii="Arial" w:cs="Arial" w:eastAsia="Arial" w:hAnsi="Arial"/>
          <w:sz w:val="11"/>
          <w:szCs w:val="11"/>
          <w:color w:val="auto"/>
        </w:rPr>
        <w:t>Comprised of common stock of AT&amp;T Inc. and Charter Communications, Inc.</w:t>
      </w:r>
    </w:p>
    <w:p>
      <w:pPr>
        <w:spacing w:after="0" w:line="72" w:lineRule="exact"/>
        <w:rPr>
          <w:rFonts w:ascii="Arial" w:cs="Arial" w:eastAsia="Arial" w:hAnsi="Arial"/>
          <w:sz w:val="18"/>
          <w:szCs w:val="18"/>
          <w:color w:val="auto"/>
          <w:vertAlign w:val="superscript"/>
        </w:rPr>
      </w:pPr>
    </w:p>
    <w:p>
      <w:pPr>
        <w:ind w:left="920" w:hanging="189"/>
        <w:spacing w:after="0" w:line="187" w:lineRule="auto"/>
        <w:tabs>
          <w:tab w:leader="none" w:pos="920" w:val="left"/>
        </w:tabs>
        <w:numPr>
          <w:ilvl w:val="0"/>
          <w:numId w:val="148"/>
        </w:numPr>
        <w:rPr>
          <w:rFonts w:ascii="Arial" w:cs="Arial" w:eastAsia="Arial" w:hAnsi="Arial"/>
          <w:sz w:val="19"/>
          <w:szCs w:val="19"/>
          <w:color w:val="auto"/>
          <w:vertAlign w:val="superscript"/>
        </w:rPr>
      </w:pPr>
      <w:r>
        <w:rPr>
          <w:rFonts w:ascii="Arial" w:cs="Arial" w:eastAsia="Arial" w:hAnsi="Arial"/>
          <w:sz w:val="12"/>
          <w:szCs w:val="12"/>
          <w:color w:val="auto"/>
        </w:rPr>
        <w:t>Includes gain from remeasurement of state deferred taxes, costs to achieve the sales and costs associated with the early extinguishment of debt.</w:t>
      </w:r>
    </w:p>
    <w:p>
      <w:pPr>
        <w:spacing w:after="0" w:line="72" w:lineRule="exact"/>
        <w:rPr>
          <w:rFonts w:ascii="Arial" w:cs="Arial" w:eastAsia="Arial" w:hAnsi="Arial"/>
          <w:sz w:val="19"/>
          <w:szCs w:val="19"/>
          <w:color w:val="auto"/>
          <w:vertAlign w:val="superscript"/>
        </w:rPr>
      </w:pPr>
    </w:p>
    <w:p>
      <w:pPr>
        <w:ind w:left="920" w:hanging="189"/>
        <w:spacing w:after="0" w:line="182" w:lineRule="auto"/>
        <w:tabs>
          <w:tab w:leader="none" w:pos="920" w:val="left"/>
        </w:tabs>
        <w:numPr>
          <w:ilvl w:val="0"/>
          <w:numId w:val="148"/>
        </w:numPr>
        <w:rPr>
          <w:rFonts w:ascii="Arial" w:cs="Arial" w:eastAsia="Arial" w:hAnsi="Arial"/>
          <w:sz w:val="18"/>
          <w:szCs w:val="18"/>
          <w:color w:val="auto"/>
          <w:vertAlign w:val="superscript"/>
        </w:rPr>
      </w:pPr>
      <w:r>
        <w:rPr>
          <w:rFonts w:ascii="Arial" w:cs="Arial" w:eastAsia="Arial" w:hAnsi="Arial"/>
          <w:sz w:val="11"/>
          <w:szCs w:val="11"/>
          <w:color w:val="auto"/>
        </w:rPr>
        <w:t>Comprised of Energy Transfer LP common and Series G preferred units.</w:t>
      </w:r>
    </w:p>
    <w:p>
      <w:pPr>
        <w:spacing w:after="0" w:line="72" w:lineRule="exact"/>
        <w:rPr>
          <w:rFonts w:ascii="Arial" w:cs="Arial" w:eastAsia="Arial" w:hAnsi="Arial"/>
          <w:sz w:val="18"/>
          <w:szCs w:val="18"/>
          <w:color w:val="auto"/>
          <w:vertAlign w:val="superscript"/>
        </w:rPr>
      </w:pPr>
    </w:p>
    <w:p>
      <w:pPr>
        <w:ind w:left="920" w:hanging="189"/>
        <w:spacing w:after="0" w:line="182" w:lineRule="auto"/>
        <w:tabs>
          <w:tab w:leader="none" w:pos="920" w:val="left"/>
        </w:tabs>
        <w:numPr>
          <w:ilvl w:val="0"/>
          <w:numId w:val="148"/>
        </w:numPr>
        <w:rPr>
          <w:rFonts w:ascii="Arial" w:cs="Arial" w:eastAsia="Arial" w:hAnsi="Arial"/>
          <w:sz w:val="18"/>
          <w:szCs w:val="18"/>
          <w:color w:val="auto"/>
          <w:vertAlign w:val="superscript"/>
        </w:rPr>
      </w:pPr>
      <w:r>
        <w:rPr>
          <w:rFonts w:ascii="Arial" w:cs="Arial" w:eastAsia="Arial" w:hAnsi="Arial"/>
          <w:sz w:val="11"/>
          <w:szCs w:val="11"/>
          <w:color w:val="auto"/>
        </w:rPr>
        <w:t>Includes impacts associated with the Vectren merger and the sales of Infrastructure Services (CIS) and Mobile Energy Solutions (MES).</w:t>
      </w:r>
    </w:p>
    <w:p>
      <w:pPr>
        <w:spacing w:after="0" w:line="86" w:lineRule="exact"/>
        <w:rPr>
          <w:rFonts w:ascii="Arial" w:cs="Arial" w:eastAsia="Arial" w:hAnsi="Arial"/>
          <w:sz w:val="18"/>
          <w:szCs w:val="18"/>
          <w:color w:val="auto"/>
          <w:vertAlign w:val="superscript"/>
        </w:rPr>
      </w:pPr>
    </w:p>
    <w:p>
      <w:pPr>
        <w:ind w:left="920" w:right="20" w:hanging="189"/>
        <w:spacing w:after="0" w:line="226" w:lineRule="auto"/>
        <w:tabs>
          <w:tab w:leader="none" w:pos="920" w:val="left"/>
        </w:tabs>
        <w:numPr>
          <w:ilvl w:val="0"/>
          <w:numId w:val="148"/>
        </w:numPr>
        <w:rPr>
          <w:rFonts w:ascii="Arial" w:cs="Arial" w:eastAsia="Arial" w:hAnsi="Arial"/>
          <w:sz w:val="19"/>
          <w:szCs w:val="19"/>
          <w:color w:val="auto"/>
          <w:vertAlign w:val="superscript"/>
        </w:rPr>
      </w:pPr>
      <w:r>
        <w:rPr>
          <w:rFonts w:ascii="Arial" w:cs="Arial" w:eastAsia="Arial" w:hAnsi="Arial"/>
          <w:sz w:val="12"/>
          <w:szCs w:val="12"/>
          <w:color w:val="auto"/>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113030</wp:posOffset>
            </wp:positionV>
            <wp:extent cx="5880735" cy="8058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80735" cy="80581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FFFFFF"/>
        </w:rPr>
        <w:t>​</w:t>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FFFFFF"/>
        </w:rPr>
        <w:t>​​</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25"/>
          <w:szCs w:val="25"/>
          <w:b w:val="1"/>
          <w:bCs w:val="1"/>
          <w:color w:val="FFFFFF"/>
          <w:vertAlign w:val="superscript"/>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FFFFFF"/>
              </w:rPr>
              <w:t>Year-to-Date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2020" w:type="dxa"/>
            <w:vAlign w:val="bottom"/>
            <w:gridSpan w:val="3"/>
          </w:tcPr>
          <w:p>
            <w:pPr>
              <w:ind w:left="600"/>
              <w:spacing w:after="0"/>
              <w:rPr>
                <w:sz w:val="20"/>
                <w:szCs w:val="20"/>
                <w:color w:val="auto"/>
              </w:rPr>
            </w:pPr>
            <w:r>
              <w:rPr>
                <w:rFonts w:ascii="Arial" w:cs="Arial" w:eastAsia="Arial" w:hAnsi="Arial"/>
                <w:sz w:val="13"/>
                <w:szCs w:val="13"/>
                <w:b w:val="1"/>
                <w:bCs w:val="1"/>
                <w:color w:val="FFFFFF"/>
              </w:rPr>
              <w:t>December 31, 2020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restart"/>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8"/>
        </w:trPr>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020" w:type="dxa"/>
            <w:vAlign w:val="bottom"/>
            <w:gridSpan w:val="3"/>
          </w:tcPr>
          <w:p>
            <w:pPr>
              <w:ind w:left="600"/>
              <w:spacing w:after="0"/>
              <w:rPr>
                <w:sz w:val="20"/>
                <w:szCs w:val="20"/>
                <w:color w:val="auto"/>
              </w:rPr>
            </w:pPr>
            <w:r>
              <w:rPr>
                <w:rFonts w:ascii="Arial" w:cs="Arial" w:eastAsia="Arial" w:hAnsi="Arial"/>
                <w:sz w:val="13"/>
                <w:szCs w:val="13"/>
                <w:b w:val="1"/>
                <w:bCs w:val="1"/>
                <w:color w:val="FFFFFF"/>
                <w:w w:val="96"/>
              </w:rPr>
              <w:t>Midstream Investments</w:t>
            </w:r>
          </w:p>
        </w:tc>
        <w:tc>
          <w:tcPr>
            <w:tcW w:w="1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FFFFFF"/>
              </w:rPr>
              <w:t>Corporate and</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FFFFFF"/>
              </w:rPr>
              <w:t>CES</w:t>
            </w:r>
            <w:r>
              <w:rPr>
                <w:rFonts w:ascii="Arial" w:cs="Arial" w:eastAsia="Arial" w:hAnsi="Arial"/>
                <w:sz w:val="16"/>
                <w:szCs w:val="16"/>
                <w:b w:val="1"/>
                <w:bCs w:val="1"/>
                <w:color w:val="FFFFFF"/>
                <w:vertAlign w:val="superscript"/>
              </w:rPr>
              <w:t>(1)</w:t>
            </w:r>
            <w:r>
              <w:rPr>
                <w:rFonts w:ascii="Arial" w:cs="Arial" w:eastAsia="Arial" w:hAnsi="Arial"/>
                <w:sz w:val="13"/>
                <w:szCs w:val="13"/>
                <w:b w:val="1"/>
                <w:bCs w:val="1"/>
                <w:color w:val="FFFFFF"/>
              </w:rPr>
              <w:t xml:space="preserve"> &amp; CIS</w:t>
            </w:r>
            <w:r>
              <w:rPr>
                <w:rFonts w:ascii="Arial" w:cs="Arial" w:eastAsia="Arial" w:hAnsi="Arial"/>
                <w:sz w:val="16"/>
                <w:szCs w:val="16"/>
                <w:b w:val="1"/>
                <w:bCs w:val="1"/>
                <w:color w:val="FFFFFF"/>
                <w:vertAlign w:val="superscript"/>
              </w:rPr>
              <w:t>(2)</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tcPr>
          <w:p>
            <w:pPr>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Utility Operations </w:t>
            </w:r>
            <w:r>
              <w:rPr>
                <w:rFonts w:ascii="Arial" w:cs="Arial" w:eastAsia="Arial" w:hAnsi="Arial"/>
                <w:sz w:val="25"/>
                <w:szCs w:val="25"/>
                <w:b w:val="1"/>
                <w:bCs w:val="1"/>
                <w:color w:val="FFFFFF"/>
                <w:vertAlign w:val="subscript"/>
              </w:rPr>
              <w:t>​​</w:t>
            </w: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FFFFFF"/>
              </w:rPr>
              <w:t>(Disc. Operations)</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FFFFFF"/>
              </w:rPr>
              <w:t>Other</w:t>
            </w:r>
            <w:r>
              <w:rPr>
                <w:rFonts w:ascii="Arial" w:cs="Arial" w:eastAsia="Arial" w:hAnsi="Arial"/>
                <w:sz w:val="16"/>
                <w:szCs w:val="16"/>
                <w:b w:val="1"/>
                <w:bCs w:val="1"/>
                <w:color w:val="FFFFFF"/>
                <w:vertAlign w:val="superscript"/>
              </w:rPr>
              <w:t>(6)</w:t>
            </w:r>
          </w:p>
        </w:tc>
        <w:tc>
          <w:tcPr>
            <w:tcW w:w="2480" w:type="dxa"/>
            <w:vAlign w:val="bottom"/>
            <w:gridSpan w:val="4"/>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(Disc. Operations)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Consolidated</w:t>
            </w: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9"/>
        </w:trPr>
        <w:tc>
          <w:tcPr>
            <w:tcW w:w="640" w:type="dxa"/>
            <w:vAlign w:val="bottom"/>
            <w:shd w:val="clear" w:color="auto" w:fill="003763"/>
          </w:tcPr>
          <w:p>
            <w:pPr>
              <w:ind w:left="40"/>
              <w:spacing w:after="0"/>
              <w:rPr>
                <w:sz w:val="20"/>
                <w:szCs w:val="20"/>
                <w:color w:val="auto"/>
              </w:rPr>
            </w:pPr>
            <w:r>
              <w:rPr>
                <w:rFonts w:ascii="Arial" w:cs="Arial" w:eastAsia="Arial" w:hAnsi="Arial"/>
                <w:sz w:val="13"/>
                <w:szCs w:val="13"/>
                <w:b w:val="1"/>
                <w:bCs w:val="1"/>
                <w:color w:val="FFFFFF"/>
                <w:w w:val="97"/>
              </w:rPr>
              <w:t>Dollars in</w:t>
            </w:r>
          </w:p>
        </w:tc>
        <w:tc>
          <w:tcPr>
            <w:tcW w:w="64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Diluted</w:t>
            </w:r>
          </w:p>
        </w:tc>
        <w:tc>
          <w:tcPr>
            <w:tcW w:w="66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Dollars in</w:t>
            </w:r>
          </w:p>
        </w:tc>
        <w:tc>
          <w:tcPr>
            <w:tcW w:w="720" w:type="dxa"/>
            <w:vAlign w:val="bottom"/>
            <w:shd w:val="clear" w:color="auto" w:fill="003763"/>
          </w:tcPr>
          <w:p>
            <w:pPr>
              <w:ind w:left="200"/>
              <w:spacing w:after="0"/>
              <w:rPr>
                <w:sz w:val="20"/>
                <w:szCs w:val="20"/>
                <w:color w:val="auto"/>
              </w:rPr>
            </w:pPr>
            <w:r>
              <w:rPr>
                <w:rFonts w:ascii="Arial" w:cs="Arial" w:eastAsia="Arial" w:hAnsi="Arial"/>
                <w:sz w:val="13"/>
                <w:szCs w:val="13"/>
                <w:b w:val="1"/>
                <w:bCs w:val="1"/>
                <w:color w:val="FFFFFF"/>
              </w:rPr>
              <w:t>Diluted</w:t>
            </w:r>
          </w:p>
        </w:tc>
        <w:tc>
          <w:tcPr>
            <w:tcW w:w="680" w:type="dxa"/>
            <w:vAlign w:val="bottom"/>
            <w:gridSpan w:val="2"/>
            <w:shd w:val="clear" w:color="auto" w:fill="003763"/>
          </w:tcPr>
          <w:p>
            <w:pPr>
              <w:ind w:left="80"/>
              <w:spacing w:after="0"/>
              <w:rPr>
                <w:sz w:val="20"/>
                <w:szCs w:val="20"/>
                <w:color w:val="auto"/>
              </w:rPr>
            </w:pPr>
            <w:r>
              <w:rPr>
                <w:rFonts w:ascii="Arial" w:cs="Arial" w:eastAsia="Arial" w:hAnsi="Arial"/>
                <w:sz w:val="13"/>
                <w:szCs w:val="13"/>
                <w:b w:val="1"/>
                <w:bCs w:val="1"/>
                <w:color w:val="FFFFFF"/>
                <w:w w:val="97"/>
              </w:rPr>
              <w:t>Dollars in</w:t>
            </w:r>
          </w:p>
        </w:tc>
        <w:tc>
          <w:tcPr>
            <w:tcW w:w="5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Diluted</w:t>
            </w:r>
          </w:p>
        </w:tc>
        <w:tc>
          <w:tcPr>
            <w:tcW w:w="68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w w:val="97"/>
              </w:rPr>
              <w:t>Dollars in</w:t>
            </w:r>
          </w:p>
        </w:tc>
        <w:tc>
          <w:tcPr>
            <w:tcW w:w="5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Diluted</w:t>
            </w:r>
          </w:p>
        </w:tc>
        <w:tc>
          <w:tcPr>
            <w:tcW w:w="68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w w:val="97"/>
              </w:rPr>
              <w:t>Dollars in</w:t>
            </w:r>
          </w:p>
        </w:tc>
        <w:tc>
          <w:tcPr>
            <w:tcW w:w="560" w:type="dxa"/>
            <w:vAlign w:val="bottom"/>
            <w:shd w:val="clear" w:color="auto" w:fill="003763"/>
          </w:tcPr>
          <w:p>
            <w:pPr>
              <w:ind w:left="100"/>
              <w:spacing w:after="0"/>
              <w:rPr>
                <w:sz w:val="20"/>
                <w:szCs w:val="20"/>
                <w:color w:val="auto"/>
              </w:rPr>
            </w:pPr>
            <w:r>
              <w:rPr>
                <w:rFonts w:ascii="Arial" w:cs="Arial" w:eastAsia="Arial" w:hAnsi="Arial"/>
                <w:sz w:val="13"/>
                <w:szCs w:val="13"/>
                <w:b w:val="1"/>
                <w:bCs w:val="1"/>
                <w:color w:val="FFFFFF"/>
                <w:w w:val="99"/>
              </w:rPr>
              <w:t>Diluted</w:t>
            </w:r>
          </w:p>
        </w:tc>
        <w:tc>
          <w:tcPr>
            <w:tcW w:w="60" w:type="dxa"/>
            <w:vAlign w:val="bottom"/>
            <w:shd w:val="clear" w:color="auto" w:fill="00376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0" w:type="dxa"/>
            <w:vAlign w:val="bottom"/>
            <w:shd w:val="clear" w:color="auto" w:fill="003763"/>
          </w:tcPr>
          <w:p>
            <w:pPr>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millions</w:t>
            </w:r>
          </w:p>
        </w:tc>
        <w:tc>
          <w:tcPr>
            <w:tcW w:w="64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(3)</w:t>
            </w:r>
            <w:r>
              <w:rPr>
                <w:rFonts w:ascii="Arial" w:cs="Arial" w:eastAsia="Arial" w:hAnsi="Arial"/>
                <w:sz w:val="13"/>
                <w:szCs w:val="13"/>
                <w:b w:val="1"/>
                <w:bCs w:val="1"/>
                <w:color w:val="FFFFFF"/>
              </w:rPr>
              <w:t xml:space="preserve">  </w:t>
            </w:r>
            <w:r>
              <w:rPr>
                <w:rFonts w:ascii="Arial" w:cs="Arial" w:eastAsia="Arial" w:hAnsi="Arial"/>
                <w:sz w:val="25"/>
                <w:szCs w:val="25"/>
                <w:b w:val="1"/>
                <w:bCs w:val="1"/>
                <w:color w:val="FFFFFF"/>
                <w:vertAlign w:val="subscript"/>
              </w:rPr>
              <w:t>​​</w:t>
            </w:r>
          </w:p>
        </w:tc>
        <w:tc>
          <w:tcPr>
            <w:tcW w:w="660" w:type="dxa"/>
            <w:vAlign w:val="bottom"/>
            <w:shd w:val="clear" w:color="auto" w:fill="003763"/>
          </w:tcPr>
          <w:p>
            <w:pPr>
              <w:ind w:left="80"/>
              <w:spacing w:after="0"/>
              <w:rPr>
                <w:sz w:val="20"/>
                <w:szCs w:val="20"/>
                <w:color w:val="auto"/>
              </w:rPr>
            </w:pPr>
            <w:r>
              <w:rPr>
                <w:rFonts w:ascii="Arial" w:cs="Arial" w:eastAsia="Arial" w:hAnsi="Arial"/>
                <w:sz w:val="13"/>
                <w:szCs w:val="13"/>
                <w:b w:val="1"/>
                <w:bCs w:val="1"/>
                <w:color w:val="FFFFFF"/>
              </w:rPr>
              <w:t>millions</w:t>
            </w:r>
          </w:p>
        </w:tc>
        <w:tc>
          <w:tcPr>
            <w:tcW w:w="720" w:type="dxa"/>
            <w:vAlign w:val="bottom"/>
            <w:shd w:val="clear" w:color="auto" w:fill="003763"/>
          </w:tcPr>
          <w:p>
            <w:pPr>
              <w:ind w:left="60"/>
              <w:spacing w:after="0" w:line="244" w:lineRule="exact"/>
              <w:rPr>
                <w:sz w:val="20"/>
                <w:szCs w:val="20"/>
                <w:color w:val="auto"/>
              </w:rPr>
            </w:pPr>
            <w:r>
              <w:rPr>
                <w:rFonts w:ascii="Arial" w:cs="Arial" w:eastAsia="Arial" w:hAnsi="Arial"/>
                <w:sz w:val="25"/>
                <w:szCs w:val="25"/>
                <w:b w:val="1"/>
                <w:bCs w:val="1"/>
                <w:color w:val="FFFFFF"/>
                <w:vertAlign w:val="subscript"/>
              </w:rPr>
              <w:t>​ ​</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(3)</w:t>
            </w:r>
          </w:p>
        </w:tc>
        <w:tc>
          <w:tcPr>
            <w:tcW w:w="680" w:type="dxa"/>
            <w:vAlign w:val="bottom"/>
            <w:gridSpan w:val="2"/>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millions</w:t>
            </w:r>
          </w:p>
        </w:tc>
        <w:tc>
          <w:tcPr>
            <w:tcW w:w="56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(3)</w:t>
            </w:r>
          </w:p>
        </w:tc>
        <w:tc>
          <w:tcPr>
            <w:tcW w:w="68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millions</w:t>
            </w:r>
          </w:p>
        </w:tc>
        <w:tc>
          <w:tcPr>
            <w:tcW w:w="56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(3)</w:t>
            </w:r>
          </w:p>
        </w:tc>
        <w:tc>
          <w:tcPr>
            <w:tcW w:w="68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millions</w:t>
            </w:r>
          </w:p>
        </w:tc>
        <w:tc>
          <w:tcPr>
            <w:tcW w:w="560" w:type="dxa"/>
            <w:vAlign w:val="bottom"/>
            <w:shd w:val="clear" w:color="auto" w:fill="003763"/>
          </w:tcPr>
          <w:p>
            <w:pPr>
              <w:ind w:left="20"/>
              <w:spacing w:after="0" w:line="244"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EPS</w:t>
            </w:r>
            <w:r>
              <w:rPr>
                <w:rFonts w:ascii="Arial" w:cs="Arial" w:eastAsia="Arial" w:hAnsi="Arial"/>
                <w:sz w:val="16"/>
                <w:szCs w:val="16"/>
                <w:b w:val="1"/>
                <w:bCs w:val="1"/>
                <w:color w:val="FFFFFF"/>
                <w:vertAlign w:val="superscript"/>
              </w:rPr>
              <w:t>(3)</w:t>
            </w:r>
          </w:p>
        </w:tc>
        <w:tc>
          <w:tcPr>
            <w:tcW w:w="60" w:type="dxa"/>
            <w:vAlign w:val="bottom"/>
            <w:shd w:val="clear" w:color="auto" w:fill="003763"/>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2">
            <w:col w:w="2840" w:space="720"/>
            <w:col w:w="6460"/>
          </w:cols>
          <w:pgMar w:left="580" w:top="97" w:right="1299" w:bottom="1440" w:gutter="0" w:footer="0" w:header="0"/>
          <w:type w:val="continuous"/>
        </w:sectPr>
      </w:pPr>
    </w:p>
    <w:tbl>
      <w:tblPr>
        <w:tblLayout w:type="fixed"/>
        <w:tblInd w:w="74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2720" w:type="dxa"/>
            <w:vAlign w:val="bottom"/>
          </w:tcPr>
          <w:p>
            <w:pPr>
              <w:spacing w:after="0" w:line="153" w:lineRule="exact"/>
              <w:rPr>
                <w:sz w:val="20"/>
                <w:szCs w:val="20"/>
                <w:color w:val="auto"/>
              </w:rPr>
            </w:pPr>
            <w:r>
              <w:rPr>
                <w:rFonts w:ascii="Arial" w:cs="Arial" w:eastAsia="Arial" w:hAnsi="Arial"/>
                <w:sz w:val="14"/>
                <w:szCs w:val="14"/>
                <w:b w:val="1"/>
                <w:bCs w:val="1"/>
                <w:color w:val="auto"/>
              </w:rPr>
              <w:t>Consolidated income (loss) available to</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6"/>
        </w:trPr>
        <w:tc>
          <w:tcPr>
            <w:tcW w:w="80" w:type="dxa"/>
            <w:vAlign w:val="bottom"/>
          </w:tcPr>
          <w:p>
            <w:pPr>
              <w:spacing w:after="0"/>
              <w:rPr>
                <w:sz w:val="15"/>
                <w:szCs w:val="15"/>
                <w:color w:val="auto"/>
              </w:rPr>
            </w:pPr>
          </w:p>
        </w:tc>
        <w:tc>
          <w:tcPr>
            <w:tcW w:w="2720" w:type="dxa"/>
            <w:vAlign w:val="bottom"/>
          </w:tcPr>
          <w:p>
            <w:pPr>
              <w:ind w:left="140"/>
              <w:spacing w:after="0"/>
              <w:rPr>
                <w:sz w:val="20"/>
                <w:szCs w:val="20"/>
                <w:color w:val="auto"/>
              </w:rPr>
            </w:pPr>
            <w:r>
              <w:rPr>
                <w:rFonts w:ascii="Arial" w:cs="Arial" w:eastAsia="Arial" w:hAnsi="Arial"/>
                <w:sz w:val="14"/>
                <w:szCs w:val="14"/>
                <w:b w:val="1"/>
                <w:bCs w:val="1"/>
                <w:color w:val="auto"/>
              </w:rPr>
              <w:t>common shareholders and diluted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line="266" w:lineRule="exact"/>
              <w:rPr>
                <w:sz w:val="20"/>
                <w:szCs w:val="20"/>
                <w:color w:val="auto"/>
              </w:rPr>
            </w:pPr>
            <w:r>
              <w:rPr>
                <w:rFonts w:ascii="Arial" w:cs="Arial" w:eastAsia="Arial" w:hAnsi="Arial"/>
                <w:sz w:val="28"/>
                <w:szCs w:val="28"/>
                <w:b w:val="1"/>
                <w:bCs w:val="1"/>
                <w:color w:val="auto"/>
                <w:vertAlign w:val="subscript"/>
              </w:rPr>
              <w:t>EPS</w:t>
            </w:r>
            <w:r>
              <w:rPr>
                <w:rFonts w:ascii="Arial" w:cs="Arial" w:eastAsia="Arial" w:hAnsi="Arial"/>
                <w:sz w:val="9"/>
                <w:szCs w:val="9"/>
                <w:b w:val="1"/>
                <w:bCs w:val="1"/>
                <w:color w:val="auto"/>
              </w:rPr>
              <w:t>(3)</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$508</w:t>
            </w:r>
          </w:p>
        </w:tc>
        <w:tc>
          <w:tcPr>
            <w:tcW w:w="26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14"/>
                <w:szCs w:val="14"/>
                <w:color w:val="auto"/>
              </w:rPr>
              <w:t xml:space="preserve">0.95 </w:t>
            </w:r>
            <w:r>
              <w:rPr>
                <w:rFonts w:ascii="Arial" w:cs="Arial" w:eastAsia="Arial" w:hAnsi="Arial"/>
                <w:sz w:val="28"/>
                <w:szCs w:val="28"/>
                <w:color w:val="auto"/>
                <w:vertAlign w:val="subscript"/>
              </w:rPr>
              <w:t>​​​</w:t>
            </w:r>
          </w:p>
        </w:tc>
        <w:tc>
          <w:tcPr>
            <w:tcW w:w="640" w:type="dxa"/>
            <w:vAlign w:val="bottom"/>
            <w:tcBorders>
              <w:bottom w:val="single" w:sz="8" w:color="CCCCCC"/>
            </w:tcBorders>
            <w:gridSpan w:val="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$(1,074)</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$(2.02) </w:t>
            </w:r>
            <w:r>
              <w:rPr>
                <w:rFonts w:ascii="Arial" w:cs="Arial" w:eastAsia="Arial" w:hAnsi="Arial"/>
                <w:sz w:val="28"/>
                <w:szCs w:val="28"/>
                <w:color w:val="auto"/>
                <w:vertAlign w:val="subscript"/>
              </w:rPr>
              <w:t>​​​</w:t>
            </w:r>
          </w:p>
        </w:tc>
        <w:tc>
          <w:tcPr>
            <w:tcW w:w="50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$(201)</w:t>
            </w:r>
          </w:p>
        </w:tc>
        <w:tc>
          <w:tcPr>
            <w:tcW w:w="74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(0.38)</w:t>
            </w:r>
            <w:r>
              <w:rPr>
                <w:rFonts w:ascii="Arial" w:cs="Arial" w:eastAsia="Arial" w:hAnsi="Arial"/>
                <w:sz w:val="28"/>
                <w:szCs w:val="28"/>
                <w:color w:val="auto"/>
                <w:vertAlign w:val="subscript"/>
              </w:rPr>
              <w:t>​​​</w:t>
            </w:r>
          </w:p>
        </w:tc>
        <w:tc>
          <w:tcPr>
            <w:tcW w:w="50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$(182)</w:t>
            </w:r>
          </w:p>
        </w:tc>
        <w:tc>
          <w:tcPr>
            <w:tcW w:w="82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(0.34)</w:t>
            </w:r>
            <w:r>
              <w:rPr>
                <w:rFonts w:ascii="Arial" w:cs="Arial" w:eastAsia="Arial" w:hAnsi="Arial"/>
                <w:sz w:val="28"/>
                <w:szCs w:val="28"/>
                <w:color w:val="auto"/>
                <w:vertAlign w:val="subscript"/>
              </w:rPr>
              <w:t>​​​ ​</w:t>
            </w:r>
            <w:r>
              <w:rPr>
                <w:rFonts w:ascii="Arial" w:cs="Arial" w:eastAsia="Arial" w:hAnsi="Arial"/>
                <w:sz w:val="14"/>
                <w:szCs w:val="14"/>
                <w:color w:val="auto"/>
              </w:rPr>
              <w:t>$</w:t>
            </w:r>
          </w:p>
        </w:tc>
        <w:tc>
          <w:tcPr>
            <w:tcW w:w="80" w:type="dxa"/>
            <w:vAlign w:val="bottom"/>
            <w:tcBorders>
              <w:bottom w:val="single" w:sz="8" w:color="CCCCCC"/>
            </w:tcBorders>
          </w:tcPr>
          <w:p>
            <w:pPr>
              <w:spacing w:after="0"/>
              <w:rPr>
                <w:sz w:val="23"/>
                <w:szCs w:val="23"/>
                <w:color w:val="auto"/>
              </w:rPr>
            </w:pP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(949)</w:t>
            </w:r>
          </w:p>
        </w:tc>
        <w:tc>
          <w:tcPr>
            <w:tcW w:w="6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(1.79)</w:t>
            </w:r>
            <w:r>
              <w:rPr>
                <w:rFonts w:ascii="Arial" w:cs="Arial" w:eastAsia="Arial" w:hAnsi="Arial"/>
                <w:sz w:val="28"/>
                <w:szCs w:val="28"/>
                <w:color w:val="auto"/>
                <w:vertAlign w:val="subscript"/>
              </w:rPr>
              <w:t>​​</w:t>
            </w:r>
          </w:p>
        </w:tc>
      </w:tr>
      <w:tr>
        <w:trPr>
          <w:trHeight w:val="290"/>
        </w:trPr>
        <w:tc>
          <w:tcPr>
            <w:tcW w:w="2800" w:type="dxa"/>
            <w:vAlign w:val="bottom"/>
            <w:tcBorders>
              <w:bottom w:val="single" w:sz="8" w:color="CCCCCC"/>
            </w:tcBorders>
            <w:gridSpan w:val="2"/>
            <w:shd w:val="clear" w:color="auto" w:fill="F2F2F2"/>
          </w:tcPr>
          <w:p>
            <w:pPr>
              <w:ind w:left="4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Timing effects impacting CES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6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w:t>
            </w:r>
          </w:p>
        </w:tc>
        <w:tc>
          <w:tcPr>
            <w:tcW w:w="2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44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c>
          <w:tcPr>
            <w:tcW w:w="240" w:type="dxa"/>
            <w:vAlign w:val="bottom"/>
            <w:tcBorders>
              <w:bottom w:val="single" w:sz="8" w:color="CCCCCC"/>
            </w:tcBorders>
            <w:shd w:val="clear" w:color="auto" w:fill="F2F2F2"/>
          </w:tcPr>
          <w:p>
            <w:pPr>
              <w:ind w:left="6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w:t>
            </w:r>
          </w:p>
        </w:tc>
        <w:tc>
          <w:tcPr>
            <w:tcW w:w="4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w:t>
            </w:r>
          </w:p>
        </w:tc>
        <w:tc>
          <w:tcPr>
            <w:tcW w:w="220" w:type="dxa"/>
            <w:vAlign w:val="bottom"/>
            <w:tcBorders>
              <w:bottom w:val="single" w:sz="8" w:color="CCCCCC"/>
            </w:tcBorders>
            <w:shd w:val="clear" w:color="auto" w:fill="F2F2F2"/>
          </w:tcPr>
          <w:p>
            <w:pPr>
              <w:spacing w:after="0"/>
              <w:rPr>
                <w:sz w:val="24"/>
                <w:szCs w:val="24"/>
                <w:color w:val="auto"/>
              </w:rPr>
            </w:pPr>
          </w:p>
        </w:tc>
        <w:tc>
          <w:tcPr>
            <w:tcW w:w="22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xml:space="preserve"> ​​​</w:t>
            </w:r>
          </w:p>
        </w:tc>
        <w:tc>
          <w:tcPr>
            <w:tcW w:w="22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40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90"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perscript"/>
              </w:rPr>
              <w:t>​</w:t>
            </w:r>
          </w:p>
        </w:tc>
        <w:tc>
          <w:tcPr>
            <w:tcW w:w="560" w:type="dxa"/>
            <w:vAlign w:val="bottom"/>
            <w:tcBorders>
              <w:bottom w:val="single" w:sz="8" w:color="CCCCCC"/>
            </w:tcBorders>
            <w:gridSpan w:val="2"/>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620" w:type="dxa"/>
            <w:vAlign w:val="bottom"/>
            <w:tcBorders>
              <w:bottom w:val="single" w:sz="8" w:color="CCCCCC"/>
            </w:tcBorders>
            <w:gridSpan w:val="3"/>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w:t>
            </w:r>
          </w:p>
        </w:tc>
        <w:tc>
          <w:tcPr>
            <w:tcW w:w="380" w:type="dxa"/>
            <w:vAlign w:val="bottom"/>
            <w:tcBorders>
              <w:bottom w:val="single" w:sz="8" w:color="CCCCCC"/>
            </w:tcBorders>
            <w:shd w:val="clear" w:color="auto" w:fill="F2F2F2"/>
          </w:tcPr>
          <w:p>
            <w:pPr>
              <w:jc w:val="right"/>
              <w:spacing w:after="0" w:line="290" w:lineRule="exact"/>
              <w:rPr>
                <w:sz w:val="20"/>
                <w:szCs w:val="20"/>
                <w:color w:val="auto"/>
              </w:rPr>
            </w:pPr>
            <w:r>
              <w:rPr>
                <w:rFonts w:ascii="Arial" w:cs="Arial" w:eastAsia="Arial" w:hAnsi="Arial"/>
                <w:sz w:val="28"/>
                <w:szCs w:val="28"/>
                <w:b w:val="1"/>
                <w:bCs w:val="1"/>
                <w:color w:val="auto"/>
                <w:vertAlign w:val="superscript"/>
              </w:rPr>
              <w:t>​</w:t>
            </w:r>
            <w:r>
              <w:rPr>
                <w:rFonts w:ascii="Arial" w:cs="Arial" w:eastAsia="Arial" w:hAnsi="Arial"/>
                <w:sz w:val="14"/>
                <w:szCs w:val="14"/>
                <w:b w:val="1"/>
                <w:bCs w:val="1"/>
                <w:color w:val="auto"/>
              </w:rPr>
              <w:t>​​</w:t>
            </w:r>
          </w:p>
        </w:tc>
      </w:tr>
      <w:tr>
        <w:trPr>
          <w:trHeight w:val="200"/>
        </w:trPr>
        <w:tc>
          <w:tcPr>
            <w:tcW w:w="8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Mark-to-market (gains) losses (net of taxes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of $3)</w:t>
            </w:r>
            <w:r>
              <w:rPr>
                <w:rFonts w:ascii="Arial" w:cs="Arial" w:eastAsia="Arial" w:hAnsi="Arial"/>
                <w:sz w:val="17"/>
                <w:szCs w:val="17"/>
                <w:color w:val="auto"/>
                <w:vertAlign w:val="superscript"/>
              </w:rPr>
              <w:t>(4)</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6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0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(10)</w:t>
            </w:r>
          </w:p>
        </w:tc>
        <w:tc>
          <w:tcPr>
            <w:tcW w:w="900" w:type="dxa"/>
            <w:vAlign w:val="bottom"/>
            <w:tcBorders>
              <w:bottom w:val="single" w:sz="8" w:color="CCCCCC"/>
            </w:tcBorders>
            <w:gridSpan w:val="3"/>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​(0.02)</w:t>
            </w:r>
            <w:r>
              <w:rPr>
                <w:rFonts w:ascii="Arial" w:cs="Arial" w:eastAsia="Arial" w:hAnsi="Arial"/>
                <w:sz w:val="28"/>
                <w:szCs w:val="28"/>
                <w:color w:val="auto"/>
                <w:vertAlign w:val="subscript"/>
              </w:rPr>
              <w:t>​​​ ​</w:t>
            </w:r>
            <w:r>
              <w:rPr>
                <w:rFonts w:ascii="Arial" w:cs="Arial" w:eastAsia="Arial" w:hAnsi="Arial"/>
                <w:sz w:val="14"/>
                <w:szCs w:val="14"/>
                <w:color w:val="auto"/>
              </w:rPr>
              <w:t xml:space="preserve"> ​</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(10)</w:t>
            </w:r>
          </w:p>
        </w:tc>
        <w:tc>
          <w:tcPr>
            <w:tcW w:w="6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​(0.02)</w:t>
            </w:r>
            <w:r>
              <w:rPr>
                <w:rFonts w:ascii="Arial" w:cs="Arial" w:eastAsia="Arial" w:hAnsi="Arial"/>
                <w:sz w:val="28"/>
                <w:szCs w:val="28"/>
                <w:color w:val="auto"/>
                <w:vertAlign w:val="subscript"/>
              </w:rPr>
              <w:t>​​</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ZENS-related mark-to-market (gains)</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39"/>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losses:</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6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4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c>
          <w:tcPr>
            <w:tcW w:w="240" w:type="dxa"/>
            <w:vAlign w:val="bottom"/>
            <w:tcBorders>
              <w:bottom w:val="single" w:sz="8" w:color="CCCCCC"/>
            </w:tcBorders>
            <w:shd w:val="clear" w:color="auto" w:fill="F2F2F2"/>
          </w:tcPr>
          <w:p>
            <w:pPr>
              <w:ind w:left="6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2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20" w:type="dxa"/>
            <w:vAlign w:val="bottom"/>
            <w:tcBorders>
              <w:bottom w:val="single" w:sz="8" w:color="CCCCCC"/>
            </w:tcBorders>
            <w:shd w:val="clear" w:color="auto" w:fill="F2F2F2"/>
          </w:tcPr>
          <w:p>
            <w:pPr>
              <w:spacing w:after="0"/>
              <w:rPr>
                <w:sz w:val="20"/>
                <w:szCs w:val="20"/>
                <w:color w:val="auto"/>
              </w:rPr>
            </w:pPr>
          </w:p>
        </w:tc>
        <w:tc>
          <w:tcPr>
            <w:tcW w:w="22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0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80" w:type="dxa"/>
            <w:vAlign w:val="bottom"/>
            <w:tcBorders>
              <w:bottom w:val="single" w:sz="8" w:color="CCCCCC"/>
            </w:tcBorders>
            <w:shd w:val="clear" w:color="auto" w:fill="F2F2F2"/>
          </w:tcPr>
          <w:p>
            <w:pPr>
              <w:ind w:left="220"/>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w:t>
            </w:r>
          </w:p>
        </w:tc>
        <w:tc>
          <w:tcPr>
            <w:tcW w:w="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CCCC"/>
            </w:tcBorders>
            <w:gridSpan w:val="2"/>
            <w:shd w:val="clear" w:color="auto" w:fill="F2F2F2"/>
          </w:tcPr>
          <w:p>
            <w:pPr>
              <w:ind w:left="300"/>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w:t>
            </w:r>
          </w:p>
        </w:tc>
        <w:tc>
          <w:tcPr>
            <w:tcW w:w="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r>
      <w:tr>
        <w:trPr>
          <w:trHeight w:val="291"/>
        </w:trPr>
        <w:tc>
          <w:tcPr>
            <w:tcW w:w="280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Equity securities (net of taxes of $11)</w:t>
            </w:r>
            <w:r>
              <w:rPr>
                <w:rFonts w:ascii="Arial" w:cs="Arial" w:eastAsia="Arial" w:hAnsi="Arial"/>
                <w:sz w:val="17"/>
                <w:szCs w:val="17"/>
                <w:color w:val="auto"/>
                <w:vertAlign w:val="superscript"/>
              </w:rPr>
              <w:t>(4)(5)</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tcPr>
          <w:p>
            <w:pPr>
              <w:ind w:left="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260" w:type="dxa"/>
            <w:vAlign w:val="bottom"/>
            <w:tcBorders>
              <w:bottom w:val="single" w:sz="8" w:color="CCCCCC"/>
            </w:tcBorders>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CCCC"/>
            </w:tcBorders>
            <w:gridSpan w:val="2"/>
          </w:tcPr>
          <w:p>
            <w:pPr>
              <w:ind w:left="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(38)</w:t>
            </w:r>
          </w:p>
        </w:tc>
        <w:tc>
          <w:tcPr>
            <w:tcW w:w="74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​(0.07)</w:t>
            </w: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9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60" w:type="dxa"/>
            <w:vAlign w:val="bottom"/>
            <w:tcBorders>
              <w:bottom w:val="single" w:sz="8" w:color="CCCCCC"/>
            </w:tcBorders>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(38)</w:t>
            </w:r>
          </w:p>
        </w:tc>
        <w:tc>
          <w:tcPr>
            <w:tcW w:w="640" w:type="dxa"/>
            <w:vAlign w:val="bottom"/>
            <w:tcBorders>
              <w:bottom w:val="single" w:sz="8" w:color="CCCCCC"/>
            </w:tcBorders>
            <w:gridSpan w:val="3"/>
          </w:tcPr>
          <w:p>
            <w:pPr>
              <w:jc w:val="right"/>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​(0.07)</w:t>
            </w:r>
            <w:r>
              <w:rPr>
                <w:rFonts w:ascii="Arial" w:cs="Arial" w:eastAsia="Arial" w:hAnsi="Arial"/>
                <w:sz w:val="28"/>
                <w:szCs w:val="28"/>
                <w:color w:val="auto"/>
                <w:vertAlign w:val="subscript"/>
              </w:rPr>
              <w:t>​​</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color w:val="auto"/>
              </w:rPr>
              <w:t>Indexed debt securities (net of taxes of</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66"/>
        </w:trPr>
        <w:tc>
          <w:tcPr>
            <w:tcW w:w="2800" w:type="dxa"/>
            <w:vAlign w:val="bottom"/>
            <w:tcBorders>
              <w:bottom w:val="single" w:sz="8" w:color="CCCCCC"/>
            </w:tcBorders>
            <w:gridSpan w:val="2"/>
            <w:shd w:val="clear" w:color="auto" w:fill="F2F2F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$13)</w:t>
            </w:r>
            <w:r>
              <w:rPr>
                <w:rFonts w:ascii="Arial" w:cs="Arial" w:eastAsia="Arial" w:hAnsi="Arial"/>
                <w:sz w:val="17"/>
                <w:szCs w:val="17"/>
                <w:color w:val="auto"/>
                <w:vertAlign w:val="superscript"/>
              </w:rPr>
              <w:t>(4)</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60" w:type="dxa"/>
            <w:vAlign w:val="bottom"/>
            <w:tcBorders>
              <w:bottom w:val="single" w:sz="8" w:color="CCCCCC"/>
            </w:tcBorders>
            <w:shd w:val="clear" w:color="auto" w:fill="F2F2F2"/>
          </w:tcPr>
          <w:p>
            <w:pPr>
              <w:jc w:val="right"/>
              <w:ind w:right="2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47</w:t>
            </w:r>
          </w:p>
        </w:tc>
        <w:tc>
          <w:tcPr>
            <w:tcW w:w="74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0.09</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6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47</w:t>
            </w:r>
          </w:p>
        </w:tc>
        <w:tc>
          <w:tcPr>
            <w:tcW w:w="640" w:type="dxa"/>
            <w:vAlign w:val="bottom"/>
            <w:tcBorders>
              <w:bottom w:val="single" w:sz="8" w:color="CCCCCC"/>
            </w:tcBorders>
            <w:gridSpan w:val="3"/>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0.09</w:t>
            </w:r>
            <w:r>
              <w:rPr>
                <w:rFonts w:ascii="Arial" w:cs="Arial" w:eastAsia="Arial" w:hAnsi="Arial"/>
                <w:sz w:val="14"/>
                <w:szCs w:val="14"/>
                <w:color w:val="auto"/>
              </w:rPr>
              <w:t xml:space="preserve"> ​​</w:t>
            </w:r>
          </w:p>
        </w:tc>
      </w:tr>
      <w:tr>
        <w:trPr>
          <w:trHeight w:val="200"/>
        </w:trPr>
        <w:tc>
          <w:tcPr>
            <w:tcW w:w="8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Impacts associated with the Vectren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merger (net of taxes of $1, $3)</w:t>
            </w:r>
            <w:r>
              <w:rPr>
                <w:rFonts w:ascii="Arial" w:cs="Arial" w:eastAsia="Arial" w:hAnsi="Arial"/>
                <w:sz w:val="17"/>
                <w:szCs w:val="17"/>
                <w:b w:val="1"/>
                <w:bCs w:val="1"/>
                <w:color w:val="auto"/>
                <w:vertAlign w:val="superscript"/>
              </w:rPr>
              <w:t>(4)</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6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rPr>
              <w:t>3</w:t>
            </w:r>
          </w:p>
        </w:tc>
        <w:tc>
          <w:tcPr>
            <w:tcW w:w="70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0.01</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12</w:t>
            </w:r>
          </w:p>
        </w:tc>
        <w:tc>
          <w:tcPr>
            <w:tcW w:w="74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0.02</w:t>
            </w:r>
            <w:r>
              <w:rPr>
                <w:rFonts w:ascii="Arial" w:cs="Arial" w:eastAsia="Arial" w:hAnsi="Arial"/>
                <w:sz w:val="14"/>
                <w:szCs w:val="14"/>
                <w:color w:val="auto"/>
              </w:rPr>
              <w:t xml:space="preserve"> ​​​</w:t>
            </w:r>
          </w:p>
        </w:tc>
        <w:tc>
          <w:tcPr>
            <w:tcW w:w="22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60" w:type="dxa"/>
            <w:vAlign w:val="bottom"/>
            <w:tcBorders>
              <w:bottom w:val="single" w:sz="8" w:color="CCCCCC"/>
            </w:tcBorders>
            <w:gridSpan w:val="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15</w:t>
            </w:r>
          </w:p>
        </w:tc>
        <w:tc>
          <w:tcPr>
            <w:tcW w:w="6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0.03</w:t>
            </w:r>
            <w:r>
              <w:rPr>
                <w:rFonts w:ascii="Arial" w:cs="Arial" w:eastAsia="Arial" w:hAnsi="Arial"/>
                <w:sz w:val="14"/>
                <w:szCs w:val="14"/>
                <w:color w:val="auto"/>
              </w:rPr>
              <w:t xml:space="preserve"> ​​</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Impacts associated with BREC</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175"/>
        </w:trPr>
        <w:tc>
          <w:tcPr>
            <w:tcW w:w="80" w:type="dxa"/>
            <w:vAlign w:val="bottom"/>
            <w:shd w:val="clear" w:color="auto" w:fill="F2F2F2"/>
          </w:tcPr>
          <w:p>
            <w:pPr>
              <w:spacing w:after="0"/>
              <w:rPr>
                <w:sz w:val="15"/>
                <w:szCs w:val="15"/>
                <w:color w:val="auto"/>
              </w:rPr>
            </w:pPr>
          </w:p>
        </w:tc>
        <w:tc>
          <w:tcPr>
            <w:tcW w:w="2720" w:type="dxa"/>
            <w:vAlign w:val="bottom"/>
            <w:shd w:val="clear" w:color="auto" w:fill="F2F2F2"/>
          </w:tcPr>
          <w:p>
            <w:pPr>
              <w:ind w:left="140"/>
              <w:spacing w:after="0"/>
              <w:rPr>
                <w:sz w:val="20"/>
                <w:szCs w:val="20"/>
                <w:color w:val="auto"/>
              </w:rPr>
            </w:pPr>
            <w:r>
              <w:rPr>
                <w:rFonts w:ascii="Arial" w:cs="Arial" w:eastAsia="Arial" w:hAnsi="Arial"/>
                <w:sz w:val="14"/>
                <w:szCs w:val="14"/>
                <w:b w:val="1"/>
                <w:bCs w:val="1"/>
                <w:color w:val="auto"/>
              </w:rPr>
              <w:t>activities and Severance costs (net of</w:t>
            </w:r>
          </w:p>
        </w:tc>
        <w:tc>
          <w:tcPr>
            <w:tcW w:w="14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44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48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60" w:type="dxa"/>
            <w:vAlign w:val="bottom"/>
            <w:shd w:val="clear" w:color="auto" w:fill="F2F2F2"/>
          </w:tcPr>
          <w:p>
            <w:pPr>
              <w:spacing w:after="0"/>
              <w:rPr>
                <w:sz w:val="15"/>
                <w:szCs w:val="15"/>
                <w:color w:val="auto"/>
              </w:rPr>
            </w:pPr>
          </w:p>
        </w:tc>
        <w:tc>
          <w:tcPr>
            <w:tcW w:w="380" w:type="dxa"/>
            <w:vAlign w:val="bottom"/>
            <w:shd w:val="clear" w:color="auto" w:fill="F2F2F2"/>
          </w:tcPr>
          <w:p>
            <w:pPr>
              <w:spacing w:after="0"/>
              <w:rPr>
                <w:sz w:val="15"/>
                <w:szCs w:val="15"/>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taxes of $4, $0)</w:t>
            </w:r>
            <w:r>
              <w:rPr>
                <w:rFonts w:ascii="Arial" w:cs="Arial" w:eastAsia="Arial" w:hAnsi="Arial"/>
                <w:sz w:val="17"/>
                <w:szCs w:val="17"/>
                <w:b w:val="1"/>
                <w:bCs w:val="1"/>
                <w:color w:val="auto"/>
                <w:vertAlign w:val="superscript"/>
              </w:rPr>
              <w:t>(4)</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14</w:t>
            </w:r>
          </w:p>
        </w:tc>
        <w:tc>
          <w:tcPr>
            <w:tcW w:w="70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0.03</w:t>
            </w:r>
            <w:r>
              <w:rPr>
                <w:rFonts w:ascii="Arial" w:cs="Arial" w:eastAsia="Arial" w:hAnsi="Arial"/>
                <w:sz w:val="14"/>
                <w:szCs w:val="14"/>
                <w:color w:val="auto"/>
              </w:rPr>
              <w:t xml:space="preserve"> ​​​</w:t>
            </w:r>
          </w:p>
        </w:tc>
        <w:tc>
          <w:tcPr>
            <w:tcW w:w="24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6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17</w:t>
            </w:r>
          </w:p>
        </w:tc>
        <w:tc>
          <w:tcPr>
            <w:tcW w:w="640" w:type="dxa"/>
            <w:vAlign w:val="bottom"/>
            <w:tcBorders>
              <w:bottom w:val="single" w:sz="8" w:color="CCCCCC"/>
            </w:tcBorders>
            <w:gridSpan w:val="3"/>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0.03</w:t>
            </w:r>
            <w:r>
              <w:rPr>
                <w:rFonts w:ascii="Arial" w:cs="Arial" w:eastAsia="Arial" w:hAnsi="Arial"/>
                <w:sz w:val="14"/>
                <w:szCs w:val="14"/>
                <w:color w:val="auto"/>
              </w:rPr>
              <w:t xml:space="preserve"> ​​</w:t>
            </w:r>
          </w:p>
        </w:tc>
      </w:tr>
      <w:tr>
        <w:trPr>
          <w:trHeight w:val="200"/>
        </w:trPr>
        <w:tc>
          <w:tcPr>
            <w:tcW w:w="8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Impacts associated with the sales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w w:val="97"/>
              </w:rPr>
              <w:t>CES</w:t>
            </w:r>
            <w:r>
              <w:rPr>
                <w:rFonts w:ascii="Arial" w:cs="Arial" w:eastAsia="Arial" w:hAnsi="Arial"/>
                <w:sz w:val="17"/>
                <w:szCs w:val="17"/>
                <w:b w:val="1"/>
                <w:bCs w:val="1"/>
                <w:color w:val="auto"/>
                <w:w w:val="97"/>
                <w:vertAlign w:val="superscript"/>
              </w:rPr>
              <w:t>(1)</w:t>
            </w:r>
            <w:r>
              <w:rPr>
                <w:rFonts w:ascii="Arial" w:cs="Arial" w:eastAsia="Arial" w:hAnsi="Arial"/>
                <w:sz w:val="14"/>
                <w:szCs w:val="14"/>
                <w:b w:val="1"/>
                <w:bCs w:val="1"/>
                <w:color w:val="auto"/>
                <w:w w:val="97"/>
              </w:rPr>
              <w:t xml:space="preserve"> and CIS</w:t>
            </w:r>
            <w:r>
              <w:rPr>
                <w:rFonts w:ascii="Arial" w:cs="Arial" w:eastAsia="Arial" w:hAnsi="Arial"/>
                <w:sz w:val="17"/>
                <w:szCs w:val="17"/>
                <w:b w:val="1"/>
                <w:bCs w:val="1"/>
                <w:color w:val="auto"/>
                <w:w w:val="97"/>
                <w:vertAlign w:val="superscript"/>
              </w:rPr>
              <w:t>(2)</w:t>
            </w:r>
            <w:r>
              <w:rPr>
                <w:rFonts w:ascii="Arial" w:cs="Arial" w:eastAsia="Arial" w:hAnsi="Arial"/>
                <w:sz w:val="14"/>
                <w:szCs w:val="14"/>
                <w:b w:val="1"/>
                <w:bCs w:val="1"/>
                <w:color w:val="auto"/>
                <w:w w:val="97"/>
              </w:rPr>
              <w:t xml:space="preserve"> (net of taxes of $10)</w:t>
            </w:r>
            <w:r>
              <w:rPr>
                <w:rFonts w:ascii="Arial" w:cs="Arial" w:eastAsia="Arial" w:hAnsi="Arial"/>
                <w:sz w:val="17"/>
                <w:szCs w:val="17"/>
                <w:b w:val="1"/>
                <w:bCs w:val="1"/>
                <w:color w:val="auto"/>
                <w:w w:val="97"/>
                <w:vertAlign w:val="superscript"/>
              </w:rPr>
              <w:t>(4)</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6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0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​217</w:t>
            </w:r>
          </w:p>
        </w:tc>
        <w:tc>
          <w:tcPr>
            <w:tcW w:w="900" w:type="dxa"/>
            <w:vAlign w:val="bottom"/>
            <w:tcBorders>
              <w:bottom w:val="single" w:sz="8" w:color="CCCCCC"/>
            </w:tcBorders>
            <w:gridSpan w:val="3"/>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0.41</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217</w:t>
            </w:r>
          </w:p>
        </w:tc>
        <w:tc>
          <w:tcPr>
            <w:tcW w:w="6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0.41</w:t>
            </w:r>
            <w:r>
              <w:rPr>
                <w:rFonts w:ascii="Arial" w:cs="Arial" w:eastAsia="Arial" w:hAnsi="Arial"/>
                <w:sz w:val="14"/>
                <w:szCs w:val="14"/>
                <w:color w:val="auto"/>
              </w:rPr>
              <w:t xml:space="preserve"> ​​</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Impacts associated with Series C</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39"/>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6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4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c>
          <w:tcPr>
            <w:tcW w:w="240" w:type="dxa"/>
            <w:vAlign w:val="bottom"/>
            <w:tcBorders>
              <w:bottom w:val="single" w:sz="8" w:color="CCCCCC"/>
            </w:tcBorders>
            <w:shd w:val="clear" w:color="auto" w:fill="F2F2F2"/>
          </w:tcPr>
          <w:p>
            <w:pPr>
              <w:ind w:left="6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0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2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20" w:type="dxa"/>
            <w:vAlign w:val="bottom"/>
            <w:tcBorders>
              <w:bottom w:val="single" w:sz="8" w:color="CCCCCC"/>
            </w:tcBorders>
            <w:shd w:val="clear" w:color="auto" w:fill="F2F2F2"/>
          </w:tcPr>
          <w:p>
            <w:pPr>
              <w:spacing w:after="0"/>
              <w:rPr>
                <w:sz w:val="20"/>
                <w:szCs w:val="20"/>
                <w:color w:val="auto"/>
              </w:rPr>
            </w:pPr>
          </w:p>
        </w:tc>
        <w:tc>
          <w:tcPr>
            <w:tcW w:w="22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40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28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perscript"/>
              </w:rPr>
              <w:t>​</w:t>
            </w:r>
          </w:p>
        </w:tc>
        <w:tc>
          <w:tcPr>
            <w:tcW w:w="560" w:type="dxa"/>
            <w:vAlign w:val="bottom"/>
            <w:tcBorders>
              <w:bottom w:val="single" w:sz="8" w:color="CCCCCC"/>
            </w:tcBorders>
            <w:gridSpan w:val="2"/>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p>
        </w:tc>
        <w:tc>
          <w:tcPr>
            <w:tcW w:w="620" w:type="dxa"/>
            <w:vAlign w:val="bottom"/>
            <w:tcBorders>
              <w:bottom w:val="single" w:sz="8" w:color="CCCCCC"/>
            </w:tcBorders>
            <w:gridSpan w:val="3"/>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 xml:space="preserve"> ​​​​ </w:t>
            </w:r>
            <w:r>
              <w:rPr>
                <w:rFonts w:ascii="Arial" w:cs="Arial" w:eastAsia="Arial" w:hAnsi="Arial"/>
                <w:sz w:val="27"/>
                <w:szCs w:val="27"/>
                <w:b w:val="1"/>
                <w:bCs w:val="1"/>
                <w:color w:val="auto"/>
                <w:vertAlign w:val="superscript"/>
              </w:rPr>
              <w:t>​</w:t>
            </w:r>
          </w:p>
        </w:tc>
        <w:tc>
          <w:tcPr>
            <w:tcW w:w="380" w:type="dxa"/>
            <w:vAlign w:val="bottom"/>
            <w:tcBorders>
              <w:bottom w:val="single" w:sz="8" w:color="CCCCCC"/>
            </w:tcBorders>
            <w:shd w:val="clear" w:color="auto" w:fill="F2F2F2"/>
          </w:tcPr>
          <w:p>
            <w:pPr>
              <w:jc w:val="right"/>
              <w:spacing w:after="0" w:line="239"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4"/>
                <w:szCs w:val="14"/>
                <w:b w:val="1"/>
                <w:bCs w:val="1"/>
                <w:color w:val="auto"/>
              </w:rPr>
              <w:t>​​</w:t>
            </w:r>
          </w:p>
        </w:tc>
      </w:tr>
      <w:tr>
        <w:trPr>
          <w:trHeight w:val="200"/>
        </w:trPr>
        <w:tc>
          <w:tcPr>
            <w:tcW w:w="8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Preferred stock dividend requirement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76"/>
        </w:trPr>
        <w:tc>
          <w:tcPr>
            <w:tcW w:w="80" w:type="dxa"/>
            <w:vAlign w:val="bottom"/>
          </w:tcPr>
          <w:p>
            <w:pPr>
              <w:spacing w:after="0"/>
              <w:rPr>
                <w:sz w:val="15"/>
                <w:szCs w:val="15"/>
                <w:color w:val="auto"/>
              </w:rPr>
            </w:pPr>
          </w:p>
        </w:tc>
        <w:tc>
          <w:tcPr>
            <w:tcW w:w="2720" w:type="dxa"/>
            <w:vAlign w:val="bottom"/>
          </w:tcPr>
          <w:p>
            <w:pPr>
              <w:ind w:left="140"/>
              <w:spacing w:after="0"/>
              <w:rPr>
                <w:sz w:val="20"/>
                <w:szCs w:val="20"/>
                <w:color w:val="auto"/>
              </w:rPr>
            </w:pPr>
            <w:r>
              <w:rPr>
                <w:rFonts w:ascii="Arial" w:cs="Arial" w:eastAsia="Arial" w:hAnsi="Arial"/>
                <w:sz w:val="14"/>
                <w:szCs w:val="14"/>
                <w:color w:val="auto"/>
              </w:rPr>
              <w:t>amortization of beneficial conversion</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9"/>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rPr>
                <w:sz w:val="20"/>
                <w:szCs w:val="20"/>
                <w:color w:val="auto"/>
              </w:rPr>
            </w:pPr>
            <w:r>
              <w:rPr>
                <w:rFonts w:ascii="Arial" w:cs="Arial" w:eastAsia="Arial" w:hAnsi="Arial"/>
                <w:sz w:val="14"/>
                <w:szCs w:val="14"/>
                <w:color w:val="auto"/>
              </w:rPr>
              <w:t>feature</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6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6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CCCC"/>
            </w:tcBorders>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440" w:type="dxa"/>
            <w:vAlign w:val="bottom"/>
            <w:tcBorders>
              <w:bottom w:val="single" w:sz="8" w:color="CCCCCC"/>
            </w:tcBorders>
          </w:tcPr>
          <w:p>
            <w:pPr>
              <w:jc w:val="right"/>
              <w:spacing w:after="0" w:line="239"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58</w:t>
            </w:r>
          </w:p>
        </w:tc>
        <w:tc>
          <w:tcPr>
            <w:tcW w:w="740" w:type="dxa"/>
            <w:vAlign w:val="bottom"/>
            <w:tcBorders>
              <w:bottom w:val="single" w:sz="8" w:color="CCCCCC"/>
            </w:tcBorders>
            <w:gridSpan w:val="2"/>
          </w:tcPr>
          <w:p>
            <w:pPr>
              <w:jc w:val="right"/>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 0.11</w:t>
            </w:r>
            <w:r>
              <w:rPr>
                <w:rFonts w:ascii="Arial" w:cs="Arial" w:eastAsia="Arial" w:hAnsi="Arial"/>
                <w:sz w:val="14"/>
                <w:szCs w:val="14"/>
                <w:color w:val="auto"/>
              </w:rPr>
              <w:t xml:space="preserve"> ​​​</w:t>
            </w:r>
          </w:p>
        </w:tc>
        <w:tc>
          <w:tcPr>
            <w:tcW w:w="220" w:type="dxa"/>
            <w:vAlign w:val="bottom"/>
            <w:tcBorders>
              <w:bottom w:val="single" w:sz="8" w:color="CCCCCC"/>
            </w:tcBorders>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560" w:type="dxa"/>
            <w:vAlign w:val="bottom"/>
            <w:tcBorders>
              <w:bottom w:val="single" w:sz="8" w:color="CCCCCC"/>
            </w:tcBorders>
            <w:gridSpan w:val="2"/>
          </w:tcPr>
          <w:p>
            <w:pPr>
              <w:jc w:val="right"/>
              <w:spacing w:after="0" w:line="239"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58</w:t>
            </w:r>
          </w:p>
        </w:tc>
        <w:tc>
          <w:tcPr>
            <w:tcW w:w="640" w:type="dxa"/>
            <w:vAlign w:val="bottom"/>
            <w:tcBorders>
              <w:bottom w:val="single" w:sz="8" w:color="CCCCCC"/>
            </w:tcBorders>
            <w:gridSpan w:val="3"/>
          </w:tcPr>
          <w:p>
            <w:pPr>
              <w:jc w:val="right"/>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 0.11</w:t>
            </w:r>
            <w:r>
              <w:rPr>
                <w:rFonts w:ascii="Arial" w:cs="Arial" w:eastAsia="Arial" w:hAnsi="Arial"/>
                <w:sz w:val="14"/>
                <w:szCs w:val="14"/>
                <w:color w:val="auto"/>
              </w:rPr>
              <w:t xml:space="preserve"> ​​</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color w:val="auto"/>
              </w:rPr>
              <w:t>Impact of increased share count on EPS if</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39"/>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color w:val="auto"/>
              </w:rPr>
              <w:t>issued as common stock</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shd w:val="clear" w:color="auto" w:fill="F2F2F2"/>
          </w:tcPr>
          <w:p>
            <w:pPr>
              <w:ind w:left="60"/>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 —</w:t>
            </w:r>
          </w:p>
        </w:tc>
        <w:tc>
          <w:tcPr>
            <w:tcW w:w="700" w:type="dxa"/>
            <w:vAlign w:val="bottom"/>
            <w:tcBorders>
              <w:bottom w:val="single" w:sz="8" w:color="CCCCCC"/>
            </w:tcBorders>
            <w:gridSpan w:val="2"/>
            <w:shd w:val="clear" w:color="auto" w:fill="F2F2F2"/>
          </w:tcPr>
          <w:p>
            <w:pPr>
              <w:jc w:val="right"/>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​(0.06)</w:t>
            </w:r>
            <w:r>
              <w:rPr>
                <w:rFonts w:ascii="Arial" w:cs="Arial" w:eastAsia="Arial" w:hAnsi="Arial"/>
                <w:sz w:val="14"/>
                <w:szCs w:val="14"/>
                <w:color w:val="auto"/>
              </w:rPr>
              <w:t>​​​</w:t>
            </w:r>
          </w:p>
        </w:tc>
        <w:tc>
          <w:tcPr>
            <w:tcW w:w="240" w:type="dxa"/>
            <w:vAlign w:val="bottom"/>
            <w:tcBorders>
              <w:bottom w:val="single" w:sz="8" w:color="CCCCCC"/>
            </w:tcBorders>
            <w:shd w:val="clear" w:color="auto" w:fill="F2F2F2"/>
          </w:tcPr>
          <w:p>
            <w:pPr>
              <w:ind w:left="6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40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gridSpan w:val="2"/>
            <w:shd w:val="clear" w:color="auto" w:fill="F2F2F2"/>
          </w:tcPr>
          <w:p>
            <w:pPr>
              <w:jc w:val="right"/>
              <w:spacing w:after="0" w:line="239"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​0.12</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CCCC"/>
            </w:tcBorders>
            <w:gridSpan w:val="2"/>
            <w:shd w:val="clear" w:color="auto" w:fill="F2F2F2"/>
          </w:tcPr>
          <w:p>
            <w:pPr>
              <w:jc w:val="right"/>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 0.01</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560" w:type="dxa"/>
            <w:vAlign w:val="bottom"/>
            <w:tcBorders>
              <w:bottom w:val="single" w:sz="8" w:color="CCCCCC"/>
            </w:tcBorders>
            <w:gridSpan w:val="2"/>
            <w:shd w:val="clear" w:color="auto" w:fill="F2F2F2"/>
          </w:tcPr>
          <w:p>
            <w:pPr>
              <w:jc w:val="right"/>
              <w:spacing w:after="0" w:line="239"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 </w:t>
            </w:r>
            <w:r>
              <w:rPr>
                <w:rFonts w:ascii="Arial" w:cs="Arial" w:eastAsia="Arial" w:hAnsi="Arial"/>
                <w:sz w:val="27"/>
                <w:szCs w:val="27"/>
                <w:color w:val="auto"/>
                <w:vertAlign w:val="superscript"/>
              </w:rPr>
              <w:t>​</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gridSpan w:val="3"/>
            <w:shd w:val="clear" w:color="auto" w:fill="F2F2F2"/>
          </w:tcPr>
          <w:p>
            <w:pPr>
              <w:jc w:val="right"/>
              <w:spacing w:after="0" w:line="2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 0.07</w:t>
            </w:r>
            <w:r>
              <w:rPr>
                <w:rFonts w:ascii="Arial" w:cs="Arial" w:eastAsia="Arial" w:hAnsi="Arial"/>
                <w:sz w:val="14"/>
                <w:szCs w:val="14"/>
                <w:color w:val="auto"/>
              </w:rPr>
              <w:t xml:space="preserve"> ​​</w:t>
            </w:r>
          </w:p>
        </w:tc>
      </w:tr>
      <w:tr>
        <w:trPr>
          <w:trHeight w:val="263"/>
        </w:trPr>
        <w:tc>
          <w:tcPr>
            <w:tcW w:w="280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Total Series C impacts</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7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​(0.06)</w:t>
            </w:r>
            <w:r>
              <w:rPr>
                <w:rFonts w:ascii="Arial" w:cs="Arial" w:eastAsia="Arial" w:hAnsi="Arial"/>
                <w:sz w:val="28"/>
                <w:szCs w:val="28"/>
                <w:color w:val="auto"/>
                <w:vertAlign w:val="subscript"/>
              </w:rPr>
              <w:t>​​​</w:t>
            </w:r>
          </w:p>
        </w:tc>
        <w:tc>
          <w:tcPr>
            <w:tcW w:w="240" w:type="dxa"/>
            <w:vAlign w:val="bottom"/>
            <w:tcBorders>
              <w:bottom w:val="single" w:sz="8" w:color="CCCCCC"/>
            </w:tcBorders>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​0.12</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58</w:t>
            </w:r>
          </w:p>
        </w:tc>
        <w:tc>
          <w:tcPr>
            <w:tcW w:w="7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0.12</w:t>
            </w:r>
            <w:r>
              <w:rPr>
                <w:rFonts w:ascii="Arial" w:cs="Arial" w:eastAsia="Arial" w:hAnsi="Arial"/>
                <w:sz w:val="14"/>
                <w:szCs w:val="14"/>
                <w:color w:val="auto"/>
              </w:rPr>
              <w:t xml:space="preserve"> ​​​</w:t>
            </w:r>
          </w:p>
        </w:tc>
        <w:tc>
          <w:tcPr>
            <w:tcW w:w="22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56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58</w:t>
            </w:r>
          </w:p>
        </w:tc>
        <w:tc>
          <w:tcPr>
            <w:tcW w:w="64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0.18</w:t>
            </w:r>
            <w:r>
              <w:rPr>
                <w:rFonts w:ascii="Arial" w:cs="Arial" w:eastAsia="Arial" w:hAnsi="Arial"/>
                <w:sz w:val="14"/>
                <w:szCs w:val="14"/>
                <w:color w:val="auto"/>
              </w:rPr>
              <w:t xml:space="preserve"> ​​</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Losses on impairment (net of taxes of</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$0, $408)</w:t>
            </w:r>
            <w:r>
              <w:rPr>
                <w:rFonts w:ascii="Arial" w:cs="Arial" w:eastAsia="Arial" w:hAnsi="Arial"/>
                <w:sz w:val="17"/>
                <w:szCs w:val="17"/>
                <w:b w:val="1"/>
                <w:bCs w:val="1"/>
                <w:color w:val="auto"/>
                <w:vertAlign w:val="superscript"/>
              </w:rPr>
              <w:t>(4)</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​185</w:t>
            </w:r>
          </w:p>
        </w:tc>
        <w:tc>
          <w:tcPr>
            <w:tcW w:w="70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0.33</w:t>
            </w:r>
            <w:r>
              <w:rPr>
                <w:rFonts w:ascii="Arial" w:cs="Arial" w:eastAsia="Arial" w:hAnsi="Arial"/>
                <w:sz w:val="14"/>
                <w:szCs w:val="14"/>
                <w:color w:val="auto"/>
              </w:rPr>
              <w:t xml:space="preserve"> ​​​</w:t>
            </w:r>
          </w:p>
        </w:tc>
        <w:tc>
          <w:tcPr>
            <w:tcW w:w="640" w:type="dxa"/>
            <w:vAlign w:val="bottom"/>
            <w:tcBorders>
              <w:bottom w:val="single" w:sz="8" w:color="CCCCCC"/>
            </w:tcBorders>
            <w:gridSpan w:val="2"/>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​1,269</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​2.25</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920" w:type="dxa"/>
            <w:vAlign w:val="bottom"/>
            <w:tcBorders>
              <w:bottom w:val="single" w:sz="8" w:color="CCCCCC"/>
            </w:tcBorders>
            <w:gridSpan w:val="3"/>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 ​</w:t>
            </w:r>
            <w:r>
              <w:rPr>
                <w:rFonts w:ascii="Arial" w:cs="Arial" w:eastAsia="Arial" w:hAnsi="Arial"/>
                <w:sz w:val="14"/>
                <w:szCs w:val="14"/>
                <w:color w:val="auto"/>
              </w:rPr>
              <w:t xml:space="preserve"> ​1,454</w:t>
            </w:r>
          </w:p>
        </w:tc>
        <w:tc>
          <w:tcPr>
            <w:tcW w:w="640" w:type="dxa"/>
            <w:vAlign w:val="bottom"/>
            <w:tcBorders>
              <w:bottom w:val="single" w:sz="8" w:color="CCCCCC"/>
            </w:tcBorders>
            <w:gridSpan w:val="3"/>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2.58</w:t>
            </w:r>
            <w:r>
              <w:rPr>
                <w:rFonts w:ascii="Arial" w:cs="Arial" w:eastAsia="Arial" w:hAnsi="Arial"/>
                <w:sz w:val="14"/>
                <w:szCs w:val="14"/>
                <w:color w:val="auto"/>
              </w:rPr>
              <w:t xml:space="preserve"> ​​</w:t>
            </w:r>
          </w:p>
        </w:tc>
      </w:tr>
      <w:tr>
        <w:trPr>
          <w:trHeight w:val="264"/>
        </w:trPr>
        <w:tc>
          <w:tcPr>
            <w:tcW w:w="280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Corporate and Other Allocation</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​(48)</w:t>
            </w:r>
          </w:p>
        </w:tc>
        <w:tc>
          <w:tcPr>
            <w:tcW w:w="70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​(0.09)</w:t>
            </w:r>
            <w:r>
              <w:rPr>
                <w:rFonts w:ascii="Arial" w:cs="Arial" w:eastAsia="Arial" w:hAnsi="Arial"/>
                <w:sz w:val="14"/>
                <w:szCs w:val="14"/>
                <w:color w:val="auto"/>
              </w:rPr>
              <w:t>​​​</w:t>
            </w:r>
          </w:p>
        </w:tc>
        <w:tc>
          <w:tcPr>
            <w:tcW w:w="240" w:type="dxa"/>
            <w:vAlign w:val="bottom"/>
            <w:tcBorders>
              <w:bottom w:val="single" w:sz="8" w:color="CCCCCC"/>
            </w:tcBorders>
          </w:tcPr>
          <w:p>
            <w:pPr>
              <w:ind w:left="6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(64)</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CCCC"/>
            </w:tcBorders>
            <w:gridSpan w:val="3"/>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​(0.12) </w:t>
            </w:r>
            <w:r>
              <w:rPr>
                <w:rFonts w:ascii="Arial" w:cs="Arial" w:eastAsia="Arial" w:hAnsi="Arial"/>
                <w:sz w:val="28"/>
                <w:szCs w:val="28"/>
                <w:color w:val="auto"/>
                <w:vertAlign w:val="subscript"/>
              </w:rPr>
              <w:t>​​​</w:t>
            </w:r>
          </w:p>
        </w:tc>
        <w:tc>
          <w:tcPr>
            <w:tcW w:w="500" w:type="dxa"/>
            <w:vAlign w:val="bottom"/>
            <w:tcBorders>
              <w:bottom w:val="single" w:sz="8" w:color="CCCCCC"/>
            </w:tcBorders>
            <w:gridSpan w:val="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119</w:t>
            </w:r>
          </w:p>
        </w:tc>
        <w:tc>
          <w:tcPr>
            <w:tcW w:w="74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0.22</w:t>
            </w:r>
            <w:r>
              <w:rPr>
                <w:rFonts w:ascii="Arial" w:cs="Arial" w:eastAsia="Arial" w:hAnsi="Arial"/>
                <w:sz w:val="14"/>
                <w:szCs w:val="14"/>
                <w:color w:val="auto"/>
              </w:rPr>
              <w:t xml:space="preserve"> ​​​</w:t>
            </w:r>
          </w:p>
        </w:tc>
        <w:tc>
          <w:tcPr>
            <w:tcW w:w="220" w:type="dxa"/>
            <w:vAlign w:val="bottom"/>
            <w:tcBorders>
              <w:bottom w:val="single" w:sz="8" w:color="CCCCCC"/>
            </w:tcBorders>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CCCC"/>
            </w:tcBorders>
            <w:gridSpan w:val="3"/>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​(0.01)</w:t>
            </w: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CCCC"/>
            </w:tcBorders>
            <w:gridSpan w:val="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380" w:type="dxa"/>
            <w:vAlign w:val="bottom"/>
            <w:tcBorders>
              <w:bottom w:val="single" w:sz="8" w:color="CCCCCC"/>
            </w:tcBorders>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r>
      <w:tr>
        <w:trPr>
          <w:trHeight w:val="263"/>
        </w:trPr>
        <w:tc>
          <w:tcPr>
            <w:tcW w:w="2800" w:type="dxa"/>
            <w:vAlign w:val="bottom"/>
            <w:tcBorders>
              <w:bottom w:val="single" w:sz="8" w:color="CCCCCC"/>
            </w:tcBorders>
            <w:gridSpan w:val="2"/>
            <w:shd w:val="clear" w:color="auto" w:fill="F2F2F2"/>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Consolidated on a non-GAAP basis</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shd w:val="clear" w:color="auto" w:fill="F2F2F2"/>
          </w:tcPr>
          <w:p>
            <w:pPr>
              <w:ind w:left="6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​662</w:t>
            </w:r>
          </w:p>
        </w:tc>
        <w:tc>
          <w:tcPr>
            <w:tcW w:w="70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1.17</w:t>
            </w:r>
            <w:r>
              <w:rPr>
                <w:rFonts w:ascii="Arial" w:cs="Arial" w:eastAsia="Arial" w:hAnsi="Arial"/>
                <w:sz w:val="14"/>
                <w:szCs w:val="14"/>
                <w:color w:val="auto"/>
              </w:rPr>
              <w:t xml:space="preserve"> ​​​</w:t>
            </w:r>
          </w:p>
        </w:tc>
        <w:tc>
          <w:tcPr>
            <w:tcW w:w="240" w:type="dxa"/>
            <w:vAlign w:val="bottom"/>
            <w:tcBorders>
              <w:bottom w:val="single" w:sz="8" w:color="CCCCCC"/>
            </w:tcBorders>
            <w:shd w:val="clear" w:color="auto" w:fill="F2F2F2"/>
          </w:tcPr>
          <w:p>
            <w:pPr>
              <w:ind w:left="6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131</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gridSpan w:val="2"/>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​0.23</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spacing w:after="0" w:line="26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18</w:t>
            </w:r>
          </w:p>
        </w:tc>
        <w:tc>
          <w:tcPr>
            <w:tcW w:w="900" w:type="dxa"/>
            <w:vAlign w:val="bottom"/>
            <w:tcBorders>
              <w:bottom w:val="single" w:sz="8" w:color="CCCCCC"/>
            </w:tcBorders>
            <w:gridSpan w:val="3"/>
            <w:shd w:val="clear" w:color="auto" w:fill="F2F2F2"/>
          </w:tcPr>
          <w:p>
            <w:pPr>
              <w:ind w:left="40"/>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0.04</w:t>
            </w:r>
            <w:r>
              <w:rPr>
                <w:rFonts w:ascii="Arial" w:cs="Arial" w:eastAsia="Arial" w:hAnsi="Arial"/>
                <w:sz w:val="14"/>
                <w:szCs w:val="14"/>
                <w:color w:val="auto"/>
              </w:rPr>
              <w:t xml:space="preserve"> ​​​ ​ </w:t>
            </w:r>
            <w:r>
              <w:rPr>
                <w:rFonts w:ascii="Arial" w:cs="Arial" w:eastAsia="Arial" w:hAnsi="Arial"/>
                <w:sz w:val="28"/>
                <w:szCs w:val="28"/>
                <w:color w:val="auto"/>
                <w:vertAlign w:val="superscript"/>
              </w:rPr>
              <w:t>​</w:t>
            </w: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811</w:t>
            </w:r>
          </w:p>
        </w:tc>
        <w:tc>
          <w:tcPr>
            <w:tcW w:w="640" w:type="dxa"/>
            <w:vAlign w:val="bottom"/>
            <w:tcBorders>
              <w:bottom w:val="single" w:sz="8" w:color="CCCCCC"/>
            </w:tcBorders>
            <w:gridSpan w:val="3"/>
            <w:shd w:val="clear" w:color="auto" w:fill="F2F2F2"/>
          </w:tcPr>
          <w:p>
            <w:pPr>
              <w:jc w:val="right"/>
              <w:spacing w:after="0" w:line="26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1.44</w:t>
            </w:r>
            <w:r>
              <w:rPr>
                <w:rFonts w:ascii="Arial" w:cs="Arial" w:eastAsia="Arial" w:hAnsi="Arial"/>
                <w:sz w:val="14"/>
                <w:szCs w:val="14"/>
                <w:color w:val="auto"/>
              </w:rPr>
              <w:t xml:space="preserve"> ​​</w:t>
            </w:r>
          </w:p>
        </w:tc>
      </w:tr>
      <w:tr>
        <w:trPr>
          <w:trHeight w:val="227"/>
        </w:trPr>
        <w:tc>
          <w:tcPr>
            <w:tcW w:w="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Exclusion of CES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and CIS</w:t>
            </w:r>
            <w:r>
              <w:rPr>
                <w:rFonts w:ascii="Arial" w:cs="Arial" w:eastAsia="Arial" w:hAnsi="Arial"/>
                <w:sz w:val="17"/>
                <w:szCs w:val="17"/>
                <w:b w:val="1"/>
                <w:bCs w:val="1"/>
                <w:color w:val="auto"/>
                <w:vertAlign w:val="superscript"/>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66"/>
        </w:trPr>
        <w:tc>
          <w:tcPr>
            <w:tcW w:w="8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tcPr>
          <w:p>
            <w:pPr>
              <w:ind w:left="140"/>
              <w:spacing w:after="0"/>
              <w:rPr>
                <w:sz w:val="20"/>
                <w:szCs w:val="20"/>
                <w:color w:val="auto"/>
              </w:rPr>
            </w:pPr>
            <w:r>
              <w:rPr>
                <w:rFonts w:ascii="Arial" w:cs="Arial" w:eastAsia="Arial" w:hAnsi="Arial"/>
                <w:sz w:val="14"/>
                <w:szCs w:val="14"/>
                <w:b w:val="1"/>
                <w:bCs w:val="1"/>
                <w:color w:val="auto"/>
              </w:rPr>
              <w:t>Discontinued Operations</w:t>
            </w:r>
            <w:r>
              <w:rPr>
                <w:rFonts w:ascii="Arial" w:cs="Arial" w:eastAsia="Arial" w:hAnsi="Arial"/>
                <w:sz w:val="17"/>
                <w:szCs w:val="17"/>
                <w:b w:val="1"/>
                <w:bCs w:val="1"/>
                <w:color w:val="auto"/>
                <w:vertAlign w:val="superscript"/>
              </w:rPr>
              <w:t>(7)</w:t>
            </w:r>
          </w:p>
        </w:tc>
        <w:tc>
          <w:tcPr>
            <w:tcW w:w="140" w:type="dxa"/>
            <w:vAlign w:val="bottom"/>
            <w:tcBorders>
              <w:bottom w:val="single" w:sz="8" w:color="CCCCCC"/>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60" w:type="dxa"/>
            <w:vAlign w:val="bottom"/>
            <w:tcBorders>
              <w:bottom w:val="single" w:sz="8" w:color="CCCCCC"/>
            </w:tcBorders>
          </w:tcPr>
          <w:p>
            <w:pPr>
              <w:jc w:val="right"/>
              <w:ind w:right="2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Borders>
              <w:bottom w:val="single" w:sz="8" w:color="CCCCCC"/>
            </w:tcBorders>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0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2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80" w:type="dxa"/>
            <w:vAlign w:val="bottom"/>
            <w:tcBorders>
              <w:bottom w:val="single" w:sz="8" w:color="CCCCCC"/>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00" w:type="dxa"/>
            <w:vAlign w:val="bottom"/>
            <w:tcBorders>
              <w:bottom w:val="single" w:sz="8" w:color="CCCCCC"/>
            </w:tcBorders>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00" w:type="dxa"/>
            <w:vAlign w:val="bottom"/>
            <w:tcBorders>
              <w:bottom w:val="single" w:sz="8" w:color="CCCCCC"/>
            </w:tcBorders>
            <w:gridSpan w:val="2"/>
          </w:tcPr>
          <w:p>
            <w:pPr>
              <w:ind w:left="4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(18)</w:t>
            </w:r>
          </w:p>
        </w:tc>
        <w:tc>
          <w:tcPr>
            <w:tcW w:w="900" w:type="dxa"/>
            <w:vAlign w:val="bottom"/>
            <w:tcBorders>
              <w:bottom w:val="single" w:sz="8" w:color="CCCCCC"/>
            </w:tcBorders>
            <w:gridSpan w:val="3"/>
          </w:tcPr>
          <w:p>
            <w:pPr>
              <w:ind w:left="40"/>
              <w:spacing w:after="0" w:line="26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​(0.04)</w:t>
            </w: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auto"/>
              </w:rPr>
              <w:t>(18)</w:t>
            </w:r>
          </w:p>
        </w:tc>
        <w:tc>
          <w:tcPr>
            <w:tcW w:w="640" w:type="dxa"/>
            <w:vAlign w:val="bottom"/>
            <w:tcBorders>
              <w:bottom w:val="single" w:sz="8" w:color="CCCCCC"/>
            </w:tcBorders>
            <w:gridSpan w:val="3"/>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​(0.04)</w:t>
            </w:r>
            <w:r>
              <w:rPr>
                <w:rFonts w:ascii="Arial" w:cs="Arial" w:eastAsia="Arial" w:hAnsi="Arial"/>
                <w:sz w:val="28"/>
                <w:szCs w:val="28"/>
                <w:color w:val="auto"/>
                <w:vertAlign w:val="subscript"/>
              </w:rPr>
              <w:t>​​</w:t>
            </w:r>
          </w:p>
        </w:tc>
      </w:tr>
      <w:tr>
        <w:trPr>
          <w:trHeight w:val="200"/>
        </w:trPr>
        <w:tc>
          <w:tcPr>
            <w:tcW w:w="8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Consolidated on a non-GAAP basis,</w:t>
            </w:r>
          </w:p>
        </w:tc>
        <w:tc>
          <w:tcPr>
            <w:tcW w:w="1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8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r>
      <w:tr>
        <w:trPr>
          <w:trHeight w:val="266"/>
        </w:trPr>
        <w:tc>
          <w:tcPr>
            <w:tcW w:w="8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CCCCCC"/>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excluding CES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and CIS</w:t>
            </w:r>
            <w:r>
              <w:rPr>
                <w:rFonts w:ascii="Arial" w:cs="Arial" w:eastAsia="Arial" w:hAnsi="Arial"/>
                <w:sz w:val="17"/>
                <w:szCs w:val="17"/>
                <w:b w:val="1"/>
                <w:bCs w:val="1"/>
                <w:color w:val="auto"/>
                <w:vertAlign w:val="superscript"/>
              </w:rPr>
              <w:t>(2)</w:t>
            </w:r>
          </w:p>
        </w:tc>
        <w:tc>
          <w:tcPr>
            <w:tcW w:w="140" w:type="dxa"/>
            <w:vAlign w:val="bottom"/>
            <w:tcBorders>
              <w:bottom w:val="single" w:sz="8" w:color="CCCCCC"/>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CCCC"/>
            </w:tcBorders>
            <w:gridSpan w:val="2"/>
            <w:shd w:val="clear" w:color="auto" w:fill="F2F2F2"/>
          </w:tcPr>
          <w:p>
            <w:pPr>
              <w:ind w:left="60"/>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$662</w:t>
            </w:r>
          </w:p>
        </w:tc>
        <w:tc>
          <w:tcPr>
            <w:tcW w:w="26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4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1.17 </w:t>
            </w:r>
            <w:r>
              <w:rPr>
                <w:rFonts w:ascii="Arial" w:cs="Arial" w:eastAsia="Arial" w:hAnsi="Arial"/>
                <w:sz w:val="28"/>
                <w:szCs w:val="28"/>
                <w:color w:val="auto"/>
                <w:vertAlign w:val="subscript"/>
              </w:rPr>
              <w:t>​​​</w:t>
            </w:r>
          </w:p>
        </w:tc>
        <w:tc>
          <w:tcPr>
            <w:tcW w:w="240" w:type="dxa"/>
            <w:vAlign w:val="bottom"/>
            <w:tcBorders>
              <w:bottom w:val="single" w:sz="8" w:color="CCCCCC"/>
            </w:tcBorders>
            <w:shd w:val="clear" w:color="auto" w:fill="F2F2F2"/>
          </w:tcPr>
          <w:p>
            <w:pPr>
              <w:ind w:left="6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131</w:t>
            </w:r>
          </w:p>
        </w:tc>
        <w:tc>
          <w:tcPr>
            <w:tcW w:w="200" w:type="dxa"/>
            <w:vAlign w:val="bottom"/>
            <w:tcBorders>
              <w:bottom w:val="single" w:sz="8" w:color="CCCCCC"/>
            </w:tcBorders>
            <w:shd w:val="clear" w:color="auto" w:fill="F2F2F2"/>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gridSpan w:val="2"/>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$ 0.23</w:t>
            </w:r>
          </w:p>
        </w:tc>
        <w:tc>
          <w:tcPr>
            <w:tcW w:w="22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0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2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280" w:type="dxa"/>
            <w:vAlign w:val="bottom"/>
            <w:tcBorders>
              <w:bottom w:val="single" w:sz="8" w:color="CCCCCC"/>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CCCC"/>
            </w:tcBorders>
            <w:shd w:val="clear" w:color="auto" w:fill="F2F2F2"/>
          </w:tcPr>
          <w:p>
            <w:pPr>
              <w:ind w:left="4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80" w:type="dxa"/>
            <w:vAlign w:val="bottom"/>
            <w:tcBorders>
              <w:bottom w:val="single" w:sz="8" w:color="CCCCCC"/>
            </w:tcBorders>
            <w:shd w:val="clear" w:color="auto" w:fill="F2F2F2"/>
          </w:tcPr>
          <w:p>
            <w:pPr>
              <w:ind w:left="80"/>
              <w:spacing w:after="0" w:line="26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80" w:type="dxa"/>
            <w:vAlign w:val="bottom"/>
            <w:tcBorders>
              <w:bottom w:val="single" w:sz="8" w:color="CCCCCC"/>
            </w:tcBorders>
            <w:shd w:val="clear" w:color="auto" w:fill="F2F2F2"/>
          </w:tcPr>
          <w:p>
            <w:pPr>
              <w:spacing w:after="0"/>
              <w:rPr>
                <w:sz w:val="23"/>
                <w:szCs w:val="23"/>
                <w:color w:val="auto"/>
              </w:rPr>
            </w:pPr>
          </w:p>
        </w:tc>
        <w:tc>
          <w:tcPr>
            <w:tcW w:w="360" w:type="dxa"/>
            <w:vAlign w:val="bottom"/>
            <w:tcBorders>
              <w:bottom w:val="single" w:sz="8" w:color="CCCCCC"/>
            </w:tcBorders>
            <w:shd w:val="clear" w:color="auto" w:fill="F2F2F2"/>
          </w:tcPr>
          <w:p>
            <w:pPr>
              <w:jc w:val="right"/>
              <w:spacing w:after="0"/>
              <w:rPr>
                <w:sz w:val="20"/>
                <w:szCs w:val="20"/>
                <w:color w:val="auto"/>
              </w:rPr>
            </w:pPr>
            <w:r>
              <w:rPr>
                <w:rFonts w:ascii="Arial" w:cs="Arial" w:eastAsia="Arial" w:hAnsi="Arial"/>
                <w:sz w:val="14"/>
                <w:szCs w:val="14"/>
                <w:color w:val="auto"/>
              </w:rPr>
              <w:t>793</w:t>
            </w:r>
          </w:p>
        </w:tc>
        <w:tc>
          <w:tcPr>
            <w:tcW w:w="200" w:type="dxa"/>
            <w:vAlign w:val="bottom"/>
            <w:tcBorders>
              <w:bottom w:val="single" w:sz="8" w:color="CCCCCC"/>
            </w:tcBorders>
            <w:shd w:val="clear" w:color="auto" w:fill="F2F2F2"/>
          </w:tcPr>
          <w:p>
            <w:pPr>
              <w:ind w:left="20"/>
              <w:spacing w:after="0" w:line="266"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 w:type="dxa"/>
            <w:vAlign w:val="bottom"/>
            <w:tcBorders>
              <w:bottom w:val="single" w:sz="8" w:color="CCCCCC"/>
            </w:tcBorders>
            <w:shd w:val="clear" w:color="auto" w:fill="F2F2F2"/>
          </w:tcPr>
          <w:p>
            <w:pPr>
              <w:spacing w:after="0"/>
              <w:rPr>
                <w:sz w:val="23"/>
                <w:szCs w:val="23"/>
                <w:color w:val="auto"/>
              </w:rPr>
            </w:pPr>
          </w:p>
        </w:tc>
        <w:tc>
          <w:tcPr>
            <w:tcW w:w="380" w:type="dxa"/>
            <w:vAlign w:val="bottom"/>
            <w:tcBorders>
              <w:bottom w:val="single" w:sz="8" w:color="CCCCCC"/>
            </w:tcBorders>
            <w:shd w:val="clear" w:color="auto" w:fill="F2F2F2"/>
          </w:tcPr>
          <w:p>
            <w:pPr>
              <w:jc w:val="right"/>
              <w:spacing w:after="0" w:line="266" w:lineRule="exact"/>
              <w:rPr>
                <w:sz w:val="20"/>
                <w:szCs w:val="20"/>
                <w:color w:val="auto"/>
              </w:rPr>
            </w:pPr>
            <w:r>
              <w:rPr>
                <w:rFonts w:ascii="Arial" w:cs="Arial" w:eastAsia="Arial" w:hAnsi="Arial"/>
                <w:sz w:val="14"/>
                <w:szCs w:val="14"/>
                <w:color w:val="auto"/>
              </w:rPr>
              <w:t xml:space="preserve">1.40 </w:t>
            </w:r>
            <w:r>
              <w:rPr>
                <w:rFonts w:ascii="Arial" w:cs="Arial" w:eastAsia="Arial" w:hAnsi="Arial"/>
                <w:sz w:val="28"/>
                <w:szCs w:val="28"/>
                <w:color w:val="auto"/>
                <w:vertAlign w:val="subscript"/>
              </w:rPr>
              <w:t>​​</w:t>
            </w:r>
          </w:p>
        </w:tc>
      </w:tr>
    </w:tbl>
    <w:p>
      <w:pPr>
        <w:spacing w:after="0" w:line="121" w:lineRule="exact"/>
        <w:rPr>
          <w:sz w:val="20"/>
          <w:szCs w:val="20"/>
          <w:color w:val="auto"/>
        </w:rPr>
      </w:pPr>
    </w:p>
    <w:p>
      <w:pPr>
        <w:ind w:left="920" w:hanging="189"/>
        <w:spacing w:after="0"/>
        <w:tabs>
          <w:tab w:leader="none" w:pos="920" w:val="left"/>
        </w:tabs>
        <w:numPr>
          <w:ilvl w:val="0"/>
          <w:numId w:val="149"/>
        </w:numPr>
        <w:rPr>
          <w:rFonts w:ascii="Arial" w:cs="Arial" w:eastAsia="Arial" w:hAnsi="Arial"/>
          <w:sz w:val="20"/>
          <w:szCs w:val="20"/>
          <w:color w:val="auto"/>
          <w:vertAlign w:val="superscript"/>
        </w:rPr>
      </w:pPr>
      <w:r>
        <w:rPr>
          <w:rFonts w:ascii="Arial" w:cs="Arial" w:eastAsia="Arial" w:hAnsi="Arial"/>
          <w:sz w:val="13"/>
          <w:szCs w:val="13"/>
          <w:color w:val="auto"/>
        </w:rPr>
        <w:t>Energy Services segment</w:t>
      </w:r>
    </w:p>
    <w:p>
      <w:pPr>
        <w:spacing w:after="0" w:line="72" w:lineRule="exact"/>
        <w:rPr>
          <w:rFonts w:ascii="Arial" w:cs="Arial" w:eastAsia="Arial" w:hAnsi="Arial"/>
          <w:sz w:val="20"/>
          <w:szCs w:val="20"/>
          <w:color w:val="auto"/>
          <w:vertAlign w:val="superscript"/>
        </w:rPr>
      </w:pPr>
    </w:p>
    <w:p>
      <w:pPr>
        <w:ind w:left="920" w:hanging="189"/>
        <w:spacing w:after="0" w:line="182" w:lineRule="auto"/>
        <w:tabs>
          <w:tab w:leader="none" w:pos="920" w:val="left"/>
        </w:tabs>
        <w:numPr>
          <w:ilvl w:val="0"/>
          <w:numId w:val="149"/>
        </w:numPr>
        <w:rPr>
          <w:rFonts w:ascii="Arial" w:cs="Arial" w:eastAsia="Arial" w:hAnsi="Arial"/>
          <w:sz w:val="18"/>
          <w:szCs w:val="18"/>
          <w:color w:val="auto"/>
          <w:vertAlign w:val="superscript"/>
        </w:rPr>
      </w:pPr>
      <w:r>
        <w:rPr>
          <w:rFonts w:ascii="Arial" w:cs="Arial" w:eastAsia="Arial" w:hAnsi="Arial"/>
          <w:sz w:val="11"/>
          <w:szCs w:val="11"/>
          <w:color w:val="auto"/>
        </w:rPr>
        <w:t>Infrastructure Services segment</w:t>
      </w:r>
    </w:p>
    <w:p>
      <w:pPr>
        <w:sectPr>
          <w:pgSz w:w="11900" w:h="16838" w:orient="portrait"/>
          <w:cols w:equalWidth="0" w:num="1">
            <w:col w:w="10020"/>
          </w:cols>
          <w:pgMar w:left="580" w:top="97" w:right="1299" w:bottom="1440" w:gutter="0" w:footer="0" w:header="0"/>
          <w:type w:val="continuous"/>
        </w:sectPr>
      </w:pPr>
    </w:p>
    <w:p>
      <w:pPr>
        <w:spacing w:after="0" w:line="253"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920" w:right="140" w:hanging="189"/>
        <w:spacing w:after="0" w:line="210" w:lineRule="auto"/>
        <w:tabs>
          <w:tab w:leader="none" w:pos="920" w:val="left"/>
        </w:tabs>
        <w:numPr>
          <w:ilvl w:val="0"/>
          <w:numId w:val="150"/>
        </w:numPr>
        <w:rPr>
          <w:rFonts w:ascii="Arial" w:cs="Arial" w:eastAsia="Arial" w:hAnsi="Arial"/>
          <w:sz w:val="20"/>
          <w:szCs w:val="20"/>
          <w:color w:val="auto"/>
          <w:vertAlign w:val="superscript"/>
        </w:rPr>
      </w:pPr>
      <w:r>
        <w:rPr>
          <w:rFonts w:ascii="Arial" w:cs="Arial" w:eastAsia="Arial" w:hAnsi="Arial"/>
          <w:sz w:val="13"/>
          <w:szCs w:val="13"/>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ind w:left="920" w:hanging="189"/>
        <w:spacing w:after="0"/>
        <w:tabs>
          <w:tab w:leader="none" w:pos="920" w:val="left"/>
        </w:tabs>
        <w:numPr>
          <w:ilvl w:val="0"/>
          <w:numId w:val="150"/>
        </w:numPr>
        <w:rPr>
          <w:rFonts w:ascii="Arial" w:cs="Arial" w:eastAsia="Arial" w:hAnsi="Arial"/>
          <w:sz w:val="20"/>
          <w:szCs w:val="20"/>
          <w:color w:val="auto"/>
          <w:vertAlign w:val="superscript"/>
        </w:rPr>
      </w:pPr>
      <w:r>
        <w:rPr>
          <w:rFonts w:ascii="Arial" w:cs="Arial" w:eastAsia="Arial" w:hAnsi="Arial"/>
          <w:sz w:val="13"/>
          <w:szCs w:val="13"/>
          <w:color w:val="auto"/>
        </w:rPr>
        <w:t>Taxes are computed based on the impact removing such item would have on tax expense</w:t>
      </w:r>
    </w:p>
    <w:p>
      <w:pPr>
        <w:spacing w:after="0" w:line="61" w:lineRule="exact"/>
        <w:rPr>
          <w:rFonts w:ascii="Arial" w:cs="Arial" w:eastAsia="Arial" w:hAnsi="Arial"/>
          <w:sz w:val="20"/>
          <w:szCs w:val="20"/>
          <w:color w:val="auto"/>
          <w:vertAlign w:val="superscript"/>
        </w:rPr>
      </w:pPr>
    </w:p>
    <w:p>
      <w:pPr>
        <w:ind w:left="920" w:hanging="189"/>
        <w:spacing w:after="0" w:line="200" w:lineRule="auto"/>
        <w:tabs>
          <w:tab w:leader="none" w:pos="920" w:val="left"/>
        </w:tabs>
        <w:numPr>
          <w:ilvl w:val="0"/>
          <w:numId w:val="150"/>
        </w:numPr>
        <w:rPr>
          <w:rFonts w:ascii="Arial" w:cs="Arial" w:eastAsia="Arial" w:hAnsi="Arial"/>
          <w:sz w:val="16"/>
          <w:szCs w:val="16"/>
          <w:color w:val="auto"/>
          <w:vertAlign w:val="superscript"/>
        </w:rPr>
      </w:pPr>
      <w:r>
        <w:rPr>
          <w:rFonts w:ascii="Arial" w:cs="Arial" w:eastAsia="Arial" w:hAnsi="Arial"/>
          <w:sz w:val="11"/>
          <w:szCs w:val="11"/>
          <w:color w:val="auto"/>
        </w:rPr>
        <w:t>Comprised of common stock of AT&amp;T Inc. and Charter Communications, Inc.</w:t>
      </w:r>
    </w:p>
    <w:p>
      <w:pPr>
        <w:spacing w:after="0" w:line="76" w:lineRule="exact"/>
        <w:rPr>
          <w:rFonts w:ascii="Arial" w:cs="Arial" w:eastAsia="Arial" w:hAnsi="Arial"/>
          <w:sz w:val="16"/>
          <w:szCs w:val="16"/>
          <w:color w:val="auto"/>
          <w:vertAlign w:val="superscript"/>
        </w:rPr>
      </w:pPr>
    </w:p>
    <w:p>
      <w:pPr>
        <w:ind w:left="920" w:right="20" w:hanging="189"/>
        <w:spacing w:after="0" w:line="225" w:lineRule="auto"/>
        <w:tabs>
          <w:tab w:leader="none" w:pos="920" w:val="left"/>
        </w:tabs>
        <w:numPr>
          <w:ilvl w:val="0"/>
          <w:numId w:val="150"/>
        </w:numPr>
        <w:rPr>
          <w:rFonts w:ascii="Arial" w:cs="Arial" w:eastAsia="Arial" w:hAnsi="Arial"/>
          <w:sz w:val="19"/>
          <w:szCs w:val="19"/>
          <w:color w:val="auto"/>
          <w:vertAlign w:val="superscript"/>
        </w:rPr>
      </w:pPr>
      <w:r>
        <w:rPr>
          <w:rFonts w:ascii="Arial" w:cs="Arial" w:eastAsia="Arial" w:hAnsi="Arial"/>
          <w:sz w:val="12"/>
          <w:szCs w:val="12"/>
          <w:color w:val="auto"/>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p>
    <w:p>
      <w:pPr>
        <w:ind w:left="920" w:hanging="189"/>
        <w:spacing w:after="0" w:line="225" w:lineRule="auto"/>
        <w:tabs>
          <w:tab w:leader="none" w:pos="920" w:val="left"/>
        </w:tabs>
        <w:numPr>
          <w:ilvl w:val="0"/>
          <w:numId w:val="150"/>
        </w:numPr>
        <w:rPr>
          <w:rFonts w:ascii="Arial" w:cs="Arial" w:eastAsia="Arial" w:hAnsi="Arial"/>
          <w:sz w:val="20"/>
          <w:szCs w:val="20"/>
          <w:color w:val="auto"/>
          <w:vertAlign w:val="superscript"/>
        </w:rPr>
      </w:pPr>
      <w:r>
        <w:rPr>
          <w:rFonts w:ascii="Arial" w:cs="Arial" w:eastAsia="Arial" w:hAnsi="Arial"/>
          <w:sz w:val="13"/>
          <w:szCs w:val="13"/>
          <w:color w:val="auto"/>
        </w:rPr>
        <w:t>Results related to Energy Services and Infrastructure Services discontinued operations are excluded from the company’s non-GAAP results</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​A-4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Appendix B</w:t>
      </w:r>
    </w:p>
    <w:p>
      <w:pPr>
        <w:spacing w:after="0" w:line="200" w:lineRule="exact"/>
        <w:rPr>
          <w:sz w:val="20"/>
          <w:szCs w:val="20"/>
          <w:color w:val="auto"/>
        </w:rPr>
      </w:pPr>
    </w:p>
    <w:p>
      <w:pPr>
        <w:spacing w:after="0" w:line="265"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CENTERPOINT ENERGY, INC.</w:t>
      </w:r>
    </w:p>
    <w:p>
      <w:pPr>
        <w:spacing w:after="0" w:line="21"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STOCK PLAN FOR OUTSIDE DIRECTORS</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(As Amended and Restated Effective April 26, 2018)</w:t>
      </w:r>
    </w:p>
    <w:p>
      <w:pPr>
        <w:spacing w:after="0" w:line="138"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ARTICLE I</w:t>
      </w:r>
    </w:p>
    <w:p>
      <w:pPr>
        <w:spacing w:after="0" w:line="113" w:lineRule="exact"/>
        <w:rPr>
          <w:sz w:val="20"/>
          <w:szCs w:val="20"/>
          <w:color w:val="auto"/>
        </w:rPr>
      </w:pPr>
    </w:p>
    <w:p>
      <w:pPr>
        <w:ind w:left="4980"/>
        <w:spacing w:after="0"/>
        <w:rPr>
          <w:sz w:val="20"/>
          <w:szCs w:val="20"/>
          <w:color w:val="auto"/>
        </w:rPr>
      </w:pPr>
      <w:r>
        <w:rPr>
          <w:rFonts w:ascii="Arial" w:cs="Arial" w:eastAsia="Arial" w:hAnsi="Arial"/>
          <w:sz w:val="16"/>
          <w:szCs w:val="16"/>
          <w:b w:val="1"/>
          <w:bCs w:val="1"/>
          <w:u w:val="single" w:color="auto"/>
          <w:color w:val="auto"/>
        </w:rPr>
        <w:t>PURPOSE</w:t>
      </w:r>
    </w:p>
    <w:p>
      <w:pPr>
        <w:spacing w:after="0" w:line="167" w:lineRule="exact"/>
        <w:rPr>
          <w:sz w:val="20"/>
          <w:szCs w:val="20"/>
          <w:color w:val="auto"/>
        </w:rPr>
      </w:pPr>
    </w:p>
    <w:p>
      <w:pPr>
        <w:ind w:left="740" w:right="140"/>
        <w:spacing w:after="0" w:line="266" w:lineRule="auto"/>
        <w:rPr>
          <w:sz w:val="20"/>
          <w:szCs w:val="20"/>
          <w:color w:val="auto"/>
        </w:rPr>
      </w:pPr>
      <w:r>
        <w:rPr>
          <w:rFonts w:ascii="Arial" w:cs="Arial" w:eastAsia="Arial" w:hAnsi="Arial"/>
          <w:sz w:val="15"/>
          <w:szCs w:val="15"/>
          <w:color w:val="auto"/>
        </w:rPr>
        <w:t>The purpose of this CenterPoint Energy, Inc. Stock Plan for Outside Directors, as amended and restated effective April 26, 2018 (the “Plan”) is to provide for a method of compensation of Outside Directors of CenterPoint Energy, Inc. and any successor thereto (the “Company”) that will strengthen the alignment of their financial interests with those of the Company’s shareholders through increased ownership of shares of the Company’s Common Stock by such Outside Directors. The Plan is intended to (i) enhance the Company’s ability to maintain a competitive position in attracting and retaining qualified Outside Directors who contribute, and are expected to contribute, materially to the success of the Company and its Subsidiaries; (ii) provide a means of compensating such Outside Directors whereby the compensation received will have a value dependent on the price of the Common Stock; and</w:t>
      </w:r>
    </w:p>
    <w:p>
      <w:pPr>
        <w:spacing w:after="0" w:line="1" w:lineRule="exact"/>
        <w:rPr>
          <w:sz w:val="20"/>
          <w:szCs w:val="20"/>
          <w:color w:val="auto"/>
        </w:rPr>
      </w:pPr>
    </w:p>
    <w:p>
      <w:pPr>
        <w:ind w:left="740" w:right="400" w:hanging="9"/>
        <w:spacing w:after="0" w:line="256" w:lineRule="auto"/>
        <w:tabs>
          <w:tab w:leader="none" w:pos="99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enhance the interest of such Outside Directors in the Company’s continued success and progress by further aligning each Outside Director’s interests with those of the Company’s shareholders. Stock Awards under this Plan shall be in addition to the annual retainer fee and meeting fees earned by Outside Directors of the Company.</w:t>
      </w:r>
    </w:p>
    <w:p>
      <w:pPr>
        <w:spacing w:after="0" w:line="9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II</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purposes of the Plan, the terms set forth below shall have the following meanings: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 xml:space="preserve">“Annual Award Date” </w:t>
      </w:r>
      <w:r>
        <w:rPr>
          <w:rFonts w:ascii="Arial" w:cs="Arial" w:eastAsia="Arial" w:hAnsi="Arial"/>
          <w:sz w:val="16"/>
          <w:szCs w:val="16"/>
          <w:color w:val="auto"/>
        </w:rPr>
        <w:t>means the first business day of the month immediately following each Annual Meeting of Shareholders.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 xml:space="preserve">“Board” </w:t>
      </w:r>
      <w:r>
        <w:rPr>
          <w:rFonts w:ascii="Arial" w:cs="Arial" w:eastAsia="Arial" w:hAnsi="Arial"/>
          <w:sz w:val="16"/>
          <w:szCs w:val="16"/>
          <w:color w:val="auto"/>
        </w:rPr>
        <w:t>means the Board of Directors of the Company.</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shall be deemed to have occurred upon the occurrence of any of the following events:</w:t>
      </w:r>
    </w:p>
    <w:p>
      <w:pPr>
        <w:spacing w:after="0" w:line="167" w:lineRule="exact"/>
        <w:rPr>
          <w:sz w:val="20"/>
          <w:szCs w:val="20"/>
          <w:color w:val="auto"/>
        </w:rPr>
      </w:pPr>
    </w:p>
    <w:p>
      <w:pPr>
        <w:ind w:left="740" w:right="140" w:hanging="9"/>
        <w:spacing w:after="0" w:line="259" w:lineRule="auto"/>
        <w:tabs>
          <w:tab w:leader="none" w:pos="106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30% Ownership Change: Any Person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or</w:t>
      </w:r>
    </w:p>
    <w:p>
      <w:pPr>
        <w:spacing w:after="0" w:line="96" w:lineRule="exact"/>
        <w:rPr>
          <w:rFonts w:ascii="Arial" w:cs="Arial" w:eastAsia="Arial" w:hAnsi="Arial"/>
          <w:sz w:val="16"/>
          <w:szCs w:val="16"/>
          <w:color w:val="auto"/>
        </w:rPr>
      </w:pPr>
    </w:p>
    <w:p>
      <w:pPr>
        <w:ind w:left="740" w:right="100" w:hanging="9"/>
        <w:spacing w:after="0" w:line="286" w:lineRule="auto"/>
        <w:tabs>
          <w:tab w:leader="none" w:pos="106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Board Majority Change: Individuals who are Incumbent Directors cease for any reason to constitute a majority of the members of the Board; or</w:t>
      </w:r>
    </w:p>
    <w:p>
      <w:pPr>
        <w:spacing w:after="0" w:line="88" w:lineRule="exact"/>
        <w:rPr>
          <w:rFonts w:ascii="Arial" w:cs="Arial" w:eastAsia="Arial" w:hAnsi="Arial"/>
          <w:sz w:val="16"/>
          <w:szCs w:val="16"/>
          <w:color w:val="auto"/>
        </w:rPr>
      </w:pPr>
    </w:p>
    <w:p>
      <w:pPr>
        <w:ind w:left="740" w:right="60" w:hanging="9"/>
        <w:spacing w:after="0" w:line="249" w:lineRule="auto"/>
        <w:tabs>
          <w:tab w:leader="none" w:pos="105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Major Mergers and Acquisitions: Consummation of a Business Combination unless, immediately following such Business Combination, (i) all or substantially all of the individuals and entities that were the beneficial owners of the Outstanding Voting Stock immediately prior to such Business Combination beneficially own, directly or indirectly, more than 70% of the then outstanding shares of voting stock of the parent corporation resulting from such Business Combination in substantially the same relative proportions as their ownership, immediately prior to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 the Company’s consolidated long-term debt (in each case, determined immediately prior to such consummation by a majority of the Incumbent Directors), (iii) no Person (other than any corporation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prior to consummation of such Business Combination; or</w:t>
      </w:r>
    </w:p>
    <w:p>
      <w:pPr>
        <w:spacing w:after="0" w:line="120" w:lineRule="exact"/>
        <w:rPr>
          <w:rFonts w:ascii="Arial" w:cs="Arial" w:eastAsia="Arial" w:hAnsi="Arial"/>
          <w:sz w:val="16"/>
          <w:szCs w:val="16"/>
          <w:color w:val="auto"/>
        </w:rPr>
      </w:pPr>
    </w:p>
    <w:p>
      <w:pPr>
        <w:ind w:left="740" w:right="140" w:hanging="9"/>
        <w:spacing w:after="0" w:line="252" w:lineRule="auto"/>
        <w:tabs>
          <w:tab w:leader="none" w:pos="106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Major Asset Dispositions: Consummation of a Major Asset Disposition unless, immediately following such Major Asset Disposition, (i) individuals and entities that were beneficial owners of the Outstanding Voting Stock immediately prior to such Major Asset Disposition beneficially own, directly or indirectly, more than 70% of the then outstanding shares of voting stock of the Company (if it continues to exist) and of the entity that acquires the largest portion of such assets (or the entity, if any, that owns a majority of the outstanding voting stock of such acquiring entity) and (ii) a majority of the members of the board of directors of the Company (if it continues to exist) and of the entity that acquires the largest portion of such assets (or the entity, if any, that owns a majority of the outstanding voting stock of such acquiring entity) were Incumbent Directors of the Company immediately prior to consummation of such Major Asset Disposition.</w:t>
      </w:r>
    </w:p>
    <w:p>
      <w:pPr>
        <w:sectPr>
          <w:pgSz w:w="11900" w:h="16838" w:orient="portrait"/>
          <w:cols w:equalWidth="0" w:num="1">
            <w:col w:w="10020"/>
          </w:cols>
          <w:pgMar w:left="580" w:top="97" w:right="1299" w:bottom="1440" w:gutter="0" w:footer="0" w:header="0"/>
        </w:sectPr>
      </w:pPr>
    </w:p>
    <w:p>
      <w:pPr>
        <w:spacing w:after="0" w:line="219"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 purposes of the foregoing,</w:t>
      </w:r>
    </w:p>
    <w:p>
      <w:pPr>
        <w:spacing w:after="0" w:line="140" w:lineRule="exact"/>
        <w:rPr>
          <w:sz w:val="20"/>
          <w:szCs w:val="20"/>
          <w:color w:val="auto"/>
        </w:rPr>
      </w:pPr>
    </w:p>
    <w:p>
      <w:pPr>
        <w:ind w:left="1060" w:hanging="329"/>
        <w:spacing w:after="0"/>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“Person” means an individual, entity or group;</w:t>
      </w:r>
    </w:p>
    <w:p>
      <w:pPr>
        <w:spacing w:after="0" w:line="126" w:lineRule="exact"/>
        <w:rPr>
          <w:rFonts w:ascii="Arial" w:cs="Arial" w:eastAsia="Arial" w:hAnsi="Arial"/>
          <w:sz w:val="16"/>
          <w:szCs w:val="16"/>
          <w:color w:val="auto"/>
        </w:rPr>
      </w:pPr>
    </w:p>
    <w:p>
      <w:pPr>
        <w:ind w:left="740" w:right="820" w:hanging="9"/>
        <w:spacing w:after="0" w:line="286" w:lineRule="auto"/>
        <w:tabs>
          <w:tab w:leader="none" w:pos="106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“group” is used as it is defined for purposes of Section 13(d)(3) of the Securities Exchange Act of 1934 (the “Exchange Act”);</w:t>
      </w:r>
    </w:p>
    <w:p>
      <w:pPr>
        <w:spacing w:after="0" w:line="74" w:lineRule="exact"/>
        <w:rPr>
          <w:rFonts w:ascii="Arial" w:cs="Arial" w:eastAsia="Arial" w:hAnsi="Arial"/>
          <w:sz w:val="16"/>
          <w:szCs w:val="16"/>
          <w:color w:val="auto"/>
        </w:rPr>
      </w:pPr>
    </w:p>
    <w:p>
      <w:pPr>
        <w:ind w:left="1060" w:hanging="329"/>
        <w:spacing w:after="0"/>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“beneficial owner” is used as it is defined for purposes of Rule 13d-3 under the Exchange Act;</w:t>
      </w:r>
    </w:p>
    <w:p>
      <w:pPr>
        <w:spacing w:after="0" w:line="140" w:lineRule="exact"/>
        <w:rPr>
          <w:rFonts w:ascii="Arial" w:cs="Arial" w:eastAsia="Arial" w:hAnsi="Arial"/>
          <w:sz w:val="16"/>
          <w:szCs w:val="16"/>
          <w:color w:val="auto"/>
        </w:rPr>
      </w:pPr>
    </w:p>
    <w:p>
      <w:pPr>
        <w:ind w:left="740" w:right="400" w:hanging="9"/>
        <w:spacing w:after="0" w:line="266" w:lineRule="auto"/>
        <w:tabs>
          <w:tab w:leader="none" w:pos="106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“Outstanding Voting Stock” means outstanding voting securities of the Company entitled to vote generally in the election of directors; and any specified percentage or portion of the Outstanding Voting Stock (or of other voting stock) shall be determined based on the combined voting power of such securities;</w:t>
      </w:r>
    </w:p>
    <w:p>
      <w:pPr>
        <w:spacing w:after="0" w:line="76" w:lineRule="exact"/>
        <w:rPr>
          <w:rFonts w:ascii="Arial" w:cs="Arial" w:eastAsia="Arial" w:hAnsi="Arial"/>
          <w:sz w:val="16"/>
          <w:szCs w:val="16"/>
          <w:color w:val="auto"/>
        </w:rPr>
      </w:pPr>
    </w:p>
    <w:p>
      <w:pPr>
        <w:ind w:left="1060" w:hanging="329"/>
        <w:spacing w:after="0"/>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“Incumbent Director” means a director of the Company (x) who was a director of the Company on May 7, 2003 or</w:t>
      </w:r>
    </w:p>
    <w:p>
      <w:pPr>
        <w:spacing w:after="0" w:line="21" w:lineRule="exact"/>
        <w:rPr>
          <w:rFonts w:ascii="Arial" w:cs="Arial" w:eastAsia="Arial" w:hAnsi="Arial"/>
          <w:sz w:val="16"/>
          <w:szCs w:val="16"/>
          <w:color w:val="auto"/>
        </w:rPr>
      </w:pPr>
    </w:p>
    <w:p>
      <w:pPr>
        <w:ind w:left="740" w:right="160"/>
        <w:spacing w:after="0" w:line="251" w:lineRule="auto"/>
        <w:rPr>
          <w:rFonts w:ascii="Arial" w:cs="Arial" w:eastAsia="Arial" w:hAnsi="Arial"/>
          <w:sz w:val="16"/>
          <w:szCs w:val="16"/>
          <w:color w:val="auto"/>
        </w:rPr>
      </w:pPr>
      <w:r>
        <w:rPr>
          <w:rFonts w:ascii="Arial" w:cs="Arial" w:eastAsia="Arial" w:hAnsi="Arial"/>
          <w:sz w:val="16"/>
          <w:szCs w:val="16"/>
          <w:color w:val="auto"/>
        </w:rPr>
        <w:t>(y) who becomes a director subsequent to such date and whose election, or nomination for election by the Company’s shareholders, was approved by a vote of a majority of the Incumbent Directors at the time of such election or nomination, except that any such director shall not be deemed an Incumbent Director if his or her initial assumption of office occurs as a result of an actual or threatened election contest or other actual or threatened solicitation of proxies by or on behalf of a Person other than the Board;</w:t>
      </w:r>
    </w:p>
    <w:p>
      <w:pPr>
        <w:spacing w:after="0" w:line="88" w:lineRule="exact"/>
        <w:rPr>
          <w:rFonts w:ascii="Arial" w:cs="Arial" w:eastAsia="Arial" w:hAnsi="Arial"/>
          <w:sz w:val="16"/>
          <w:szCs w:val="16"/>
          <w:color w:val="auto"/>
        </w:rPr>
      </w:pPr>
    </w:p>
    <w:p>
      <w:pPr>
        <w:ind w:left="1060" w:hanging="329"/>
        <w:spacing w:after="0"/>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“election contest” is used as it is defined for purposes of Rule 14a-11 under the Exchange Act;</w:t>
      </w:r>
    </w:p>
    <w:p>
      <w:pPr>
        <w:spacing w:after="0" w:line="140" w:lineRule="exact"/>
        <w:rPr>
          <w:rFonts w:ascii="Arial" w:cs="Arial" w:eastAsia="Arial" w:hAnsi="Arial"/>
          <w:sz w:val="16"/>
          <w:szCs w:val="16"/>
          <w:color w:val="auto"/>
        </w:rPr>
      </w:pPr>
    </w:p>
    <w:p>
      <w:pPr>
        <w:ind w:left="740" w:right="160" w:hanging="9"/>
        <w:spacing w:after="0" w:line="286" w:lineRule="auto"/>
        <w:tabs>
          <w:tab w:leader="none" w:pos="106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“Business Combination” means (x) a merger or consolidation involving the Company or its stock or (y) an acquisition by the Company, directly or through one or more subsidiaries, of another entity or its stock or assets;</w:t>
      </w:r>
    </w:p>
    <w:p>
      <w:pPr>
        <w:spacing w:after="0" w:line="74" w:lineRule="exact"/>
        <w:rPr>
          <w:rFonts w:ascii="Arial" w:cs="Arial" w:eastAsia="Arial" w:hAnsi="Arial"/>
          <w:sz w:val="16"/>
          <w:szCs w:val="16"/>
          <w:color w:val="auto"/>
        </w:rPr>
      </w:pPr>
    </w:p>
    <w:p>
      <w:pPr>
        <w:ind w:left="740" w:right="180" w:hanging="9"/>
        <w:spacing w:after="0" w:line="266" w:lineRule="auto"/>
        <w:tabs>
          <w:tab w:leader="none" w:pos="106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“parent corporation resulting from a Business Combination” means the Company if its stock is not acquired or converted in the Business Combination and otherwise means the entity which as a result of such Business Combination owns the Company or all or substantially all the Company’s assets either directly or through one or more subsidiaries; and</w:t>
      </w:r>
    </w:p>
    <w:p>
      <w:pPr>
        <w:spacing w:after="0" w:line="76" w:lineRule="exact"/>
        <w:rPr>
          <w:rFonts w:ascii="Arial" w:cs="Arial" w:eastAsia="Arial" w:hAnsi="Arial"/>
          <w:sz w:val="16"/>
          <w:szCs w:val="16"/>
          <w:color w:val="auto"/>
        </w:rPr>
      </w:pPr>
    </w:p>
    <w:p>
      <w:pPr>
        <w:ind w:left="1060" w:hanging="329"/>
        <w:spacing w:after="0"/>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term “Major Asset Disposition” means the sale or other disposition in one transaction or a series of related transactions of</w:t>
      </w:r>
    </w:p>
    <w:p>
      <w:pPr>
        <w:spacing w:after="0" w:line="21" w:lineRule="exact"/>
        <w:rPr>
          <w:rFonts w:ascii="Arial" w:cs="Arial" w:eastAsia="Arial" w:hAnsi="Arial"/>
          <w:sz w:val="16"/>
          <w:szCs w:val="16"/>
          <w:color w:val="auto"/>
        </w:rPr>
      </w:pPr>
    </w:p>
    <w:p>
      <w:pPr>
        <w:ind w:left="740" w:right="80"/>
        <w:spacing w:after="0" w:line="265" w:lineRule="auto"/>
        <w:rPr>
          <w:rFonts w:ascii="Arial" w:cs="Arial" w:eastAsia="Arial" w:hAnsi="Arial"/>
          <w:sz w:val="16"/>
          <w:szCs w:val="16"/>
          <w:color w:val="auto"/>
        </w:rPr>
      </w:pPr>
      <w:r>
        <w:rPr>
          <w:rFonts w:ascii="Arial" w:cs="Arial" w:eastAsia="Arial" w:hAnsi="Arial"/>
          <w:sz w:val="16"/>
          <w:szCs w:val="16"/>
          <w:color w:val="auto"/>
        </w:rPr>
        <w:t>70% or more of the assets of the Company and its subsidiaries on a consolidated basis; and any specified percentage or portion of the assets of the Company shall be based on fair market value, as determined by a majority of the Incumbent Directors.</w:t>
      </w:r>
    </w:p>
    <w:p>
      <w:pPr>
        <w:spacing w:after="0" w:line="77"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 xml:space="preserve">“Code” </w:t>
      </w:r>
      <w:r>
        <w:rPr>
          <w:rFonts w:ascii="Arial" w:cs="Arial" w:eastAsia="Arial" w:hAnsi="Arial"/>
          <w:sz w:val="16"/>
          <w:szCs w:val="16"/>
          <w:color w:val="auto"/>
        </w:rPr>
        <w:t>means the Internal Revenue Code of 1986, as amended.</w:t>
      </w:r>
    </w:p>
    <w:p>
      <w:pPr>
        <w:spacing w:after="0" w:line="140" w:lineRule="exact"/>
        <w:rPr>
          <w:sz w:val="20"/>
          <w:szCs w:val="20"/>
          <w:color w:val="auto"/>
        </w:rPr>
      </w:pPr>
    </w:p>
    <w:p>
      <w:pPr>
        <w:ind w:left="740" w:right="60"/>
        <w:spacing w:after="0" w:line="28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means, subject to the provisions of Section 7.3, the presently authorized common stock, $0.01 par value,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w:t>
      </w:r>
    </w:p>
    <w:p>
      <w:pPr>
        <w:spacing w:after="0" w:line="7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means CenterPoint Energy, Inc., a Texas corporation, and any successor thereto.</w:t>
      </w:r>
    </w:p>
    <w:p>
      <w:pPr>
        <w:spacing w:after="0" w:line="140" w:lineRule="exact"/>
        <w:rPr>
          <w:sz w:val="20"/>
          <w:szCs w:val="20"/>
          <w:color w:val="auto"/>
        </w:rPr>
      </w:pPr>
    </w:p>
    <w:p>
      <w:pPr>
        <w:ind w:left="740" w:right="140"/>
        <w:spacing w:after="0" w:line="266" w:lineRule="auto"/>
        <w:rPr>
          <w:sz w:val="20"/>
          <w:szCs w:val="20"/>
          <w:color w:val="auto"/>
        </w:rPr>
      </w:pPr>
      <w:r>
        <w:rPr>
          <w:rFonts w:ascii="Arial" w:cs="Arial" w:eastAsia="Arial" w:hAnsi="Arial"/>
          <w:sz w:val="16"/>
          <w:szCs w:val="16"/>
          <w:b w:val="1"/>
          <w:bCs w:val="1"/>
          <w:i w:val="1"/>
          <w:iCs w:val="1"/>
          <w:color w:val="auto"/>
        </w:rPr>
        <w:t xml:space="preserve">“Dividend Equivalents” </w:t>
      </w:r>
      <w:r>
        <w:rPr>
          <w:rFonts w:ascii="Arial" w:cs="Arial" w:eastAsia="Arial" w:hAnsi="Arial"/>
          <w:sz w:val="16"/>
          <w:szCs w:val="16"/>
          <w:color w:val="auto"/>
        </w:rPr>
        <w:t>means, with respect to shares of Common Stock issued or delivered at the end of the Restriction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to a Stock Award, an amount equal to all dividends and other distributions (or the economic value thereof) that are payable to shareholders of record during the Restriction Period on a like number of shares of Common Stock.</w:t>
      </w:r>
    </w:p>
    <w:p>
      <w:pPr>
        <w:spacing w:after="0" w:line="77" w:lineRule="exact"/>
        <w:rPr>
          <w:sz w:val="20"/>
          <w:szCs w:val="20"/>
          <w:color w:val="auto"/>
        </w:rPr>
      </w:pPr>
    </w:p>
    <w:p>
      <w:pPr>
        <w:ind w:left="740" w:right="40"/>
        <w:spacing w:after="0" w:line="251" w:lineRule="auto"/>
        <w:rPr>
          <w:sz w:val="20"/>
          <w:szCs w:val="20"/>
          <w:color w:val="auto"/>
        </w:rPr>
      </w:pP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means, as of a particular date, (i) if shares of Common Stock are listed on a national securities exchange,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sales price per share of Common Stock on the consolidated transaction reporting system for the principal national securities exchange on which shares of Common Stock are listed on that date, or, if there shall have been no such sale so reported on that date, on the date immediately preceding the date on which such a sale was so reported, (ii) if the Common Stock is not so listed, the average of the closing bid and asked price on that date, or, if there are no quotations available for such date, on the date immediately preceding the date on which such quotations shall be available, as reported by an inter-dealer quotation system, (iii) if shares of Common Stock are not publicly traded, the most recent value determined by an independent appraiser appointed by the Company for such purpose, or (iv) if none of the above are applicable, the fair market value of a share of Common Stock as determined in good faith by the Board.</w:t>
      </w:r>
    </w:p>
    <w:p>
      <w:pPr>
        <w:spacing w:after="0" w:line="91" w:lineRule="exact"/>
        <w:rPr>
          <w:sz w:val="20"/>
          <w:szCs w:val="20"/>
          <w:color w:val="auto"/>
        </w:rPr>
      </w:pPr>
    </w:p>
    <w:p>
      <w:pPr>
        <w:ind w:left="740" w:right="160"/>
        <w:spacing w:after="0" w:line="286" w:lineRule="auto"/>
        <w:rPr>
          <w:sz w:val="20"/>
          <w:szCs w:val="20"/>
          <w:color w:val="auto"/>
        </w:rPr>
      </w:pPr>
      <w:r>
        <w:rPr>
          <w:rFonts w:ascii="Arial" w:cs="Arial" w:eastAsia="Arial" w:hAnsi="Arial"/>
          <w:sz w:val="16"/>
          <w:szCs w:val="16"/>
          <w:b w:val="1"/>
          <w:bCs w:val="1"/>
          <w:i w:val="1"/>
          <w:iCs w:val="1"/>
          <w:color w:val="auto"/>
        </w:rPr>
        <w:t xml:space="preserve">“Outside Director” </w:t>
      </w:r>
      <w:r>
        <w:rPr>
          <w:rFonts w:ascii="Arial" w:cs="Arial" w:eastAsia="Arial" w:hAnsi="Arial"/>
          <w:sz w:val="16"/>
          <w:szCs w:val="16"/>
          <w:color w:val="auto"/>
        </w:rPr>
        <w:t>means a person who is a member of the Board on an Annual Award Date and who is not a current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or a Subsidiary.</w:t>
      </w:r>
    </w:p>
    <w:p>
      <w:pPr>
        <w:spacing w:after="0" w:line="75" w:lineRule="exact"/>
        <w:rPr>
          <w:sz w:val="20"/>
          <w:szCs w:val="20"/>
          <w:color w:val="auto"/>
        </w:rPr>
      </w:pPr>
    </w:p>
    <w:p>
      <w:pPr>
        <w:ind w:left="740"/>
        <w:spacing w:after="0"/>
        <w:rPr>
          <w:sz w:val="20"/>
          <w:szCs w:val="20"/>
          <w:color w:val="auto"/>
        </w:rPr>
      </w:pPr>
      <w:r>
        <w:rPr>
          <w:rFonts w:ascii="Arial" w:cs="Arial" w:eastAsia="Arial" w:hAnsi="Arial"/>
          <w:sz w:val="15"/>
          <w:szCs w:val="15"/>
          <w:b w:val="1"/>
          <w:bCs w:val="1"/>
          <w:i w:val="1"/>
          <w:iCs w:val="1"/>
          <w:color w:val="auto"/>
        </w:rPr>
        <w:t xml:space="preserve">“Plan” </w:t>
      </w:r>
      <w:r>
        <w:rPr>
          <w:rFonts w:ascii="Arial" w:cs="Arial" w:eastAsia="Arial" w:hAnsi="Arial"/>
          <w:sz w:val="15"/>
          <w:szCs w:val="15"/>
          <w:color w:val="auto"/>
        </w:rPr>
        <w:t>means the CenterPoint Energy, Inc. Stock Plan for Outside Directors, as set forth herein and as from time to time amended.</w:t>
      </w:r>
    </w:p>
    <w:p>
      <w:pPr>
        <w:spacing w:after="0" w:line="152" w:lineRule="exact"/>
        <w:rPr>
          <w:sz w:val="20"/>
          <w:szCs w:val="20"/>
          <w:color w:val="auto"/>
        </w:rPr>
      </w:pPr>
    </w:p>
    <w:p>
      <w:pPr>
        <w:ind w:left="740" w:right="300"/>
        <w:spacing w:after="0" w:line="321" w:lineRule="auto"/>
        <w:rPr>
          <w:sz w:val="20"/>
          <w:szCs w:val="20"/>
          <w:color w:val="auto"/>
        </w:rPr>
      </w:pPr>
      <w:r>
        <w:rPr>
          <w:rFonts w:ascii="Arial" w:cs="Arial" w:eastAsia="Arial" w:hAnsi="Arial"/>
          <w:sz w:val="15"/>
          <w:szCs w:val="15"/>
          <w:b w:val="1"/>
          <w:bCs w:val="1"/>
          <w:i w:val="1"/>
          <w:iCs w:val="1"/>
          <w:color w:val="auto"/>
        </w:rPr>
        <w:t xml:space="preserve">“Restriction Period” </w:t>
      </w:r>
      <w:r>
        <w:rPr>
          <w:rFonts w:ascii="Arial" w:cs="Arial" w:eastAsia="Arial" w:hAnsi="Arial"/>
          <w:sz w:val="15"/>
          <w:szCs w:val="15"/>
          <w:color w:val="auto"/>
        </w:rPr>
        <w:t>means the period of time beginning as of the grant date of a Stock Award and ending as of the date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the Common Stock subject to such Stock Award is no longer subject to forfeiture provisions as provided in Section 5.3.</w:t>
      </w:r>
    </w:p>
    <w:p>
      <w:pPr>
        <w:spacing w:after="0" w:line="38" w:lineRule="exact"/>
        <w:rPr>
          <w:sz w:val="20"/>
          <w:szCs w:val="20"/>
          <w:color w:val="auto"/>
        </w:rPr>
      </w:pPr>
    </w:p>
    <w:p>
      <w:pPr>
        <w:ind w:left="740" w:right="180"/>
        <w:spacing w:after="0" w:line="286" w:lineRule="auto"/>
        <w:rPr>
          <w:sz w:val="20"/>
          <w:szCs w:val="20"/>
          <w:color w:val="auto"/>
        </w:rPr>
      </w:pPr>
      <w:r>
        <w:rPr>
          <w:rFonts w:ascii="Arial" w:cs="Arial" w:eastAsia="Arial" w:hAnsi="Arial"/>
          <w:sz w:val="16"/>
          <w:szCs w:val="16"/>
          <w:b w:val="1"/>
          <w:bCs w:val="1"/>
          <w:i w:val="1"/>
          <w:iCs w:val="1"/>
          <w:color w:val="auto"/>
        </w:rPr>
        <w:t xml:space="preserve">“Stock Award” </w:t>
      </w:r>
      <w:r>
        <w:rPr>
          <w:rFonts w:ascii="Arial" w:cs="Arial" w:eastAsia="Arial" w:hAnsi="Arial"/>
          <w:sz w:val="16"/>
          <w:szCs w:val="16"/>
          <w:color w:val="auto"/>
        </w:rPr>
        <w:t>means an award of the right to receive shares of Common Stock granted by the Company to an Outside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and subject to the terms, conditions and limitations specified in, Article V.</w:t>
      </w:r>
    </w:p>
    <w:p>
      <w:pPr>
        <w:spacing w:after="0" w:line="61" w:lineRule="exact"/>
        <w:rPr>
          <w:sz w:val="20"/>
          <w:szCs w:val="20"/>
          <w:color w:val="auto"/>
        </w:rPr>
      </w:pPr>
    </w:p>
    <w:p>
      <w:pPr>
        <w:ind w:left="740" w:right="140"/>
        <w:spacing w:after="0" w:line="266" w:lineRule="auto"/>
        <w:rPr>
          <w:sz w:val="20"/>
          <w:szCs w:val="20"/>
          <w:color w:val="auto"/>
        </w:rPr>
      </w:pPr>
      <w:r>
        <w:rPr>
          <w:rFonts w:ascii="Arial" w:cs="Arial" w:eastAsia="Arial" w:hAnsi="Arial"/>
          <w:sz w:val="16"/>
          <w:szCs w:val="16"/>
          <w:b w:val="1"/>
          <w:bCs w:val="1"/>
          <w:i w:val="1"/>
          <w:iCs w:val="1"/>
          <w:color w:val="auto"/>
        </w:rPr>
        <w:t xml:space="preserve">“Stock Award Amount” </w:t>
      </w:r>
      <w:r>
        <w:rPr>
          <w:rFonts w:ascii="Arial" w:cs="Arial" w:eastAsia="Arial" w:hAnsi="Arial"/>
          <w:sz w:val="16"/>
          <w:szCs w:val="16"/>
          <w:color w:val="auto"/>
        </w:rPr>
        <w:t>means a number of shares of Common Stock equal to (i) a dollar amount determined by the Board in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discretion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Fair Market Value of the Common Stock on the relevant award date, rounded to the nearest whole share.</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means a subsidiary corporation of the Company as defined in Section 424(f) of the Code.</w:t>
      </w:r>
    </w:p>
    <w:p>
      <w:pPr>
        <w:spacing w:after="0" w:line="27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​B-2</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III</w:t>
      </w:r>
    </w:p>
    <w:p>
      <w:pPr>
        <w:spacing w:after="0" w:line="113"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RESERVATION OF SHARES</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AND PLAN ADMINISTRATION</w:t>
      </w:r>
    </w:p>
    <w:p>
      <w:pPr>
        <w:spacing w:after="0" w:line="154" w:lineRule="exact"/>
        <w:rPr>
          <w:sz w:val="20"/>
          <w:szCs w:val="20"/>
          <w:color w:val="auto"/>
        </w:rPr>
      </w:pPr>
    </w:p>
    <w:p>
      <w:pPr>
        <w:ind w:left="740" w:right="40"/>
        <w:spacing w:after="0" w:line="26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Shares Reserved Under Plan</w:t>
      </w:r>
      <w:r>
        <w:rPr>
          <w:rFonts w:ascii="Arial" w:cs="Arial" w:eastAsia="Arial" w:hAnsi="Arial"/>
          <w:sz w:val="16"/>
          <w:szCs w:val="16"/>
          <w:color w:val="auto"/>
        </w:rPr>
        <w:t>: The aggregate number of shares of Common Stock which may be issued or delivered under this Plan shall not exceed 700,000 shares, subject to adjustment as hereinafter provided. All or any part of such authorized shares may be issued pursuant to Stock Awards. The shares of Common Stock which may be granted pursuant to Stock Awards may consist of either authorized but unissued shares of Common Stock or shares of Common Stock which have been issued and which shall have been heretofore or are hereafter reacquired by the Company. The number of shares of Common Stock that are subject to Stock Awards under this Plan that are forfeited or terminated shall again immediately become available for Stock Awards hereunder. The Board may from time to time adopt and observe such procedures concerning the counting of shares against the Plan maximum as it may deem appropriate. The total number of shares authorized under this Plan shall be subject to increase or decrease in order to give effect to the adjustment provision of Section 7.3 and to give effect to any amendment adopted as provided in Section 6.1.</w:t>
      </w:r>
    </w:p>
    <w:p>
      <w:pPr>
        <w:spacing w:after="0" w:line="1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Plan Administration</w:t>
      </w:r>
      <w:r>
        <w:rPr>
          <w:rFonts w:ascii="Arial" w:cs="Arial" w:eastAsia="Arial" w:hAnsi="Arial"/>
          <w:sz w:val="16"/>
          <w:szCs w:val="16"/>
          <w:color w:val="auto"/>
        </w:rPr>
        <w:t>:</w:t>
      </w:r>
    </w:p>
    <w:p>
      <w:pPr>
        <w:spacing w:after="0" w:line="167" w:lineRule="exact"/>
        <w:rPr>
          <w:sz w:val="20"/>
          <w:szCs w:val="20"/>
          <w:color w:val="auto"/>
        </w:rPr>
      </w:pPr>
    </w:p>
    <w:p>
      <w:pPr>
        <w:ind w:left="740" w:right="200" w:hanging="9"/>
        <w:spacing w:after="0" w:line="282" w:lineRule="auto"/>
        <w:tabs>
          <w:tab w:leader="none" w:pos="106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This Plan shall be administered by the Board. Subject to the provisions hereof, the Board shall have full and exclusive power and authority to administer this Plan and to take all actions that are specifically contemplated hereby or are necessary or appropriate in connection with the administration hereof. The Board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Board may correct any defect or supply any omission or reconcile any inconsistency in this Plan or in any Stock Award in the manner and to the extent the Board deems necessary or desirable. Any decision of the Board in the interpretation and administration of this Plan shall lie within its sole and absolute discretion and shall be final, conclusive and binding on all parties concerned. The Board may engage in or authorize the engagement of a third party administrator to carry out administrative functions under the Plan.</w:t>
      </w:r>
    </w:p>
    <w:p>
      <w:pPr>
        <w:spacing w:after="0" w:line="92" w:lineRule="exact"/>
        <w:rPr>
          <w:rFonts w:ascii="Arial" w:cs="Arial" w:eastAsia="Arial" w:hAnsi="Arial"/>
          <w:sz w:val="15"/>
          <w:szCs w:val="15"/>
          <w:color w:val="auto"/>
        </w:rPr>
      </w:pPr>
    </w:p>
    <w:p>
      <w:pPr>
        <w:ind w:left="740" w:right="240" w:hanging="9"/>
        <w:spacing w:after="0" w:line="271" w:lineRule="auto"/>
        <w:tabs>
          <w:tab w:leader="none" w:pos="106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member of the Board or officer of the Company to whom the Board has delegated authority in accordance with the provisions of this Section shall be liable for anything done or omitted to be done by him or her, by any member of the Board or by any officer of the Company in connection with the performance of any duties under this Plan, except for his or her own willful misconduct or as expressly provided by statute.</w:t>
      </w:r>
    </w:p>
    <w:p>
      <w:pPr>
        <w:spacing w:after="0" w:line="11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IV</w:t>
      </w:r>
    </w:p>
    <w:p>
      <w:pPr>
        <w:spacing w:after="0" w:line="113"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PARTICIPATION IN PLAN</w:t>
      </w:r>
    </w:p>
    <w:p>
      <w:pPr>
        <w:spacing w:after="0" w:line="154" w:lineRule="exact"/>
        <w:rPr>
          <w:sz w:val="20"/>
          <w:szCs w:val="20"/>
          <w:color w:val="auto"/>
        </w:rPr>
      </w:pPr>
    </w:p>
    <w:p>
      <w:pPr>
        <w:ind w:left="740" w:right="60"/>
        <w:spacing w:after="0" w:line="30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Eligibility to Receive Stock Awards</w:t>
      </w:r>
      <w:r>
        <w:rPr>
          <w:rFonts w:ascii="Arial" w:cs="Arial" w:eastAsia="Arial" w:hAnsi="Arial"/>
          <w:sz w:val="16"/>
          <w:szCs w:val="16"/>
          <w:color w:val="auto"/>
        </w:rPr>
        <w:t>: Stock Awards under this Plan shall be granted only to persons who are Outside Directors who are eligible to receive awards under Section 5.1 and/or 5.2.</w:t>
      </w:r>
    </w:p>
    <w:p>
      <w:pPr>
        <w:spacing w:after="0" w:line="74" w:lineRule="exact"/>
        <w:rPr>
          <w:sz w:val="20"/>
          <w:szCs w:val="20"/>
          <w:color w:val="auto"/>
        </w:rPr>
      </w:pPr>
    </w:p>
    <w:p>
      <w:pPr>
        <w:ind w:left="740" w:right="120"/>
        <w:spacing w:after="0" w:line="26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Participation Not a Guarantee of Continuing Service as a Member of the Board</w:t>
      </w:r>
      <w:r>
        <w:rPr>
          <w:rFonts w:ascii="Arial" w:cs="Arial" w:eastAsia="Arial" w:hAnsi="Arial"/>
          <w:sz w:val="16"/>
          <w:szCs w:val="16"/>
          <w:color w:val="auto"/>
        </w:rPr>
        <w:t>: Nothing in this Plan shall in any manner be construed to (a) limit in any way the right or power of the Company’s stockholders to remove an Outside Director, without regard to the effect of such removal on any rights such Outside Director would otherwise have under this Plan, or (b) give any right to such an Outside Director (i) to be nominated for reelection or to be reelected as such and/or (ii) after ceasing to be an Outside Director, to receive any shares of Common Stock of the Company under this Plan to which such Outside Director is not entitled under the express provisions of this Plan.</w:t>
      </w:r>
    </w:p>
    <w:p>
      <w:pPr>
        <w:spacing w:after="0" w:line="10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V</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STOCK AWARDS</w:t>
      </w:r>
    </w:p>
    <w:p>
      <w:pPr>
        <w:spacing w:after="0" w:line="154" w:lineRule="exact"/>
        <w:rPr>
          <w:sz w:val="20"/>
          <w:szCs w:val="20"/>
          <w:color w:val="auto"/>
        </w:rPr>
      </w:pPr>
    </w:p>
    <w:p>
      <w:pPr>
        <w:ind w:left="740" w:right="100"/>
        <w:spacing w:after="0" w:line="26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Initial Awards</w:t>
      </w:r>
      <w:r>
        <w:rPr>
          <w:rFonts w:ascii="Arial" w:cs="Arial" w:eastAsia="Arial" w:hAnsi="Arial"/>
          <w:sz w:val="16"/>
          <w:szCs w:val="16"/>
          <w:color w:val="auto"/>
        </w:rPr>
        <w:t>: On or after the date an individual first becomes an Outside Director, at the discretion of the Board, such Outside Director may be granted a one-time, initial Stock Award consisting of the right to receive the number of shares of Common Stock equal to the Stock Award Amount, as determined by the Board, with such award subject to the terms, conditions and limitations set forth in this Plan; provided, however, that such Outside Director is then in office as of the grant date of such initial Stock Award. Any Stock Award under this Section 5.1 shall be in addition to, and not in lieu of, any Stock Award granted under Section 5.2.</w:t>
      </w:r>
    </w:p>
    <w:p>
      <w:pPr>
        <w:spacing w:after="0" w:line="118" w:lineRule="exact"/>
        <w:rPr>
          <w:sz w:val="20"/>
          <w:szCs w:val="20"/>
          <w:color w:val="auto"/>
        </w:rPr>
      </w:pPr>
    </w:p>
    <w:p>
      <w:pPr>
        <w:ind w:left="740" w:right="80"/>
        <w:spacing w:after="0" w:line="27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Annual Awards</w:t>
      </w:r>
      <w:r>
        <w:rPr>
          <w:rFonts w:ascii="Arial" w:cs="Arial" w:eastAsia="Arial" w:hAnsi="Arial"/>
          <w:sz w:val="16"/>
          <w:szCs w:val="16"/>
          <w:color w:val="auto"/>
        </w:rPr>
        <w:t>: As of each Annual Award Date, at the discretion of the Board, each Outside Director then in office may be granted a Stock Award consisting of the right to receive the number of shares of Common Stock equal to the Stock Award Amount, as determined by the Board, with such awards subject to the terms, conditions and limitations set forth in this Plan.</w:t>
      </w:r>
    </w:p>
    <w:p>
      <w:pPr>
        <w:spacing w:after="0" w:line="97" w:lineRule="exact"/>
        <w:rPr>
          <w:sz w:val="20"/>
          <w:szCs w:val="20"/>
          <w:color w:val="auto"/>
        </w:rPr>
      </w:pPr>
    </w:p>
    <w:p>
      <w:pPr>
        <w:jc w:val="both"/>
        <w:ind w:left="740" w:right="260"/>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Vesting of Stock Awards</w:t>
      </w:r>
      <w:r>
        <w:rPr>
          <w:rFonts w:ascii="Arial" w:cs="Arial" w:eastAsia="Arial" w:hAnsi="Arial"/>
          <w:sz w:val="16"/>
          <w:szCs w:val="16"/>
          <w:color w:val="auto"/>
        </w:rPr>
        <w:t>: Each Stock Award granted under the Plan prior to April 26, 2018 shall be subject to a Restriction Period, and shall vest, as set forth under the terms of the Plan as in effect immediately prior to April 26, 2018. Each Stock Award granted under this Plan on or after April 26, 2018 shall be immediately fully vested upon grant.</w:t>
      </w:r>
    </w:p>
    <w:p>
      <w:pPr>
        <w:spacing w:after="0" w:line="207"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160"/>
        <w:spacing w:after="0" w:line="25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Form of Award</w:t>
      </w:r>
      <w:r>
        <w:rPr>
          <w:rFonts w:ascii="Arial" w:cs="Arial" w:eastAsia="Arial" w:hAnsi="Arial"/>
          <w:sz w:val="16"/>
          <w:szCs w:val="16"/>
          <w:color w:val="auto"/>
        </w:rPr>
        <w:t>: Upon vesting in accordance with Section 5.3, the number of vested shares of Common Stock subject to the Stock Award shall be registered in the name of the Outside Director and certificates representing such Common Stock (unless the Company shall elect to use uncertificated shares) shall be delivered to the Outside Director as soon as practicable after the date upon which the Outside Director’s right to such shares vested. Upon delivery of the vested shares of Common Stock pursuant to this Section, the Outside Director shall also be entitled to receive a cash payment equal to the sum of all Dividend Equivalents, if any.</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VI</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AMENDMENT AND TERMINATION OF PLAN</w:t>
      </w:r>
    </w:p>
    <w:p>
      <w:pPr>
        <w:spacing w:after="0" w:line="154" w:lineRule="exact"/>
        <w:rPr>
          <w:sz w:val="20"/>
          <w:szCs w:val="20"/>
          <w:color w:val="auto"/>
        </w:rPr>
      </w:pPr>
    </w:p>
    <w:p>
      <w:pPr>
        <w:ind w:left="740" w:right="160"/>
        <w:spacing w:after="0" w:line="25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Amendment, Modification, Suspension or Termination</w:t>
      </w:r>
      <w:r>
        <w:rPr>
          <w:rFonts w:ascii="Arial" w:cs="Arial" w:eastAsia="Arial" w:hAnsi="Arial"/>
          <w:sz w:val="16"/>
          <w:szCs w:val="16"/>
          <w:color w:val="auto"/>
        </w:rPr>
        <w:t>: The Board may from time to time amend, modify, suspend or terminate the Plan for the purpose of meeting or addressing any changes in legal requirements or for any other purpose permitted by law except that no amendment or alteration shall be effective prior to approval by the Company’s shareholders to the extent such approval is determined to be required by applicable legal requirements or the listing standards of the New York Stock Exchange.</w:t>
      </w:r>
    </w:p>
    <w:p>
      <w:pPr>
        <w:spacing w:after="0" w:line="112" w:lineRule="exact"/>
        <w:rPr>
          <w:sz w:val="20"/>
          <w:szCs w:val="20"/>
          <w:color w:val="auto"/>
        </w:rPr>
      </w:pPr>
    </w:p>
    <w:p>
      <w:pPr>
        <w:ind w:left="740" w:right="160"/>
        <w:spacing w:after="0" w:line="25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w:t>
      </w:r>
      <w:r>
        <w:rPr>
          <w:rFonts w:ascii="Arial" w:cs="Arial" w:eastAsia="Arial" w:hAnsi="Arial"/>
          <w:sz w:val="16"/>
          <w:szCs w:val="16"/>
          <w:color w:val="auto"/>
        </w:rPr>
        <w:t>: This Plan shall continue indefinitely until all shares of Common Stock authorized for issuance or delivery hereunder by Section 3.1 hereof have been issued, except the Board may at any time terminate this Plan as of any date specified in a resolution adopted by the Board. No Stock Awards may be granted after this Plan has terminated. The termination of the Plan shall not affect the applicability of any provision of the Plan to Stock Awards made prior to such termination.</w:t>
      </w:r>
    </w:p>
    <w:p>
      <w:pPr>
        <w:spacing w:after="0" w:line="9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ARTICLE VII</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u w:val="single" w:color="auto"/>
          <w:color w:val="auto"/>
        </w:rPr>
        <w:t>MISCELLANEOUS PROVISIONS</w:t>
      </w:r>
    </w:p>
    <w:p>
      <w:pPr>
        <w:spacing w:after="0" w:line="154" w:lineRule="exact"/>
        <w:rPr>
          <w:sz w:val="20"/>
          <w:szCs w:val="20"/>
          <w:color w:val="auto"/>
        </w:rPr>
      </w:pPr>
    </w:p>
    <w:p>
      <w:pPr>
        <w:ind w:left="740" w:right="120"/>
        <w:spacing w:after="0" w:line="25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Restrictions Upon Grant of Stock Awards</w:t>
      </w:r>
      <w:r>
        <w:rPr>
          <w:rFonts w:ascii="Arial" w:cs="Arial" w:eastAsia="Arial" w:hAnsi="Arial"/>
          <w:sz w:val="16"/>
          <w:szCs w:val="16"/>
          <w:color w:val="auto"/>
        </w:rPr>
        <w:t>: The listing on the New York Stock Exchange or the registration or qualification under any federal or state law of any shares of Common Stock to be granted pursuant to this Plan (whether to permit the grant of Stock Awards or the resale or other disposition of any such shares of Common Stock by or on behalf of the Outside Directors receiving such shares) may be necessary or desirable and, in any such event, if the Company so determines, issuance or delivery of such shares of Common Stock shall not be made until such listing, registration or qualification shall have been completed. In such connection, the Company agrees that it will use its best efforts to effect any such listing, registration or qualification, provided, however, that the Company shall not be required to use its best efforts to effect such registration under the Securities Act of 1933, as amended, other than on Form S-8, as presently in effect, or other such forms as may be in effect from time to time calling for information comparable to that presently required to be furnished under Form S-8.</w:t>
      </w:r>
    </w:p>
    <w:p>
      <w:pPr>
        <w:spacing w:after="0" w:line="118" w:lineRule="exact"/>
        <w:rPr>
          <w:sz w:val="20"/>
          <w:szCs w:val="20"/>
          <w:color w:val="auto"/>
        </w:rPr>
      </w:pPr>
    </w:p>
    <w:p>
      <w:pPr>
        <w:ind w:left="740" w:right="40"/>
        <w:spacing w:after="0" w:line="27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Restrictions Upon Resale of Unregistered Stock</w:t>
      </w:r>
      <w:r>
        <w:rPr>
          <w:rFonts w:ascii="Arial" w:cs="Arial" w:eastAsia="Arial" w:hAnsi="Arial"/>
          <w:sz w:val="15"/>
          <w:szCs w:val="15"/>
          <w:color w:val="auto"/>
        </w:rPr>
        <w:t>: If the shares of Common Stock that have been transferred to an Outside Director pursuant to the terms of this Plan are not registered under the Securities Act of 1933, as amended, pursuant to an effective registration statement, such Outside Director, if the Company deems it advisable, may be required to represent and agree in writing</w:t>
      </w:r>
    </w:p>
    <w:p>
      <w:pPr>
        <w:spacing w:after="0" w:line="1" w:lineRule="exact"/>
        <w:rPr>
          <w:sz w:val="20"/>
          <w:szCs w:val="20"/>
          <w:color w:val="auto"/>
        </w:rPr>
      </w:pPr>
    </w:p>
    <w:p>
      <w:pPr>
        <w:ind w:left="740" w:right="40" w:hanging="9"/>
        <w:spacing w:after="0" w:line="252" w:lineRule="auto"/>
        <w:tabs>
          <w:tab w:leader="none" w:pos="9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that any shares of Common Stock acquired by such Outside Director pursuant to this Plan will not be sold except pursuant to an effective registration statement under the Securities Act of 1933, as amended, or pursuant to an exemption from registration under said Act and (b) that such Outside Director is acquiring such shares of Common Stock for such Outside Director’s own account and not with a view to the distribution thereof.</w:t>
      </w:r>
    </w:p>
    <w:p>
      <w:pPr>
        <w:spacing w:after="0" w:line="116" w:lineRule="exact"/>
        <w:rPr>
          <w:sz w:val="20"/>
          <w:szCs w:val="20"/>
          <w:color w:val="auto"/>
        </w:rPr>
      </w:pPr>
    </w:p>
    <w:p>
      <w:pPr>
        <w:ind w:left="740" w:right="140"/>
        <w:spacing w:after="0" w:line="25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subdivision or combination of outstanding shares of Common Stock or declaration of a dividend payable in shares of Common Stock or other stock split, then (a) the number of shares of Common Stock reserved under this Plan and (b) the number of shares delivered under Section 5.4 on any date occurring after the applicable record date or effective date shall be proportionately adjusted to reflect such transaction. No adjustment shall be made in a manner that would result in any Stock Awards becoming subject to Section 409A of the Code.</w:t>
      </w:r>
    </w:p>
    <w:p>
      <w:pPr>
        <w:spacing w:after="0" w:line="99" w:lineRule="exact"/>
        <w:rPr>
          <w:sz w:val="20"/>
          <w:szCs w:val="20"/>
          <w:color w:val="auto"/>
        </w:rPr>
      </w:pPr>
    </w:p>
    <w:p>
      <w:pPr>
        <w:ind w:left="740" w:right="20"/>
        <w:spacing w:after="0" w:line="26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Withholding of Taxes</w:t>
      </w:r>
      <w:r>
        <w:rPr>
          <w:rFonts w:ascii="Arial" w:cs="Arial" w:eastAsia="Arial" w:hAnsi="Arial"/>
          <w:sz w:val="16"/>
          <w:szCs w:val="16"/>
          <w:color w:val="auto"/>
        </w:rPr>
        <w:t>: Unless otherwise required by applicable federal or state laws or regulations, the Company shall not withhold or otherwise pay on behalf of any Outside Director any federal, state, local or other taxes arising in connection with a Stock Award under this Plan. The payment of any such taxes shall be the sole responsibility of each Outside Director.</w:t>
      </w:r>
    </w:p>
    <w:p>
      <w:pPr>
        <w:spacing w:after="0" w:line="104" w:lineRule="exact"/>
        <w:rPr>
          <w:sz w:val="20"/>
          <w:szCs w:val="20"/>
          <w:color w:val="auto"/>
        </w:rPr>
      </w:pPr>
    </w:p>
    <w:p>
      <w:pPr>
        <w:ind w:left="740" w:right="180"/>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determinations made and actions taken pursuant hereto shall be governed by the internal laws of the State of Texas, except as federal law may apply.</w:t>
      </w:r>
    </w:p>
    <w:p>
      <w:pPr>
        <w:spacing w:after="0" w:line="88" w:lineRule="exact"/>
        <w:rPr>
          <w:sz w:val="20"/>
          <w:szCs w:val="20"/>
          <w:color w:val="auto"/>
        </w:rPr>
      </w:pPr>
    </w:p>
    <w:p>
      <w:pPr>
        <w:ind w:left="740" w:right="240"/>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Exemption from Section 409A</w:t>
      </w:r>
      <w:r>
        <w:rPr>
          <w:rFonts w:ascii="Arial" w:cs="Arial" w:eastAsia="Arial" w:hAnsi="Arial"/>
          <w:sz w:val="16"/>
          <w:szCs w:val="16"/>
          <w:color w:val="auto"/>
        </w:rPr>
        <w:t>. It is intended that Stock Awards under this Plan qualify as short-term deferrals exempt from the requirements of Section 409A of the Code, and this Plan shall be interpreted and administered consistent therewith.</w:t>
      </w:r>
    </w:p>
    <w:p>
      <w:pPr>
        <w:spacing w:after="0" w:line="75" w:lineRule="exact"/>
        <w:rPr>
          <w:sz w:val="20"/>
          <w:szCs w:val="20"/>
          <w:color w:val="auto"/>
        </w:rPr>
      </w:pPr>
    </w:p>
    <w:p>
      <w:pPr>
        <w:ind w:left="740" w:right="40"/>
        <w:spacing w:after="0" w:line="253"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Unfunded Status of Plan; Establishment of Stock Award Account</w:t>
      </w:r>
      <w:r>
        <w:rPr>
          <w:rFonts w:ascii="Arial" w:cs="Arial" w:eastAsia="Arial" w:hAnsi="Arial"/>
          <w:sz w:val="16"/>
          <w:szCs w:val="16"/>
          <w:color w:val="auto"/>
        </w:rPr>
        <w:t>: This Plan shall be an unfunded plan. The grant of shares of Common Stock pursuant to a Stock Award under this Plan shall be implemented by a credit to a bookkeeping account maintained by the Company evidencing the accrual in favor of the Outside Director of the unfunded and unsecured right to receive shares of Common Stock of the Company, which right shall be subject to the terms, conditions and restrictions set forth in the Plan. Such accounts shall be used merely as a bookkeeping convenience. The Company shall not be required to establish any special or separate fund or reserve or to make any other segregation of assets to assure the issuance of any shares of Common Stock granted under this Plan. Except as otherwise provided in this Plan, the shares of Common Stock credited to the Outside</w:t>
      </w:r>
    </w:p>
    <w:p>
      <w:pPr>
        <w:spacing w:after="0" w:line="231" w:lineRule="exact"/>
        <w:rPr>
          <w:sz w:val="20"/>
          <w:szCs w:val="20"/>
          <w:color w:val="auto"/>
        </w:rPr>
      </w:pPr>
    </w:p>
    <w:p>
      <w:pPr>
        <w:ind w:left="740"/>
        <w:spacing w:after="0"/>
        <w:tabs>
          <w:tab w:leader="none" w:pos="1140" w:val="left"/>
          <w:tab w:leader="none" w:pos="9980" w:val="left"/>
        </w:tabs>
        <w:rPr>
          <w:sz w:val="20"/>
          <w:szCs w:val="20"/>
          <w:color w:val="auto"/>
        </w:rPr>
      </w:pPr>
      <w:r>
        <w:rPr>
          <w:rFonts w:ascii="Arial" w:cs="Arial" w:eastAsia="Arial" w:hAnsi="Arial"/>
          <w:sz w:val="13"/>
          <w:szCs w:val="13"/>
          <w:b w:val="1"/>
          <w:bCs w:val="1"/>
          <w:color w:val="auto"/>
        </w:rPr>
        <w:t>​B-4</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b w:val="1"/>
          <w:bCs w:val="1"/>
          <w:color w:val="6EC4E8"/>
        </w:rPr>
        <w:t>CenterPoint Energy, Inc.</w:t>
      </w:r>
      <w:r>
        <w:rPr>
          <w:rFonts w:ascii="Arial" w:cs="Arial" w:eastAsia="Arial" w:hAnsi="Arial"/>
          <w:sz w:val="13"/>
          <w:szCs w:val="13"/>
          <w:b w:val="1"/>
          <w:bCs w:val="1"/>
          <w:color w:val="auto"/>
        </w:rPr>
        <w:t xml:space="preserve">  </w:t>
      </w: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40" w:right="40"/>
        <w:spacing w:after="0" w:line="265" w:lineRule="auto"/>
        <w:rPr>
          <w:sz w:val="20"/>
          <w:szCs w:val="20"/>
          <w:color w:val="auto"/>
        </w:rPr>
      </w:pPr>
      <w:r>
        <w:rPr>
          <w:rFonts w:ascii="Arial" w:cs="Arial" w:eastAsia="Arial" w:hAnsi="Arial"/>
          <w:sz w:val="16"/>
          <w:szCs w:val="16"/>
          <w:color w:val="auto"/>
        </w:rPr>
        <w:t>Director’s bookkeeping account may not be sold, assigned, transferred, pledged or otherwise encumbered until the Outside Director has been registered as the holder of such shares of Common Stock on the records of the Company as provided in Section 5.4. Neither the Company nor the Board shall be required to give any security or bond for the performance of any obligation that may be created by this Plan.</w:t>
      </w:r>
    </w:p>
    <w:p>
      <w:pPr>
        <w:spacing w:after="0" w:line="119" w:lineRule="exact"/>
        <w:rPr>
          <w:sz w:val="20"/>
          <w:szCs w:val="20"/>
          <w:color w:val="auto"/>
        </w:rPr>
      </w:pPr>
    </w:p>
    <w:p>
      <w:pPr>
        <w:ind w:left="740" w:right="500"/>
        <w:spacing w:after="0" w:line="286"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No Assignment or Transfer</w:t>
      </w:r>
      <w:r>
        <w:rPr>
          <w:rFonts w:ascii="Arial" w:cs="Arial" w:eastAsia="Arial" w:hAnsi="Arial"/>
          <w:sz w:val="16"/>
          <w:szCs w:val="16"/>
          <w:color w:val="auto"/>
        </w:rPr>
        <w:t>: No rights to receive Stock Awards under the Plan shall be assignable or transferable by an Outside Director except by will or the laws of descent and distribution.</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Appendix C</w:t>
      </w:r>
    </w:p>
    <w:p>
      <w:pPr>
        <w:spacing w:after="0" w:line="200" w:lineRule="exact"/>
        <w:rPr>
          <w:sz w:val="20"/>
          <w:szCs w:val="20"/>
          <w:color w:val="auto"/>
        </w:rPr>
      </w:pPr>
    </w:p>
    <w:p>
      <w:pPr>
        <w:spacing w:after="0" w:line="265"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CENTERPOINT ENERGY, INC.</w:t>
      </w:r>
    </w:p>
    <w:p>
      <w:pPr>
        <w:spacing w:after="0" w:line="35"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STOCK PLAN FOR OUTSIDE DIRECTORS</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(As Amended and Restated Effective April 26, 2018)</w:t>
      </w:r>
    </w:p>
    <w:p>
      <w:pPr>
        <w:spacing w:after="0" w:line="151" w:lineRule="exact"/>
        <w:rPr>
          <w:sz w:val="20"/>
          <w:szCs w:val="20"/>
          <w:color w:val="auto"/>
        </w:rPr>
      </w:pPr>
    </w:p>
    <w:p>
      <w:pPr>
        <w:jc w:val="center"/>
        <w:ind w:right="-699"/>
        <w:spacing w:after="0"/>
        <w:rPr>
          <w:sz w:val="20"/>
          <w:szCs w:val="20"/>
          <w:color w:val="auto"/>
        </w:rPr>
      </w:pPr>
      <w:r>
        <w:rPr>
          <w:rFonts w:ascii="Arial" w:cs="Arial" w:eastAsia="Arial" w:hAnsi="Arial"/>
          <w:sz w:val="16"/>
          <w:szCs w:val="16"/>
          <w:u w:val="single" w:color="auto"/>
          <w:color w:val="auto"/>
        </w:rPr>
        <w:t>First Amendment</w:t>
      </w:r>
    </w:p>
    <w:p>
      <w:pPr>
        <w:spacing w:after="0" w:line="154" w:lineRule="exact"/>
        <w:rPr>
          <w:sz w:val="20"/>
          <w:szCs w:val="20"/>
          <w:color w:val="auto"/>
        </w:rPr>
      </w:pPr>
    </w:p>
    <w:p>
      <w:pPr>
        <w:ind w:left="740" w:right="320"/>
        <w:spacing w:after="0" w:line="30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CenterPoint Energy, Inc., a Texas corporation (the “Company”), established and maintains the CenterPoint Energy,</w:t>
      </w:r>
      <w:r>
        <w:rPr>
          <w:rFonts w:ascii="Arial" w:cs="Arial" w:eastAsia="Arial" w:hAnsi="Arial"/>
          <w:sz w:val="16"/>
          <w:szCs w:val="16"/>
          <w:b w:val="1"/>
          <w:bCs w:val="1"/>
          <w:color w:val="auto"/>
        </w:rPr>
        <w:t xml:space="preserve"> </w:t>
      </w:r>
      <w:r>
        <w:rPr>
          <w:rFonts w:ascii="Arial" w:cs="Arial" w:eastAsia="Arial" w:hAnsi="Arial"/>
          <w:sz w:val="16"/>
          <w:szCs w:val="16"/>
          <w:color w:val="auto"/>
        </w:rPr>
        <w:t>Inc. Stock Plan for Outside Directors, as amended and restated effective April 26, 2018 (the “Plan”); and</w:t>
      </w:r>
    </w:p>
    <w:p>
      <w:pPr>
        <w:spacing w:after="0" w:line="74" w:lineRule="exact"/>
        <w:rPr>
          <w:sz w:val="20"/>
          <w:szCs w:val="20"/>
          <w:color w:val="auto"/>
        </w:rPr>
      </w:pPr>
    </w:p>
    <w:p>
      <w:pPr>
        <w:ind w:left="740" w:right="140"/>
        <w:spacing w:after="0" w:line="27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of Directors of the Company has reserved the right under Section 6.1 to amend the Plan, subject to prior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by the Company’s shareholders to the extent such approval is determined to be required by applicable legal and/or stock exchange requirements; and</w:t>
      </w:r>
    </w:p>
    <w:p>
      <w:pPr>
        <w:spacing w:after="0" w:line="110" w:lineRule="exact"/>
        <w:rPr>
          <w:sz w:val="20"/>
          <w:szCs w:val="20"/>
          <w:color w:val="auto"/>
        </w:rPr>
      </w:pPr>
    </w:p>
    <w:p>
      <w:pPr>
        <w:ind w:left="740" w:right="740"/>
        <w:spacing w:after="0" w:line="28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desires to amend the Plan to increase the number of shares of common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available for issuance and delivery under the Plan by 350,000 shares;</w:t>
      </w:r>
    </w:p>
    <w:p>
      <w:pPr>
        <w:spacing w:after="0" w:line="102" w:lineRule="exact"/>
        <w:rPr>
          <w:sz w:val="20"/>
          <w:szCs w:val="20"/>
          <w:color w:val="auto"/>
        </w:rPr>
      </w:pPr>
    </w:p>
    <w:p>
      <w:pPr>
        <w:ind w:left="740" w:right="540"/>
        <w:spacing w:after="0" w:line="28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an increase in the number of shares of Common Stock available under the Plan by 350,000 shares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by the shareholders of the Company in accordance with applicable New York Stock Exchange regulations;</w:t>
      </w:r>
    </w:p>
    <w:p>
      <w:pPr>
        <w:spacing w:after="0" w:line="102" w:lineRule="exact"/>
        <w:rPr>
          <w:sz w:val="20"/>
          <w:szCs w:val="20"/>
          <w:color w:val="auto"/>
        </w:rPr>
      </w:pPr>
    </w:p>
    <w:p>
      <w:pPr>
        <w:ind w:left="740" w:right="200"/>
        <w:spacing w:after="0" w:line="271"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subject to approval by the shareholders of the Company at the April 24,</w:t>
      </w:r>
      <w:r>
        <w:rPr>
          <w:rFonts w:ascii="Arial" w:cs="Arial" w:eastAsia="Arial" w:hAnsi="Arial"/>
          <w:sz w:val="16"/>
          <w:szCs w:val="16"/>
          <w:b w:val="1"/>
          <w:bCs w:val="1"/>
          <w:color w:val="auto"/>
        </w:rPr>
        <w:t xml:space="preserve"> </w:t>
      </w:r>
      <w:r>
        <w:rPr>
          <w:rFonts w:ascii="Arial" w:cs="Arial" w:eastAsia="Arial" w:hAnsi="Arial"/>
          <w:sz w:val="16"/>
          <w:szCs w:val="16"/>
          <w:color w:val="auto"/>
        </w:rPr>
        <w:t>2020 Annual Meeting of Shareholders of the Company, effective as of April 24, 2020, (i) the number of shares of Common Stock available for issuance and delivery under the Plan is hereby increased by 350,000 shares and (ii) the first sentence of Section 3.1 of the Plan is amended to read as follows:</w:t>
      </w:r>
    </w:p>
    <w:p>
      <w:pPr>
        <w:spacing w:after="0" w:line="100" w:lineRule="exact"/>
        <w:rPr>
          <w:sz w:val="20"/>
          <w:szCs w:val="20"/>
          <w:color w:val="auto"/>
        </w:rPr>
      </w:pPr>
    </w:p>
    <w:p>
      <w:pPr>
        <w:ind w:left="740" w:right="140"/>
        <w:spacing w:after="0" w:line="304" w:lineRule="auto"/>
        <w:rPr>
          <w:sz w:val="20"/>
          <w:szCs w:val="20"/>
          <w:color w:val="auto"/>
        </w:rPr>
      </w:pPr>
      <w:r>
        <w:rPr>
          <w:rFonts w:ascii="Arial" w:cs="Arial" w:eastAsia="Arial" w:hAnsi="Arial"/>
          <w:sz w:val="16"/>
          <w:szCs w:val="16"/>
          <w:color w:val="auto"/>
        </w:rPr>
        <w:t>“The aggregate number of shares of Common Stock which may be issued or delivered under this Plan shall not exceed 1,050,000 shares, subject to adjustment as hereinafter provided.”</w:t>
      </w:r>
    </w:p>
    <w:p>
      <w:pPr>
        <w:spacing w:after="0" w:line="74" w:lineRule="exact"/>
        <w:rPr>
          <w:sz w:val="20"/>
          <w:szCs w:val="20"/>
          <w:color w:val="auto"/>
        </w:rPr>
      </w:pPr>
    </w:p>
    <w:p>
      <w:pPr>
        <w:ind w:left="740" w:right="380"/>
        <w:spacing w:after="0" w:line="275"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these presents to be executed by its duly authorized officer in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copies, all of which shall constitute one and the same instrument, which may be sufficiently evidenced by any executed copy hereof, on this 19th day of February, 2020, and effective as of April 24, 2020.</w:t>
      </w:r>
    </w:p>
    <w:p>
      <w:pPr>
        <w:spacing w:after="0" w:line="59"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2320" w:type="dxa"/>
            <w:vAlign w:val="bottom"/>
          </w:tcPr>
          <w:p>
            <w:pPr>
              <w:spacing w:after="0"/>
              <w:rPr>
                <w:sz w:val="20"/>
                <w:szCs w:val="20"/>
                <w:color w:val="auto"/>
              </w:rPr>
            </w:pPr>
            <w:r>
              <w:rPr>
                <w:rFonts w:ascii="Arial" w:cs="Arial" w:eastAsia="Arial" w:hAnsi="Arial"/>
                <w:sz w:val="15"/>
                <w:szCs w:val="15"/>
                <w:b w:val="1"/>
                <w:bCs w:val="1"/>
                <w:color w:val="auto"/>
              </w:rPr>
              <w:t>​ ​</w:t>
            </w:r>
          </w:p>
        </w:tc>
        <w:tc>
          <w:tcPr>
            <w:tcW w:w="6820" w:type="dxa"/>
            <w:vAlign w:val="bottom"/>
            <w:gridSpan w:val="2"/>
          </w:tcPr>
          <w:p>
            <w:pPr>
              <w:ind w:left="2180"/>
              <w:spacing w:after="0"/>
              <w:rPr>
                <w:sz w:val="20"/>
                <w:szCs w:val="20"/>
                <w:color w:val="auto"/>
              </w:rPr>
            </w:pPr>
            <w:r>
              <w:rPr>
                <w:rFonts w:ascii="Arial" w:cs="Arial" w:eastAsia="Arial" w:hAnsi="Arial"/>
                <w:sz w:val="30"/>
                <w:szCs w:val="30"/>
                <w:b w:val="1"/>
                <w:bCs w:val="1"/>
                <w:color w:val="auto"/>
                <w:vertAlign w:val="superscript"/>
              </w:rPr>
              <w:t>​ ​</w:t>
            </w:r>
            <w:r>
              <w:rPr>
                <w:rFonts w:ascii="Arial" w:cs="Arial" w:eastAsia="Arial" w:hAnsi="Arial"/>
                <w:sz w:val="15"/>
                <w:szCs w:val="15"/>
                <w:b w:val="1"/>
                <w:bCs w:val="1"/>
                <w:color w:val="auto"/>
              </w:rPr>
              <w:t xml:space="preserve"> CENTERPOINT ENERGY, INC.</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00"/>
        </w:trPr>
        <w:tc>
          <w:tcPr>
            <w:tcW w:w="2320" w:type="dxa"/>
            <w:vAlign w:val="bottom"/>
          </w:tcPr>
          <w:p>
            <w:pPr>
              <w:spacing w:after="0"/>
              <w:rPr>
                <w:sz w:val="20"/>
                <w:szCs w:val="20"/>
                <w:color w:val="auto"/>
              </w:rPr>
            </w:pPr>
            <w:r>
              <w:rPr>
                <w:rFonts w:ascii="Arial" w:cs="Arial" w:eastAsia="Arial" w:hAnsi="Arial"/>
                <w:sz w:val="15"/>
                <w:szCs w:val="15"/>
                <w:color w:val="auto"/>
              </w:rPr>
              <w:t>​ ​</w:t>
            </w:r>
          </w:p>
        </w:tc>
        <w:tc>
          <w:tcPr>
            <w:tcW w:w="6820" w:type="dxa"/>
            <w:vAlign w:val="bottom"/>
            <w:gridSpan w:val="2"/>
          </w:tcPr>
          <w:p>
            <w:pPr>
              <w:ind w:left="2180"/>
              <w:spacing w:after="0"/>
              <w:rPr>
                <w:sz w:val="20"/>
                <w:szCs w:val="20"/>
                <w:color w:val="auto"/>
              </w:rPr>
            </w:pPr>
            <w:r>
              <w:rPr>
                <w:rFonts w:ascii="Arial" w:cs="Arial" w:eastAsia="Arial" w:hAnsi="Arial"/>
                <w:sz w:val="15"/>
                <w:szCs w:val="15"/>
                <w:color w:val="auto"/>
              </w:rPr>
              <w:t>​ ​</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03"/>
        </w:trPr>
        <w:tc>
          <w:tcPr>
            <w:tcW w:w="2320" w:type="dxa"/>
            <w:vAlign w:val="bottom"/>
          </w:tcPr>
          <w:p>
            <w:pPr>
              <w:spacing w:after="0"/>
              <w:rPr>
                <w:sz w:val="17"/>
                <w:szCs w:val="17"/>
                <w:color w:val="auto"/>
              </w:rPr>
            </w:pPr>
          </w:p>
        </w:tc>
        <w:tc>
          <w:tcPr>
            <w:tcW w:w="6820" w:type="dxa"/>
            <w:vAlign w:val="bottom"/>
            <w:gridSpan w:val="2"/>
          </w:tcPr>
          <w:p>
            <w:pPr>
              <w:ind w:left="2400"/>
              <w:spacing w:after="0"/>
              <w:rPr>
                <w:sz w:val="20"/>
                <w:szCs w:val="20"/>
                <w:color w:val="auto"/>
              </w:rPr>
            </w:pPr>
            <w:r>
              <w:rPr>
                <w:rFonts w:ascii="Arial" w:cs="Arial" w:eastAsia="Arial" w:hAnsi="Arial"/>
                <w:sz w:val="15"/>
                <w:szCs w:val="15"/>
                <w:color w:val="auto"/>
              </w:rPr>
              <w:t>By: /s/ John W. Somerhalder</w:t>
            </w:r>
          </w:p>
        </w:tc>
        <w:tc>
          <w:tcPr>
            <w:tcW w:w="40" w:type="dxa"/>
            <w:vAlign w:val="bottom"/>
          </w:tcPr>
          <w:p>
            <w:pPr>
              <w:spacing w:after="0"/>
              <w:rPr>
                <w:sz w:val="17"/>
                <w:szCs w:val="17"/>
                <w:color w:val="auto"/>
              </w:rPr>
            </w:pPr>
          </w:p>
        </w:tc>
      </w:tr>
      <w:tr>
        <w:trPr>
          <w:trHeight w:val="33"/>
        </w:trPr>
        <w:tc>
          <w:tcPr>
            <w:tcW w:w="2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9"/>
        </w:trPr>
        <w:tc>
          <w:tcPr>
            <w:tcW w:w="23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John W. Somerhalder II</w:t>
            </w:r>
          </w:p>
        </w:tc>
        <w:tc>
          <w:tcPr>
            <w:tcW w:w="40" w:type="dxa"/>
            <w:vAlign w:val="bottom"/>
          </w:tcPr>
          <w:p>
            <w:pPr>
              <w:spacing w:after="0"/>
              <w:rPr>
                <w:sz w:val="15"/>
                <w:szCs w:val="15"/>
                <w:color w:val="auto"/>
              </w:rPr>
            </w:pPr>
          </w:p>
        </w:tc>
      </w:tr>
      <w:tr>
        <w:trPr>
          <w:trHeight w:val="200"/>
        </w:trPr>
        <w:tc>
          <w:tcPr>
            <w:tcW w:w="2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Interim President and Chief Executive Officer</w:t>
            </w:r>
          </w:p>
        </w:tc>
        <w:tc>
          <w:tcPr>
            <w:tcW w:w="40" w:type="dxa"/>
            <w:vAlign w:val="bottom"/>
          </w:tcPr>
          <w:p>
            <w:pPr>
              <w:spacing w:after="0"/>
              <w:rPr>
                <w:sz w:val="17"/>
                <w:szCs w:val="17"/>
                <w:color w:val="auto"/>
              </w:rPr>
            </w:pPr>
          </w:p>
        </w:tc>
      </w:tr>
    </w:tbl>
    <w:p>
      <w:pPr>
        <w:spacing w:after="0" w:line="332"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4500" w:type="dxa"/>
            <w:vAlign w:val="bottom"/>
            <w:gridSpan w:val="2"/>
          </w:tcPr>
          <w:p>
            <w:pPr>
              <w:spacing w:after="0"/>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b w:val="1"/>
                <w:bCs w:val="1"/>
                <w:color w:val="auto"/>
              </w:rPr>
              <w:t xml:space="preserve"> ATTEST:</w:t>
            </w:r>
          </w:p>
        </w:tc>
        <w:tc>
          <w:tcPr>
            <w:tcW w:w="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2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220" w:type="dxa"/>
            <w:vAlign w:val="bottom"/>
          </w:tcPr>
          <w:p>
            <w:pPr>
              <w:ind w:left="2180"/>
              <w:spacing w:after="0"/>
              <w:rPr>
                <w:sz w:val="20"/>
                <w:szCs w:val="20"/>
                <w:color w:val="auto"/>
              </w:rPr>
            </w:pPr>
            <w:r>
              <w:rPr>
                <w:rFonts w:ascii="Arial" w:cs="Arial" w:eastAsia="Arial" w:hAnsi="Arial"/>
                <w:sz w:val="15"/>
                <w:szCs w:val="15"/>
                <w:b w:val="1"/>
                <w:bCs w:val="1"/>
                <w:color w:val="auto"/>
              </w:rPr>
              <w:t>​</w:t>
            </w:r>
          </w:p>
        </w:tc>
      </w:tr>
      <w:tr>
        <w:trPr>
          <w:trHeight w:val="162"/>
        </w:trPr>
        <w:tc>
          <w:tcPr>
            <w:tcW w:w="4500" w:type="dxa"/>
            <w:vAlign w:val="bottom"/>
            <w:gridSpan w:val="2"/>
          </w:tcPr>
          <w:p>
            <w:pPr>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ind w:left="40"/>
              <w:spacing w:after="0" w:line="162" w:lineRule="exact"/>
              <w:rPr>
                <w:sz w:val="20"/>
                <w:szCs w:val="20"/>
                <w:color w:val="auto"/>
              </w:rPr>
            </w:pPr>
            <w:r>
              <w:rPr>
                <w:rFonts w:ascii="Arial" w:cs="Arial" w:eastAsia="Arial" w:hAnsi="Arial"/>
                <w:sz w:val="15"/>
                <w:szCs w:val="15"/>
                <w:color w:val="auto"/>
              </w:rPr>
              <w:t>​</w:t>
            </w:r>
          </w:p>
        </w:tc>
        <w:tc>
          <w:tcPr>
            <w:tcW w:w="226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2220" w:type="dxa"/>
            <w:vAlign w:val="bottom"/>
          </w:tcPr>
          <w:p>
            <w:pPr>
              <w:ind w:left="2180"/>
              <w:spacing w:after="0" w:line="162" w:lineRule="exact"/>
              <w:rPr>
                <w:sz w:val="20"/>
                <w:szCs w:val="20"/>
                <w:color w:val="auto"/>
              </w:rPr>
            </w:pPr>
            <w:r>
              <w:rPr>
                <w:rFonts w:ascii="Arial" w:cs="Arial" w:eastAsia="Arial" w:hAnsi="Arial"/>
                <w:sz w:val="15"/>
                <w:szCs w:val="15"/>
                <w:color w:val="auto"/>
              </w:rPr>
              <w:t>​</w:t>
            </w:r>
          </w:p>
        </w:tc>
      </w:tr>
      <w:tr>
        <w:trPr>
          <w:trHeight w:val="200"/>
        </w:trPr>
        <w:tc>
          <w:tcPr>
            <w:tcW w:w="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 Vincent A. Mercaldi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7"/>
        </w:trPr>
        <w:tc>
          <w:tcPr>
            <w:tcW w:w="80" w:type="dxa"/>
            <w:vAlign w:val="bottom"/>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165"/>
        </w:trPr>
        <w:tc>
          <w:tcPr>
            <w:tcW w:w="80" w:type="dxa"/>
            <w:vAlign w:val="bottom"/>
          </w:tcPr>
          <w:p>
            <w:pPr>
              <w:spacing w:after="0"/>
              <w:rPr>
                <w:sz w:val="14"/>
                <w:szCs w:val="14"/>
                <w:color w:val="auto"/>
              </w:rPr>
            </w:pPr>
          </w:p>
        </w:tc>
        <w:tc>
          <w:tcPr>
            <w:tcW w:w="4420" w:type="dxa"/>
            <w:vAlign w:val="bottom"/>
          </w:tcPr>
          <w:p>
            <w:pPr>
              <w:spacing w:after="0" w:line="165" w:lineRule="exact"/>
              <w:rPr>
                <w:sz w:val="20"/>
                <w:szCs w:val="20"/>
                <w:color w:val="auto"/>
              </w:rPr>
            </w:pPr>
            <w:r>
              <w:rPr>
                <w:rFonts w:ascii="Arial" w:cs="Arial" w:eastAsia="Arial" w:hAnsi="Arial"/>
                <w:sz w:val="15"/>
                <w:szCs w:val="15"/>
                <w:color w:val="auto"/>
              </w:rPr>
              <w:t>Vincent A. Mercaldi</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0"/>
        </w:trPr>
        <w:tc>
          <w:tcPr>
            <w:tcW w:w="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Corporate Secretary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34"/>
          <w:szCs w:val="34"/>
          <w:color w:val="6EC4E8"/>
        </w:rPr>
        <w:t>Appendix D</w:t>
      </w:r>
    </w:p>
    <w:p>
      <w:pPr>
        <w:spacing w:after="0" w:line="200" w:lineRule="exact"/>
        <w:rPr>
          <w:sz w:val="20"/>
          <w:szCs w:val="20"/>
          <w:color w:val="auto"/>
        </w:rPr>
      </w:pPr>
    </w:p>
    <w:p>
      <w:pPr>
        <w:spacing w:after="0" w:line="265"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CENTERPOINT ENERGY, INC.</w:t>
      </w:r>
    </w:p>
    <w:p>
      <w:pPr>
        <w:spacing w:after="0" w:line="35"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STOCK PLAN FOR OUTSIDE DIRECTORS</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(As Amended and Restated Effective April 26, 2018)</w:t>
      </w:r>
    </w:p>
    <w:p>
      <w:pPr>
        <w:spacing w:after="0" w:line="151" w:lineRule="exact"/>
        <w:rPr>
          <w:sz w:val="20"/>
          <w:szCs w:val="20"/>
          <w:color w:val="auto"/>
        </w:rPr>
      </w:pPr>
    </w:p>
    <w:p>
      <w:pPr>
        <w:jc w:val="center"/>
        <w:ind w:right="-699"/>
        <w:spacing w:after="0"/>
        <w:rPr>
          <w:sz w:val="20"/>
          <w:szCs w:val="20"/>
          <w:color w:val="auto"/>
        </w:rPr>
      </w:pPr>
      <w:r>
        <w:rPr>
          <w:rFonts w:ascii="Arial" w:cs="Arial" w:eastAsia="Arial" w:hAnsi="Arial"/>
          <w:sz w:val="16"/>
          <w:szCs w:val="16"/>
          <w:u w:val="single" w:color="auto"/>
          <w:color w:val="auto"/>
        </w:rPr>
        <w:t>Second Amendment</w:t>
      </w:r>
    </w:p>
    <w:p>
      <w:pPr>
        <w:spacing w:after="0" w:line="154" w:lineRule="exact"/>
        <w:rPr>
          <w:sz w:val="20"/>
          <w:szCs w:val="20"/>
          <w:color w:val="auto"/>
        </w:rPr>
      </w:pPr>
    </w:p>
    <w:p>
      <w:pPr>
        <w:ind w:left="740" w:right="320"/>
        <w:spacing w:after="0" w:line="30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CenterPoint Energy, Inc., a Texas corporation (the “Company”), established and maintains the CenterPoint Energy,</w:t>
      </w:r>
      <w:r>
        <w:rPr>
          <w:rFonts w:ascii="Arial" w:cs="Arial" w:eastAsia="Arial" w:hAnsi="Arial"/>
          <w:sz w:val="16"/>
          <w:szCs w:val="16"/>
          <w:b w:val="1"/>
          <w:bCs w:val="1"/>
          <w:color w:val="auto"/>
        </w:rPr>
        <w:t xml:space="preserve"> </w:t>
      </w:r>
      <w:r>
        <w:rPr>
          <w:rFonts w:ascii="Arial" w:cs="Arial" w:eastAsia="Arial" w:hAnsi="Arial"/>
          <w:sz w:val="16"/>
          <w:szCs w:val="16"/>
          <w:color w:val="auto"/>
        </w:rPr>
        <w:t>Inc. Stock Plan for Outside Directors, as amended and restated effective April 26, 2018 (the “Plan”);</w:t>
      </w:r>
    </w:p>
    <w:p>
      <w:pPr>
        <w:spacing w:after="0" w:line="7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Plan was amended effective April 20, 2020, by the First Amendment to the Plan;</w:t>
      </w:r>
    </w:p>
    <w:p>
      <w:pPr>
        <w:spacing w:after="0" w:line="154" w:lineRule="exact"/>
        <w:rPr>
          <w:sz w:val="20"/>
          <w:szCs w:val="20"/>
          <w:color w:val="auto"/>
        </w:rPr>
      </w:pPr>
    </w:p>
    <w:p>
      <w:pPr>
        <w:ind w:left="740" w:right="140"/>
        <w:spacing w:after="0" w:line="28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reserved the right under Section 6.1 to amend the Plan, subject to prior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by the Company’s shareholders to the extent such approval is determined to be required by applicable legal and/or stock exchange requirements;</w:t>
      </w:r>
    </w:p>
    <w:p>
      <w:pPr>
        <w:spacing w:after="0" w:line="89" w:lineRule="exact"/>
        <w:rPr>
          <w:sz w:val="20"/>
          <w:szCs w:val="20"/>
          <w:color w:val="auto"/>
        </w:rPr>
      </w:pPr>
    </w:p>
    <w:p>
      <w:pPr>
        <w:ind w:left="740" w:right="740"/>
        <w:spacing w:after="0" w:line="30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amend the Plan to increase the number of shares of common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available for issuance and delivery under the Plan by 350,000 shares; and</w:t>
      </w:r>
    </w:p>
    <w:p>
      <w:pPr>
        <w:spacing w:after="0" w:line="74" w:lineRule="exact"/>
        <w:rPr>
          <w:sz w:val="20"/>
          <w:szCs w:val="20"/>
          <w:color w:val="auto"/>
        </w:rPr>
      </w:pPr>
    </w:p>
    <w:p>
      <w:pPr>
        <w:ind w:left="740" w:right="540"/>
        <w:spacing w:after="0" w:line="30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 increase in the number of shares of Common Stock available under the Plan by 350,000 shares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by the shareholders of the Company in accordance with applicable New York Stock Exchange regulations;</w:t>
      </w:r>
    </w:p>
    <w:p>
      <w:pPr>
        <w:spacing w:after="0" w:line="74" w:lineRule="exact"/>
        <w:rPr>
          <w:sz w:val="20"/>
          <w:szCs w:val="20"/>
          <w:color w:val="auto"/>
        </w:rPr>
      </w:pPr>
    </w:p>
    <w:p>
      <w:pPr>
        <w:ind w:left="740" w:right="200"/>
        <w:spacing w:after="0" w:line="271"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subject to approval by the shareholders of the Company at the April 16,</w:t>
      </w:r>
      <w:r>
        <w:rPr>
          <w:rFonts w:ascii="Arial" w:cs="Arial" w:eastAsia="Arial" w:hAnsi="Arial"/>
          <w:sz w:val="16"/>
          <w:szCs w:val="16"/>
          <w:b w:val="1"/>
          <w:bCs w:val="1"/>
          <w:color w:val="auto"/>
        </w:rPr>
        <w:t xml:space="preserve"> </w:t>
      </w:r>
      <w:r>
        <w:rPr>
          <w:rFonts w:ascii="Arial" w:cs="Arial" w:eastAsia="Arial" w:hAnsi="Arial"/>
          <w:sz w:val="16"/>
          <w:szCs w:val="16"/>
          <w:color w:val="auto"/>
        </w:rPr>
        <w:t>2025 Annual Meeting of Shareholders of the Company, effective as of April 16, 2025, (i) the number of shares of Common Stock available for issuance and delivery under the Plan is hereby increased by 350,000 shares and (ii) the first sentence of Section 3.1 of the Plan is amended to read as follows:</w:t>
      </w:r>
    </w:p>
    <w:p>
      <w:pPr>
        <w:spacing w:after="0" w:line="100" w:lineRule="exact"/>
        <w:rPr>
          <w:sz w:val="20"/>
          <w:szCs w:val="20"/>
          <w:color w:val="auto"/>
        </w:rPr>
      </w:pPr>
    </w:p>
    <w:p>
      <w:pPr>
        <w:ind w:left="740" w:right="140"/>
        <w:spacing w:after="0" w:line="304" w:lineRule="auto"/>
        <w:rPr>
          <w:sz w:val="20"/>
          <w:szCs w:val="20"/>
          <w:color w:val="auto"/>
        </w:rPr>
      </w:pPr>
      <w:r>
        <w:rPr>
          <w:rFonts w:ascii="Arial" w:cs="Arial" w:eastAsia="Arial" w:hAnsi="Arial"/>
          <w:sz w:val="16"/>
          <w:szCs w:val="16"/>
          <w:color w:val="auto"/>
        </w:rPr>
        <w:t>“The aggregate number of shares of Common Stock which may be issued or delivered under this Plan shall not exceed 1,400,000 shares, subject to adjustment as hereinafter provided.”</w:t>
      </w:r>
    </w:p>
    <w:p>
      <w:pPr>
        <w:spacing w:after="0" w:line="74" w:lineRule="exact"/>
        <w:rPr>
          <w:sz w:val="20"/>
          <w:szCs w:val="20"/>
          <w:color w:val="auto"/>
        </w:rPr>
      </w:pPr>
    </w:p>
    <w:p>
      <w:pPr>
        <w:ind w:left="740" w:right="360"/>
        <w:spacing w:after="0" w:line="284"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these presents to be executed by its duly authorized officer in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copies, all of which shall constitute one and the same instrument, which may be sufficiently evidenced by any executed copy hereof, on this 14th day of February, 2025, and effective as set forth above.</w:t>
      </w:r>
    </w:p>
    <w:p>
      <w:pPr>
        <w:spacing w:after="0" w:line="52"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2320" w:type="dxa"/>
            <w:vAlign w:val="bottom"/>
          </w:tcPr>
          <w:p>
            <w:pPr>
              <w:spacing w:after="0"/>
              <w:rPr>
                <w:sz w:val="20"/>
                <w:szCs w:val="20"/>
                <w:color w:val="auto"/>
              </w:rPr>
            </w:pPr>
            <w:r>
              <w:rPr>
                <w:rFonts w:ascii="Arial" w:cs="Arial" w:eastAsia="Arial" w:hAnsi="Arial"/>
                <w:sz w:val="15"/>
                <w:szCs w:val="15"/>
                <w:b w:val="1"/>
                <w:bCs w:val="1"/>
                <w:color w:val="auto"/>
              </w:rPr>
              <w:t>​ ​</w:t>
            </w:r>
          </w:p>
        </w:tc>
        <w:tc>
          <w:tcPr>
            <w:tcW w:w="6820" w:type="dxa"/>
            <w:vAlign w:val="bottom"/>
            <w:gridSpan w:val="2"/>
          </w:tcPr>
          <w:p>
            <w:pPr>
              <w:ind w:left="2180"/>
              <w:spacing w:after="0"/>
              <w:rPr>
                <w:sz w:val="20"/>
                <w:szCs w:val="20"/>
                <w:color w:val="auto"/>
              </w:rPr>
            </w:pPr>
            <w:r>
              <w:rPr>
                <w:rFonts w:ascii="Arial" w:cs="Arial" w:eastAsia="Arial" w:hAnsi="Arial"/>
                <w:sz w:val="30"/>
                <w:szCs w:val="30"/>
                <w:b w:val="1"/>
                <w:bCs w:val="1"/>
                <w:color w:val="auto"/>
                <w:vertAlign w:val="superscript"/>
              </w:rPr>
              <w:t>​ ​</w:t>
            </w:r>
            <w:r>
              <w:rPr>
                <w:rFonts w:ascii="Arial" w:cs="Arial" w:eastAsia="Arial" w:hAnsi="Arial"/>
                <w:sz w:val="15"/>
                <w:szCs w:val="15"/>
                <w:b w:val="1"/>
                <w:bCs w:val="1"/>
                <w:color w:val="auto"/>
              </w:rPr>
              <w:t xml:space="preserve"> CENTERPOINT ENERGY, INC.</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00"/>
        </w:trPr>
        <w:tc>
          <w:tcPr>
            <w:tcW w:w="2320" w:type="dxa"/>
            <w:vAlign w:val="bottom"/>
          </w:tcPr>
          <w:p>
            <w:pPr>
              <w:spacing w:after="0"/>
              <w:rPr>
                <w:sz w:val="20"/>
                <w:szCs w:val="20"/>
                <w:color w:val="auto"/>
              </w:rPr>
            </w:pPr>
            <w:r>
              <w:rPr>
                <w:rFonts w:ascii="Arial" w:cs="Arial" w:eastAsia="Arial" w:hAnsi="Arial"/>
                <w:sz w:val="15"/>
                <w:szCs w:val="15"/>
                <w:color w:val="auto"/>
              </w:rPr>
              <w:t>​ ​</w:t>
            </w:r>
          </w:p>
        </w:tc>
        <w:tc>
          <w:tcPr>
            <w:tcW w:w="6820" w:type="dxa"/>
            <w:vAlign w:val="bottom"/>
            <w:gridSpan w:val="2"/>
          </w:tcPr>
          <w:p>
            <w:pPr>
              <w:ind w:left="2180"/>
              <w:spacing w:after="0"/>
              <w:rPr>
                <w:sz w:val="20"/>
                <w:szCs w:val="20"/>
                <w:color w:val="auto"/>
              </w:rPr>
            </w:pPr>
            <w:r>
              <w:rPr>
                <w:rFonts w:ascii="Arial" w:cs="Arial" w:eastAsia="Arial" w:hAnsi="Arial"/>
                <w:sz w:val="15"/>
                <w:szCs w:val="15"/>
                <w:color w:val="auto"/>
              </w:rPr>
              <w:t>​ ​</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16"/>
        </w:trPr>
        <w:tc>
          <w:tcPr>
            <w:tcW w:w="2320" w:type="dxa"/>
            <w:vAlign w:val="bottom"/>
          </w:tcPr>
          <w:p>
            <w:pPr>
              <w:spacing w:after="0"/>
              <w:rPr>
                <w:sz w:val="18"/>
                <w:szCs w:val="18"/>
                <w:color w:val="auto"/>
              </w:rPr>
            </w:pPr>
          </w:p>
        </w:tc>
        <w:tc>
          <w:tcPr>
            <w:tcW w:w="6820" w:type="dxa"/>
            <w:vAlign w:val="bottom"/>
            <w:gridSpan w:val="2"/>
          </w:tcPr>
          <w:p>
            <w:pPr>
              <w:ind w:left="2400"/>
              <w:spacing w:after="0"/>
              <w:rPr>
                <w:sz w:val="20"/>
                <w:szCs w:val="20"/>
                <w:color w:val="auto"/>
              </w:rPr>
            </w:pPr>
            <w:r>
              <w:rPr>
                <w:rFonts w:ascii="Arial" w:cs="Arial" w:eastAsia="Arial" w:hAnsi="Arial"/>
                <w:sz w:val="15"/>
                <w:szCs w:val="15"/>
                <w:color w:val="auto"/>
              </w:rPr>
              <w:t>By: /s/ Jason P. Wells</w:t>
            </w:r>
          </w:p>
        </w:tc>
        <w:tc>
          <w:tcPr>
            <w:tcW w:w="40" w:type="dxa"/>
            <w:vAlign w:val="bottom"/>
          </w:tcPr>
          <w:p>
            <w:pPr>
              <w:spacing w:after="0"/>
              <w:rPr>
                <w:sz w:val="18"/>
                <w:szCs w:val="18"/>
                <w:color w:val="auto"/>
              </w:rPr>
            </w:pPr>
          </w:p>
        </w:tc>
      </w:tr>
      <w:tr>
        <w:trPr>
          <w:trHeight w:val="185"/>
        </w:trPr>
        <w:tc>
          <w:tcPr>
            <w:tcW w:w="2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Jason P. Wells</w:t>
            </w:r>
          </w:p>
        </w:tc>
        <w:tc>
          <w:tcPr>
            <w:tcW w:w="40" w:type="dxa"/>
            <w:vAlign w:val="bottom"/>
          </w:tcPr>
          <w:p>
            <w:pPr>
              <w:spacing w:after="0"/>
              <w:rPr>
                <w:sz w:val="16"/>
                <w:szCs w:val="16"/>
                <w:color w:val="auto"/>
              </w:rPr>
            </w:pPr>
          </w:p>
        </w:tc>
      </w:tr>
      <w:tr>
        <w:trPr>
          <w:trHeight w:val="200"/>
        </w:trPr>
        <w:tc>
          <w:tcPr>
            <w:tcW w:w="2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President and Chief Executive Officer</w:t>
            </w:r>
          </w:p>
        </w:tc>
        <w:tc>
          <w:tcPr>
            <w:tcW w:w="40" w:type="dxa"/>
            <w:vAlign w:val="bottom"/>
          </w:tcPr>
          <w:p>
            <w:pPr>
              <w:spacing w:after="0"/>
              <w:rPr>
                <w:sz w:val="17"/>
                <w:szCs w:val="17"/>
                <w:color w:val="auto"/>
              </w:rPr>
            </w:pPr>
          </w:p>
        </w:tc>
      </w:tr>
    </w:tbl>
    <w:p>
      <w:pPr>
        <w:spacing w:after="0" w:line="332" w:lineRule="exact"/>
        <w:rPr>
          <w:sz w:val="20"/>
          <w:szCs w:val="20"/>
          <w:color w:val="auto"/>
        </w:rPr>
      </w:pPr>
    </w:p>
    <w:tbl>
      <w:tblPr>
        <w:tblLayout w:type="fixed"/>
        <w:tblInd w:w="740" w:type="dxa"/>
        <w:tblCellMar>
          <w:top w:w="0" w:type="dxa"/>
          <w:left w:w="0" w:type="dxa"/>
          <w:bottom w:w="0" w:type="dxa"/>
          <w:right w:w="0" w:type="dxa"/>
        </w:tblCellMar>
      </w:tblPr>
      <w:tr>
        <w:trPr>
          <w:trHeight w:val="345"/>
        </w:trPr>
        <w:tc>
          <w:tcPr>
            <w:tcW w:w="4500" w:type="dxa"/>
            <w:vAlign w:val="bottom"/>
            <w:gridSpan w:val="2"/>
          </w:tcPr>
          <w:p>
            <w:pPr>
              <w:spacing w:after="0"/>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5"/>
                <w:szCs w:val="15"/>
                <w:b w:val="1"/>
                <w:bCs w:val="1"/>
                <w:color w:val="auto"/>
              </w:rPr>
              <w:t xml:space="preserve"> ATTEST:</w:t>
            </w:r>
          </w:p>
        </w:tc>
        <w:tc>
          <w:tcPr>
            <w:tcW w:w="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2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220" w:type="dxa"/>
            <w:vAlign w:val="bottom"/>
          </w:tcPr>
          <w:p>
            <w:pPr>
              <w:ind w:left="2180"/>
              <w:spacing w:after="0"/>
              <w:rPr>
                <w:sz w:val="20"/>
                <w:szCs w:val="20"/>
                <w:color w:val="auto"/>
              </w:rPr>
            </w:pPr>
            <w:r>
              <w:rPr>
                <w:rFonts w:ascii="Arial" w:cs="Arial" w:eastAsia="Arial" w:hAnsi="Arial"/>
                <w:sz w:val="15"/>
                <w:szCs w:val="15"/>
                <w:b w:val="1"/>
                <w:bCs w:val="1"/>
                <w:color w:val="auto"/>
              </w:rPr>
              <w:t>​</w:t>
            </w:r>
          </w:p>
        </w:tc>
      </w:tr>
      <w:tr>
        <w:trPr>
          <w:trHeight w:val="162"/>
        </w:trPr>
        <w:tc>
          <w:tcPr>
            <w:tcW w:w="4500" w:type="dxa"/>
            <w:vAlign w:val="bottom"/>
            <w:gridSpan w:val="2"/>
          </w:tcPr>
          <w:p>
            <w:pPr>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ind w:left="40"/>
              <w:spacing w:after="0" w:line="162" w:lineRule="exact"/>
              <w:rPr>
                <w:sz w:val="20"/>
                <w:szCs w:val="20"/>
                <w:color w:val="auto"/>
              </w:rPr>
            </w:pPr>
            <w:r>
              <w:rPr>
                <w:rFonts w:ascii="Arial" w:cs="Arial" w:eastAsia="Arial" w:hAnsi="Arial"/>
                <w:sz w:val="15"/>
                <w:szCs w:val="15"/>
                <w:color w:val="auto"/>
              </w:rPr>
              <w:t>​</w:t>
            </w:r>
          </w:p>
        </w:tc>
        <w:tc>
          <w:tcPr>
            <w:tcW w:w="226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2220" w:type="dxa"/>
            <w:vAlign w:val="bottom"/>
          </w:tcPr>
          <w:p>
            <w:pPr>
              <w:ind w:left="2180"/>
              <w:spacing w:after="0" w:line="162" w:lineRule="exact"/>
              <w:rPr>
                <w:sz w:val="20"/>
                <w:szCs w:val="20"/>
                <w:color w:val="auto"/>
              </w:rPr>
            </w:pPr>
            <w:r>
              <w:rPr>
                <w:rFonts w:ascii="Arial" w:cs="Arial" w:eastAsia="Arial" w:hAnsi="Arial"/>
                <w:sz w:val="15"/>
                <w:szCs w:val="15"/>
                <w:color w:val="auto"/>
              </w:rPr>
              <w:t>​</w:t>
            </w:r>
          </w:p>
        </w:tc>
      </w:tr>
      <w:tr>
        <w:trPr>
          <w:trHeight w:val="200"/>
        </w:trPr>
        <w:tc>
          <w:tcPr>
            <w:tcW w:w="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/s/ Vincent A. Mercaldi</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7"/>
        </w:trPr>
        <w:tc>
          <w:tcPr>
            <w:tcW w:w="80" w:type="dxa"/>
            <w:vAlign w:val="bottom"/>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179"/>
        </w:trPr>
        <w:tc>
          <w:tcPr>
            <w:tcW w:w="8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Vincent A. Mercaldi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00"/>
        </w:trPr>
        <w:tc>
          <w:tcPr>
            <w:tcW w:w="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Corporate Secretary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0"/>
        <w:spacing w:after="0"/>
        <w:tabs>
          <w:tab w:leader="none" w:pos="6760" w:val="left"/>
          <w:tab w:leader="none" w:pos="97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6EC4E8"/>
        </w:rPr>
        <w:t xml:space="preserve">CenterPoint Energy, Inc.  </w:t>
      </w:r>
      <w:r>
        <w:rPr>
          <w:rFonts w:ascii="Arial" w:cs="Arial" w:eastAsia="Arial" w:hAnsi="Arial"/>
          <w:sz w:val="13"/>
          <w:szCs w:val="13"/>
          <w:color w:val="000000"/>
        </w:rPr>
        <w:t>2025 Proxy Statement</w:t>
      </w:r>
      <w:r>
        <w:rPr>
          <w:rFonts w:ascii="Arial" w:cs="Arial" w:eastAsia="Arial" w:hAnsi="Arial"/>
          <w:sz w:val="13"/>
          <w:szCs w:val="13"/>
          <w:b w:val="1"/>
          <w:bCs w:val="1"/>
          <w:color w:val="000000"/>
        </w:rPr>
        <w:t>​</w:t>
      </w:r>
      <w:r>
        <w:rPr>
          <w:rFonts w:ascii="Arial" w:cs="Arial" w:eastAsia="Arial" w:hAnsi="Arial"/>
          <w:sz w:val="13"/>
          <w:szCs w:val="13"/>
          <w:b w:val="1"/>
          <w:bCs w:val="1"/>
          <w:color w:val="auto"/>
        </w:rPr>
        <w:tab/>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506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88506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12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12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
      <w:numFmt w:val="bullet"/>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1)"/>
      <w:numFmt w:val="lowerRoman"/>
      <w:start w:val="2"/>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lvl w:ilvl="1">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
      <w:numFmt w:val="bullet"/>
      <w:start w:val="1"/>
    </w:lvl>
    <w:lvl w:ilvl="1">
      <w:lvlJc w:val="left"/>
      <w:lvlText w:val="•"/>
      <w:numFmt w:val="bullet"/>
      <w:start w:val="1"/>
    </w:lvl>
  </w:abstractNum>
  <w:abstractNum w:abstractNumId="72">
    <w:nsid w:val="E7FFA2B"/>
    <w:multiLevelType w:val="hybridMultilevel"/>
    <w:lvl w:ilvl="0">
      <w:lvlJc w:val="left"/>
      <w:lvlText w:val="•"/>
      <w:numFmt w:val="bullet"/>
      <w:start w:val="1"/>
    </w:lvl>
    <w:lvl w:ilvl="1">
      <w:lvlJc w:val="left"/>
      <w:lvlText w:val="•"/>
      <w:numFmt w:val="bullet"/>
      <w:start w:val="1"/>
    </w:lvl>
  </w:abstractNum>
  <w:abstractNum w:abstractNumId="73">
    <w:nsid w:val="3C5991AA"/>
    <w:multiLevelType w:val="hybridMultilevel"/>
    <w:lvl w:ilvl="0">
      <w:lvlJc w:val="left"/>
      <w:lvlText w:val="​"/>
      <w:numFmt w:val="bullet"/>
      <w:start w:val="1"/>
    </w:lvl>
    <w:lvl w:ilvl="1">
      <w:lvlJc w:val="left"/>
      <w:lvlText w:val="•"/>
      <w:numFmt w:val="bullet"/>
      <w:start w:val="1"/>
    </w:lvl>
  </w:abstractNum>
  <w:abstractNum w:abstractNumId="74">
    <w:nsid w:val="4BD8591A"/>
    <w:multiLevelType w:val="hybridMultilevel"/>
    <w:lvl w:ilvl="0">
      <w:lvlJc w:val="left"/>
      <w:lvlText w:val="​"/>
      <w:numFmt w:val="bullet"/>
      <w:start w:val="1"/>
    </w:lvl>
    <w:lvl w:ilvl="1">
      <w:lvlJc w:val="left"/>
      <w:lvlText w:val="•"/>
      <w:numFmt w:val="bullet"/>
      <w:start w:val="1"/>
    </w:lvl>
  </w:abstractNum>
  <w:abstractNum w:abstractNumId="75">
    <w:nsid w:val="78DF6A5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6">
    <w:nsid w:val="39B7AAA2"/>
    <w:multiLevelType w:val="hybridMultilevel"/>
    <w:lvl w:ilvl="0">
      <w:lvlJc w:val="left"/>
      <w:lvlText w:val="​"/>
      <w:numFmt w:val="bullet"/>
      <w:start w:val="1"/>
    </w:lvl>
    <w:lvl w:ilvl="1">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1)"/>
      <w:numFmt w:val="decimal"/>
      <w:start w:val="1"/>
    </w:lvl>
  </w:abstractNum>
  <w:abstractNum w:abstractNumId="79">
    <w:nsid w:val="379E21B5"/>
    <w:multiLevelType w:val="hybridMultilevel"/>
    <w:lvl w:ilvl="0">
      <w:lvlJc w:val="left"/>
      <w:lvlText w:val="(%1)"/>
      <w:numFmt w:val="decimal"/>
      <w:start w:val="1"/>
    </w:lvl>
  </w:abstractNum>
  <w:abstractNum w:abstractNumId="80">
    <w:nsid w:val="69E373"/>
    <w:multiLevelType w:val="hybridMultilevel"/>
    <w:lvl w:ilvl="0">
      <w:lvlJc w:val="left"/>
      <w:lvlText w:val="*"/>
      <w:numFmt w:val="bullet"/>
      <w:start w:val="1"/>
    </w:lvl>
  </w:abstractNum>
  <w:abstractNum w:abstractNumId="81">
    <w:nsid w:val="2C27173B"/>
    <w:multiLevelType w:val="hybridMultilevel"/>
    <w:lvl w:ilvl="0">
      <w:lvlJc w:val="left"/>
      <w:lvlText w:val="(%1)"/>
      <w:numFmt w:val="decimal"/>
      <w:start w:val="1"/>
    </w:lvl>
  </w:abstractNum>
  <w:abstractNum w:abstractNumId="82">
    <w:nsid w:val="4C9B0904"/>
    <w:multiLevelType w:val="hybridMultilevel"/>
    <w:lvl w:ilvl="0">
      <w:lvlJc w:val="left"/>
      <w:lvlText w:val="•"/>
      <w:numFmt w:val="bullet"/>
      <w:start w:val="1"/>
    </w:lvl>
  </w:abstractNum>
  <w:abstractNum w:abstractNumId="83">
    <w:nsid w:val="6AA7B75C"/>
    <w:multiLevelType w:val="hybridMultilevel"/>
    <w:lvl w:ilvl="0">
      <w:lvlJc w:val="left"/>
      <w:lvlText w:val="•"/>
      <w:numFmt w:val="bullet"/>
      <w:start w:val="1"/>
    </w:lvl>
  </w:abstractNum>
  <w:abstractNum w:abstractNumId="84">
    <w:nsid w:val="1DF029D3"/>
    <w:multiLevelType w:val="hybridMultilevel"/>
    <w:lvl w:ilvl="0">
      <w:lvlJc w:val="left"/>
      <w:lvlText w:val="•"/>
      <w:numFmt w:val="bullet"/>
      <w:start w:val="1"/>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
      <w:numFmt w:val="bullet"/>
      <w:start w:val="1"/>
    </w:lvl>
  </w:abstractNum>
  <w:abstractNum w:abstractNumId="87">
    <w:nsid w:val="3DB012B3"/>
    <w:multiLevelType w:val="hybridMultilevel"/>
    <w:lvl w:ilvl="0">
      <w:lvlJc w:val="left"/>
      <w:lvlText w:val="(%1)"/>
      <w:numFmt w:val="decimal"/>
      <w:start w:val="1"/>
    </w:lvl>
  </w:abstractNum>
  <w:abstractNum w:abstractNumId="88">
    <w:nsid w:val="2708C9AF"/>
    <w:multiLevelType w:val="hybridMultilevel"/>
    <w:lvl w:ilvl="0">
      <w:lvlJc w:val="left"/>
      <w:lvlText w:val="(%1)"/>
      <w:numFmt w:val="decimal"/>
      <w:start w:val="1"/>
    </w:lvl>
  </w:abstractNum>
  <w:abstractNum w:abstractNumId="89">
    <w:nsid w:val="5B25ACE2"/>
    <w:multiLevelType w:val="hybridMultilevel"/>
    <w:lvl w:ilvl="0">
      <w:lvlJc w:val="left"/>
      <w:lvlText w:val="(%1)"/>
      <w:numFmt w:val="decimal"/>
      <w:start w:val="2"/>
    </w:lvl>
  </w:abstractNum>
  <w:abstractNum w:abstractNumId="90">
    <w:nsid w:val="175DFCF0"/>
    <w:multiLevelType w:val="hybridMultilevel"/>
    <w:lvl w:ilvl="0">
      <w:lvlJc w:val="left"/>
      <w:lvlText w:val="*"/>
      <w:numFmt w:val="bullet"/>
      <w:start w:val="1"/>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
      <w:numFmt w:val="bullet"/>
      <w:start w:val="1"/>
    </w:lvl>
  </w:abstractNum>
  <w:abstractNum w:abstractNumId="93">
    <w:nsid w:val="34FD6B4F"/>
    <w:multiLevelType w:val="hybridMultilevel"/>
    <w:lvl w:ilvl="0">
      <w:lvlJc w:val="left"/>
      <w:lvlText w:val="(%1)"/>
      <w:numFmt w:val="decimal"/>
      <w:start w:val="1"/>
    </w:lvl>
  </w:abstractNum>
  <w:abstractNum w:abstractNumId="94">
    <w:nsid w:val="5915FF32"/>
    <w:multiLevelType w:val="hybridMultilevel"/>
    <w:lvl w:ilvl="0">
      <w:lvlJc w:val="left"/>
      <w:lvlText w:val="****"/>
      <w:numFmt w:val="bullet"/>
      <w:start w:val="1"/>
    </w:lvl>
  </w:abstractNum>
  <w:abstractNum w:abstractNumId="95">
    <w:nsid w:val="56438D15"/>
    <w:multiLevelType w:val="hybridMultilevel"/>
    <w:lvl w:ilvl="0">
      <w:lvlJc w:val="left"/>
      <w:lvlText w:val="*"/>
      <w:numFmt w:val="bullet"/>
      <w:start w:val="1"/>
    </w:lvl>
  </w:abstractNum>
  <w:abstractNum w:abstractNumId="96">
    <w:nsid w:val="519E3149"/>
    <w:multiLevelType w:val="hybridMultilevel"/>
    <w:lvl w:ilvl="0">
      <w:lvlJc w:val="left"/>
      <w:lvlText w:val="*"/>
      <w:numFmt w:val="bullet"/>
      <w:start w:val="1"/>
    </w:lvl>
  </w:abstractNum>
  <w:abstractNum w:abstractNumId="97">
    <w:nsid w:val="2C6E4AFD"/>
    <w:multiLevelType w:val="hybridMultilevel"/>
    <w:lvl w:ilvl="0">
      <w:lvlJc w:val="left"/>
      <w:lvlText w:val="****"/>
      <w:numFmt w:val="bullet"/>
      <w:start w:val="1"/>
    </w:lvl>
  </w:abstractNum>
  <w:abstractNum w:abstractNumId="98">
    <w:nsid w:val="17A1B582"/>
    <w:multiLevelType w:val="hybridMultilevel"/>
    <w:lvl w:ilvl="0">
      <w:lvlJc w:val="left"/>
      <w:lvlText w:val="•"/>
      <w:numFmt w:val="bullet"/>
      <w:start w:val="1"/>
    </w:lvl>
  </w:abstractNum>
  <w:abstractNum w:abstractNumId="99">
    <w:nsid w:val="4DF72E4E"/>
    <w:multiLevelType w:val="hybridMultilevel"/>
    <w:lvl w:ilvl="0">
      <w:lvlJc w:val="left"/>
      <w:lvlText w:val="•"/>
      <w:numFmt w:val="bullet"/>
      <w:start w:val="1"/>
    </w:lvl>
  </w:abstractNum>
  <w:abstractNum w:abstractNumId="100">
    <w:nsid w:val="5046B5A9"/>
    <w:multiLevelType w:val="hybridMultilevel"/>
    <w:lvl w:ilvl="0">
      <w:lvlJc w:val="left"/>
      <w:lvlText w:val="(%1)"/>
      <w:numFmt w:val="lowerLetter"/>
      <w:start w:val="1"/>
    </w:lvl>
  </w:abstractNum>
  <w:abstractNum w:abstractNumId="101">
    <w:nsid w:val="5D888A08"/>
    <w:multiLevelType w:val="hybridMultilevel"/>
    <w:lvl w:ilvl="0">
      <w:lvlJc w:val="left"/>
      <w:lvlText w:val="(%1)"/>
      <w:numFmt w:val="lowerLetter"/>
      <w:start w:val="61"/>
    </w:lvl>
  </w:abstractNum>
  <w:abstractNum w:abstractNumId="102">
    <w:nsid w:val="2A082C70"/>
    <w:multiLevelType w:val="hybridMultilevel"/>
    <w:lvl w:ilvl="0">
      <w:lvlJc w:val="left"/>
      <w:lvlText w:val="(%1)"/>
      <w:numFmt w:val="decimal"/>
      <w:start w:val="1"/>
    </w:lvl>
  </w:abstractNum>
  <w:abstractNum w:abstractNumId="103">
    <w:nsid w:val="5EC6AFD4"/>
    <w:multiLevelType w:val="hybridMultilevel"/>
    <w:lvl w:ilvl="0">
      <w:lvlJc w:val="left"/>
      <w:lvlText w:val="​"/>
      <w:numFmt w:val="bullet"/>
      <w:start w:val="1"/>
    </w:lvl>
  </w:abstractNum>
  <w:abstractNum w:abstractNumId="104">
    <w:nsid w:val="19E21BB2"/>
    <w:multiLevelType w:val="hybridMultilevel"/>
    <w:lvl w:ilvl="0">
      <w:lvlJc w:val="left"/>
      <w:lvlText w:val="%1"/>
      <w:numFmt w:val="decimal"/>
      <w:start w:val="1"/>
    </w:lvl>
    <w:lvl w:ilvl="1">
      <w:lvlJc w:val="left"/>
      <w:lvlText w:val="(%2)"/>
      <w:numFmt w:val="lowerLetter"/>
      <w:start w:val="1"/>
    </w:lvl>
  </w:abstractNum>
  <w:abstractNum w:abstractNumId="105">
    <w:nsid w:val="75E0858A"/>
    <w:multiLevelType w:val="hybridMultilevel"/>
    <w:lvl w:ilvl="0">
      <w:lvlJc w:val="left"/>
      <w:lvlText w:val="(%1)"/>
      <w:numFmt w:val="decimal"/>
      <w:start w:val="3"/>
    </w:lvl>
    <w:lvl w:ilvl="1">
      <w:lvlJc w:val="left"/>
      <w:lvlText w:val="%2"/>
      <w:numFmt w:val="lowerLetter"/>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decimal"/>
      <w:start w:val="6"/>
    </w:lvl>
  </w:abstractNum>
  <w:abstractNum w:abstractNumId="108">
    <w:nsid w:val="20EE1348"/>
    <w:multiLevelType w:val="hybridMultilevel"/>
    <w:lvl w:ilvl="0">
      <w:lvlJc w:val="left"/>
      <w:lvlText w:val="(%1)"/>
      <w:numFmt w:val="lowerLetter"/>
      <w:start w:val="1"/>
    </w:lvl>
  </w:abstractNum>
  <w:abstractNum w:abstractNumId="109">
    <w:nsid w:val="4427069A"/>
    <w:multiLevelType w:val="hybridMultilevel"/>
    <w:lvl w:ilvl="0">
      <w:lvlJc w:val="left"/>
      <w:lvlText w:val="(%1)"/>
      <w:numFmt w:val="decimal"/>
      <w:start w:val="7"/>
    </w:lvl>
  </w:abstractNum>
  <w:abstractNum w:abstractNumId="110">
    <w:nsid w:val="B37E80A"/>
    <w:multiLevelType w:val="hybridMultilevel"/>
    <w:lvl w:ilvl="0">
      <w:lvlJc w:val="left"/>
      <w:lvlText w:val="(%1)"/>
      <w:numFmt w:val="decimal"/>
      <w:start w:val="1"/>
    </w:lvl>
  </w:abstractNum>
  <w:abstractNum w:abstractNumId="111">
    <w:nsid w:val="2157F6BC"/>
    <w:multiLevelType w:val="hybridMultilevel"/>
    <w:lvl w:ilvl="0">
      <w:lvlJc w:val="left"/>
      <w:lvlText w:val="•"/>
      <w:numFmt w:val="bullet"/>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
      <w:numFmt w:val="bullet"/>
      <w:start w:val="1"/>
    </w:lvl>
  </w:abstractNum>
  <w:abstractNum w:abstractNumId="114">
    <w:nsid w:val="BFFAE18"/>
    <w:multiLevelType w:val="hybridMultilevel"/>
    <w:lvl w:ilvl="0">
      <w:lvlJc w:val="left"/>
      <w:lvlText w:val="•"/>
      <w:numFmt w:val="bullet"/>
      <w:start w:val="1"/>
    </w:lvl>
  </w:abstractNum>
  <w:abstractNum w:abstractNumId="115">
    <w:nsid w:val="E3E47A8"/>
    <w:multiLevelType w:val="hybridMultilevel"/>
    <w:lvl w:ilvl="0">
      <w:lvlJc w:val="left"/>
      <w:lvlText w:val="•"/>
      <w:numFmt w:val="bullet"/>
      <w:start w:val="1"/>
    </w:lvl>
  </w:abstractNum>
  <w:abstractNum w:abstractNumId="116">
    <w:nsid w:val="2E48F044"/>
    <w:multiLevelType w:val="hybridMultilevel"/>
    <w:lvl w:ilvl="0">
      <w:lvlJc w:val="left"/>
      <w:lvlText w:val="(%1)"/>
      <w:numFmt w:val="decimal"/>
      <w:start w:val="1"/>
    </w:lvl>
  </w:abstractNum>
  <w:abstractNum w:abstractNumId="117">
    <w:nsid w:val="49D0FEAC"/>
    <w:multiLevelType w:val="hybridMultilevel"/>
    <w:lvl w:ilvl="0">
      <w:lvlJc w:val="left"/>
      <w:lvlText w:val="(%1)"/>
      <w:numFmt w:val="decimal"/>
      <w:start w:val="2"/>
    </w:lvl>
  </w:abstractNum>
  <w:abstractNum w:abstractNumId="118">
    <w:nsid w:val="4BEE5A5B"/>
    <w:multiLevelType w:val="hybridMultilevel"/>
    <w:lvl w:ilvl="0">
      <w:lvlJc w:val="left"/>
      <w:lvlText w:val="(%1)"/>
      <w:numFmt w:val="lowerLetter"/>
      <w:start w:val="1"/>
    </w:lvl>
  </w:abstractNum>
  <w:abstractNum w:abstractNumId="119">
    <w:nsid w:val="5551B9F3"/>
    <w:multiLevelType w:val="hybridMultilevel"/>
    <w:lvl w:ilvl="0">
      <w:lvlJc w:val="left"/>
      <w:lvlText w:val="(%1)"/>
      <w:numFmt w:val="decimal"/>
      <w:start w:val="3"/>
    </w:lvl>
  </w:abstractNum>
  <w:abstractNum w:abstractNumId="120">
    <w:nsid w:val="24F6AB8E"/>
    <w:multiLevelType w:val="hybridMultilevel"/>
    <w:lvl w:ilvl="0">
      <w:lvlJc w:val="left"/>
      <w:lvlText w:val="(%1)"/>
      <w:numFmt w:val="decimal"/>
      <w:start w:val="1"/>
    </w:lvl>
  </w:abstractNum>
  <w:abstractNum w:abstractNumId="121">
    <w:nsid w:val="634C574C"/>
    <w:multiLevelType w:val="hybridMultilevel"/>
    <w:lvl w:ilvl="0">
      <w:lvlJc w:val="left"/>
      <w:lvlText w:val="(%1)"/>
      <w:numFmt w:val="lowerLetter"/>
      <w:start w:val="1"/>
    </w:lvl>
  </w:abstractNum>
  <w:abstractNum w:abstractNumId="122">
    <w:nsid w:val="24E99DD7"/>
    <w:multiLevelType w:val="hybridMultilevel"/>
    <w:lvl w:ilvl="0">
      <w:lvlJc w:val="left"/>
      <w:lvlText w:val="(%1)"/>
      <w:numFmt w:val="decimal"/>
      <w:start w:val="1"/>
    </w:lvl>
  </w:abstractNum>
  <w:abstractNum w:abstractNumId="123">
    <w:nsid w:val="2A31B62D"/>
    <w:multiLevelType w:val="hybridMultilevel"/>
    <w:lvl w:ilvl="0">
      <w:lvlJc w:val="left"/>
      <w:lvlText w:val="•"/>
      <w:numFmt w:val="bullet"/>
      <w:start w:val="1"/>
    </w:lvl>
  </w:abstractNum>
  <w:abstractNum w:abstractNumId="124">
    <w:nsid w:val="1849C29B"/>
    <w:multiLevelType w:val="hybridMultilevel"/>
    <w:lvl w:ilvl="0">
      <w:lvlJc w:val="left"/>
      <w:lvlText w:val="(%1)"/>
      <w:numFmt w:val="decimal"/>
      <w:start w:val="1"/>
    </w:lvl>
  </w:abstractNum>
  <w:abstractNum w:abstractNumId="125">
    <w:nsid w:val="7DFF9D09"/>
    <w:multiLevelType w:val="hybridMultilevel"/>
    <w:lvl w:ilvl="0">
      <w:lvlJc w:val="left"/>
      <w:lvlText w:val="•"/>
      <w:numFmt w:val="bullet"/>
      <w:start w:val="1"/>
    </w:lvl>
    <w:lvl w:ilvl="1">
      <w:lvlJc w:val="left"/>
      <w:lvlText w:val="•"/>
      <w:numFmt w:val="bullet"/>
      <w:start w:val="1"/>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1)"/>
      <w:numFmt w:val="decimal"/>
      <w:start w:val="1"/>
    </w:lvl>
  </w:abstractNum>
  <w:abstractNum w:abstractNumId="128">
    <w:nsid w:val="2A6DE806"/>
    <w:multiLevelType w:val="hybridMultilevel"/>
    <w:lvl w:ilvl="0">
      <w:lvlJc w:val="left"/>
      <w:lvlText w:val="(%1)"/>
      <w:numFmt w:val="decimal"/>
      <w:start w:val="1"/>
    </w:lvl>
  </w:abstractNum>
  <w:abstractNum w:abstractNumId="129">
    <w:nsid w:val="1816F8C4"/>
    <w:multiLevelType w:val="hybridMultilevel"/>
    <w:lvl w:ilvl="0">
      <w:lvlJc w:val="left"/>
      <w:lvlText w:val="(%1)"/>
      <w:numFmt w:val="decimal"/>
      <w:start w:val="1"/>
    </w:lvl>
  </w:abstractNum>
  <w:abstractNum w:abstractNumId="130">
    <w:nsid w:val="37DF2233"/>
    <w:multiLevelType w:val="hybridMultilevel"/>
    <w:lvl w:ilvl="0">
      <w:lvlJc w:val="left"/>
      <w:lvlText w:val="(%1)"/>
      <w:numFmt w:val="decimal"/>
      <w:start w:val="1"/>
    </w:lvl>
  </w:abstractNum>
  <w:abstractNum w:abstractNumId="131">
    <w:nsid w:val="7AB49DAF"/>
    <w:multiLevelType w:val="hybridMultilevel"/>
    <w:lvl w:ilvl="0">
      <w:lvlJc w:val="left"/>
      <w:lvlText w:val="(%1)"/>
      <w:numFmt w:val="lowerRoman"/>
      <w:start w:val="1"/>
    </w:lvl>
  </w:abstractNum>
  <w:abstractNum w:abstractNumId="132">
    <w:nsid w:val="759F82CD"/>
    <w:multiLevelType w:val="hybridMultilevel"/>
    <w:lvl w:ilvl="0">
      <w:lvlJc w:val="left"/>
      <w:lvlText w:val="​​"/>
      <w:numFmt w:val="bullet"/>
      <w:start w:val="1"/>
    </w:lvl>
  </w:abstractNum>
  <w:abstractNum w:abstractNumId="133">
    <w:nsid w:val="61E74EA3"/>
    <w:multiLevelType w:val="hybridMultilevel"/>
    <w:lvl w:ilvl="0">
      <w:lvlJc w:val="left"/>
      <w:lvlText w:val="(%1)"/>
      <w:numFmt w:val="decimal"/>
      <w:start w:val="1"/>
    </w:lvl>
  </w:abstractNum>
  <w:abstractNum w:abstractNumId="134">
    <w:nsid w:val="597B4D84"/>
    <w:multiLevelType w:val="hybridMultilevel"/>
    <w:lvl w:ilvl="0">
      <w:lvlJc w:val="left"/>
      <w:lvlText w:val="(%1)"/>
      <w:numFmt w:val="decimal"/>
      <w:start w:val="4"/>
    </w:lvl>
  </w:abstractNum>
  <w:abstractNum w:abstractNumId="135">
    <w:nsid w:val="F819E7F"/>
    <w:multiLevelType w:val="hybridMultilevel"/>
    <w:lvl w:ilvl="0">
      <w:lvlJc w:val="left"/>
      <w:lvlText w:val="•"/>
      <w:numFmt w:val="bullet"/>
      <w:start w:val="1"/>
    </w:lvl>
  </w:abstractNum>
  <w:abstractNum w:abstractNumId="136">
    <w:nsid w:val="57C7D42D"/>
    <w:multiLevelType w:val="hybridMultilevel"/>
    <w:lvl w:ilvl="0">
      <w:lvlJc w:val="left"/>
      <w:lvlText w:val="•"/>
      <w:numFmt w:val="bullet"/>
      <w:start w:val="1"/>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decimal"/>
      <w:start w:val="1"/>
    </w:lvl>
  </w:abstractNum>
  <w:abstractNum w:abstractNumId="139">
    <w:nsid w:val="78B5E776"/>
    <w:multiLevelType w:val="hybridMultilevel"/>
    <w:lvl w:ilvl="0">
      <w:lvlJc w:val="left"/>
      <w:lvlText w:val="•"/>
      <w:numFmt w:val="bullet"/>
      <w:start w:val="1"/>
    </w:lvl>
  </w:abstractNum>
  <w:abstractNum w:abstractNumId="140">
    <w:nsid w:val="75486E47"/>
    <w:multiLevelType w:val="hybridMultilevel"/>
    <w:lvl w:ilvl="0">
      <w:lvlJc w:val="left"/>
      <w:lvlText w:val="*"/>
      <w:numFmt w:val="bullet"/>
      <w:start w:val="1"/>
    </w:lvl>
  </w:abstractNum>
  <w:abstractNum w:abstractNumId="141">
    <w:nsid w:val="6E534CDE"/>
    <w:multiLevelType w:val="hybridMultilevel"/>
    <w:lvl w:ilvl="0">
      <w:lvlJc w:val="left"/>
      <w:lvlText w:val="•"/>
      <w:numFmt w:val="bullet"/>
      <w:start w:val="1"/>
    </w:lvl>
  </w:abstractNum>
  <w:abstractNum w:abstractNumId="142">
    <w:nsid w:val="1A0DDE32"/>
    <w:multiLevelType w:val="hybridMultilevel"/>
    <w:lvl w:ilvl="0">
      <w:lvlJc w:val="left"/>
      <w:lvlText w:val="•"/>
      <w:numFmt w:val="bullet"/>
      <w:start w:val="1"/>
    </w:lvl>
  </w:abstractNum>
  <w:abstractNum w:abstractNumId="143">
    <w:nsid w:val="65968C1C"/>
    <w:multiLevelType w:val="hybridMultilevel"/>
    <w:lvl w:ilvl="0">
      <w:lvlJc w:val="left"/>
      <w:lvlText w:val="•"/>
      <w:numFmt w:val="bullet"/>
      <w:start w:val="1"/>
    </w:lvl>
  </w:abstractNum>
  <w:abstractNum w:abstractNumId="144">
    <w:nsid w:val="46263DEC"/>
    <w:multiLevelType w:val="hybridMultilevel"/>
    <w:lvl w:ilvl="0">
      <w:lvlJc w:val="left"/>
      <w:lvlText w:val="(%1)"/>
      <w:numFmt w:val="decimal"/>
      <w:start w:val="1"/>
    </w:lvl>
  </w:abstractNum>
  <w:abstractNum w:abstractNumId="145">
    <w:nsid w:val="260D8C4A"/>
    <w:multiLevelType w:val="hybridMultilevel"/>
    <w:lvl w:ilvl="0">
      <w:lvlJc w:val="left"/>
      <w:lvlText w:val="(%1)"/>
      <w:numFmt w:val="decimal"/>
      <w:start w:val="1"/>
    </w:lvl>
  </w:abstractNum>
  <w:abstractNum w:abstractNumId="146">
    <w:nsid w:val="73D4D3C4"/>
    <w:multiLevelType w:val="hybridMultilevel"/>
    <w:lvl w:ilvl="0">
      <w:lvlJc w:val="left"/>
      <w:lvlText w:val="(%1)"/>
      <w:numFmt w:val="decimal"/>
      <w:start w:val="1"/>
    </w:lvl>
  </w:abstractNum>
  <w:abstractNum w:abstractNumId="147">
    <w:nsid w:val="746F2E30"/>
    <w:multiLevelType w:val="hybridMultilevel"/>
    <w:lvl w:ilvl="0">
      <w:lvlJc w:val="left"/>
      <w:lvlText w:val="(%1)"/>
      <w:numFmt w:val="decimal"/>
      <w:start w:val="1"/>
    </w:lvl>
  </w:abstractNum>
  <w:abstractNum w:abstractNumId="148">
    <w:nsid w:val="6FDE8AF6"/>
    <w:multiLevelType w:val="hybridMultilevel"/>
    <w:lvl w:ilvl="0">
      <w:lvlJc w:val="left"/>
      <w:lvlText w:val="(%1)"/>
      <w:numFmt w:val="decimal"/>
      <w:start w:val="1"/>
    </w:lvl>
  </w:abstractNum>
  <w:abstractNum w:abstractNumId="149">
    <w:nsid w:val="3FC32E20"/>
    <w:multiLevelType w:val="hybridMultilevel"/>
    <w:lvl w:ilvl="0">
      <w:lvlJc w:val="left"/>
      <w:lvlText w:val="(%1)"/>
      <w:numFmt w:val="decimal"/>
      <w:start w:val="3"/>
    </w:lvl>
  </w:abstractNum>
  <w:abstractNum w:abstractNumId="150">
    <w:nsid w:val="49C0E823"/>
    <w:multiLevelType w:val="hybridMultilevel"/>
    <w:lvl w:ilvl="0">
      <w:lvlJc w:val="left"/>
      <w:lvlText w:val="(%1)"/>
      <w:numFmt w:val="lowerRoman"/>
      <w:start w:val="3"/>
    </w:lvl>
  </w:abstractNum>
  <w:abstractNum w:abstractNumId="151">
    <w:nsid w:val="14D53685"/>
    <w:multiLevelType w:val="hybridMultilevel"/>
    <w:lvl w:ilvl="0">
      <w:lvlJc w:val="left"/>
      <w:lvlText w:val="(%1)"/>
      <w:numFmt w:val="lowerLetter"/>
      <w:start w:val="1"/>
    </w:lvl>
  </w:abstractNum>
  <w:abstractNum w:abstractNumId="152">
    <w:nsid w:val="230F856C"/>
    <w:multiLevelType w:val="hybridMultilevel"/>
    <w:lvl w:ilvl="0">
      <w:lvlJc w:val="left"/>
      <w:lvlText w:val="(%1)"/>
      <w:numFmt w:val="decimal"/>
      <w:start w:val="1"/>
    </w:lvl>
  </w:abstractNum>
  <w:abstractNum w:abstractNumId="153">
    <w:nsid w:val="6EAA85FB"/>
    <w:multiLevelType w:val="hybridMultilevel"/>
    <w:lvl w:ilvl="0">
      <w:lvlJc w:val="left"/>
      <w:lvlText w:val="(%1)"/>
      <w:numFmt w:val="lowerLetter"/>
      <w:start w:val="1"/>
    </w:lvl>
  </w:abstractNum>
  <w:abstractNum w:abstractNumId="154">
    <w:nsid w:val="3F06E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2025-03-05T15:29:26Z</dcterms:created>
  <dcterms:modified xsi:type="dcterms:W3CDTF">2025-03-05T15:29:26Z</dcterms:modified>
</cp:coreProperties>
</file>