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
        <w:spacing w:after="0"/>
        <w:rPr>
          <w:sz w:val="20"/>
          <w:szCs w:val="20"/>
          <w:color w:val="auto"/>
        </w:rPr>
      </w:pPr>
      <w:r>
        <w:rPr>
          <w:rFonts w:ascii="Calibri" w:cs="Calibri" w:eastAsia="Calibri" w:hAnsi="Calibri"/>
          <w:sz w:val="11"/>
          <w:szCs w:val="11"/>
          <w:color w:val="003366"/>
        </w:rPr>
        <w:t>TABLE OF CONTENTS</w:t>
      </w:r>
    </w:p>
    <w:p>
      <w:pPr>
        <w:spacing w:after="0" w:line="365" w:lineRule="exact"/>
        <w:rPr>
          <w:sz w:val="24"/>
          <w:szCs w:val="24"/>
          <w:color w:val="auto"/>
        </w:rPr>
      </w:pP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jc w:val="right"/>
        <w:ind w:right="1319"/>
        <w:spacing w:after="0"/>
        <w:rPr>
          <w:sz w:val="20"/>
          <w:szCs w:val="20"/>
          <w:color w:val="auto"/>
        </w:rPr>
      </w:pPr>
      <w:r>
        <w:rPr>
          <w:rFonts w:ascii="Times New Roman" w:cs="Times New Roman" w:eastAsia="Times New Roman" w:hAnsi="Times New Roman"/>
          <w:sz w:val="14"/>
          <w:szCs w:val="14"/>
          <w:b w:val="1"/>
          <w:bCs w:val="1"/>
          <w:color w:val="auto"/>
        </w:rPr>
        <w:t> Registration No. 333-295924​</w:t>
      </w:r>
    </w:p>
    <w:p>
      <w:pPr>
        <w:spacing w:after="0" w:line="13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(To Prospectus Dated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2226945</wp:posOffset>
            </wp:positionH>
            <wp:positionV relativeFrom="paragraph">
              <wp:posOffset>81915</wp:posOffset>
            </wp:positionV>
            <wp:extent cx="1273175" cy="441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3175" cy="441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CenterPoint Energy, Inc.</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Shares of Common Stock</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Having an Aggregate Gross Sales Price of up to</w:t>
      </w:r>
    </w:p>
    <w:p>
      <w:pPr>
        <w:jc w:val="center"/>
        <w:spacing w:after="0"/>
        <w:rPr>
          <w:sz w:val="20"/>
          <w:szCs w:val="20"/>
          <w:color w:val="auto"/>
        </w:rPr>
      </w:pPr>
      <w:r>
        <w:rPr>
          <w:rFonts w:ascii="Times New Roman" w:cs="Times New Roman" w:eastAsia="Times New Roman" w:hAnsi="Times New Roman"/>
          <w:sz w:val="19"/>
          <w:szCs w:val="19"/>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175260</wp:posOffset>
            </wp:positionV>
            <wp:extent cx="949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We have entered into an equity distribution agreement with Barclays Capital Inc., BMO Capital Markets Corp., BNP Paribas Securities Corp., BofA Securities, Inc., BTIG, LLC,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as managers (each a “Manager” and collectively, the “Managers”), Barclays Bank PLC, Bank of Montreal, BNP Paribas, Bank of America, N.A., Nomura Global Financial Products, Inc., Citibank, N.A., Goldman Sachs &amp; Co. LLC, JPMorgan Chase Bank, National Association, Mizuho Markets Americas LLC, Morgan Stanley &amp; Co. LLC, MUFG Securities EMEA plc, Royal Bank of Canada, The Bank of Nova Scotia, The Toronto-Dominion Bank, Truist Bank and Wells Fargo Bank, National Association, or one or more of their respective affiliates, as forward purchasers (in such capacity, each a “Forward Purchaser” and collectively, the “Forward Purchasers”), and Barclays Capital Inc., BMO Capital Markets Corp., BNP Paribas Securities Corp., BofA Securities, Inc., Nomura Securities International, Inc. (acting through BTIG, LLC, as agent),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as forward sellers (in such capacity, each a “Forward Seller” and collectively, “Forward Sellers”), relating to the offer and sale from time to time of shares of our common stock, par value $0.01 per share (“common stock”), having an aggregate gross sales price of up to $1,000,000,000 (the “equity distribution agreement”). Upon entry into the equity distribution agreement, we terminated our prior at-the-market program. At the time of such termination, approximately $84.9 million of common stock remained unsold under such program.</w:t>
      </w:r>
    </w:p>
    <w:p>
      <w:pPr>
        <w:spacing w:after="0" w:line="264" w:lineRule="exact"/>
        <w:rPr>
          <w:sz w:val="24"/>
          <w:szCs w:val="24"/>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In accordance with the terms of the equity distribution agreement, we may offer and sell shares of our common stock from time to time through the Managers or pursuant to forward sale agreements. Sales of shares of our common stock made under the equity distribution agreement, if any, may be made by any method permitted by applicable law and deemed to be an “at the market” offering as defined in Rule 415 under the Securities Act of 1933, as amended (the “Securities Act”), including by means of ordinary brokers’ transactions through the facilities of the New York Stock Exchange or the NYSE Texas, or through a market maker or directly on or through an electronic communications network, at market prices prevailing at the time of sale or at prices related to prevailing market prices. In addition, shares of our common stock may be offered and sold by such other methods, including privately negotiated transactions (including block transactions), as we and the Managers or the Forward Sellers agree to in writing. Each Manager will receive from us a commission of up to 1% of the gross sales price per share for any shares of our common stock sold by it under the equity distribution agreement.</w:t>
      </w:r>
    </w:p>
    <w:p>
      <w:pPr>
        <w:spacing w:after="0" w:line="97" w:lineRule="exact"/>
        <w:rPr>
          <w:sz w:val="24"/>
          <w:szCs w:val="24"/>
          <w:color w:val="auto"/>
        </w:rPr>
      </w:pPr>
    </w:p>
    <w:p>
      <w:pPr>
        <w:ind w:left="1340" w:right="1459" w:firstLine="277"/>
        <w:spacing w:after="0" w:line="253" w:lineRule="auto"/>
        <w:rPr>
          <w:sz w:val="20"/>
          <w:szCs w:val="20"/>
          <w:color w:val="auto"/>
        </w:rPr>
      </w:pPr>
      <w:r>
        <w:rPr>
          <w:rFonts w:ascii="Times New Roman" w:cs="Times New Roman" w:eastAsia="Times New Roman" w:hAnsi="Times New Roman"/>
          <w:sz w:val="14"/>
          <w:szCs w:val="14"/>
          <w:color w:val="auto"/>
        </w:rPr>
        <w:t>The equity distribution agreement provides that, in addition to the issuance and sale of our common stock by us to or through the Managers, we may also enter into one or more forward sale agreements under separate master forward confirmations and related supplemental confirmations between us and any of the Forward Purchasers. In connection with any forward sale agreement, the relevant Forward Purchaser will borrow from third parties and, through its affiliated Forward Seller, and in the case of Nomura Securities International, Inc., through its agent, BTIG, LLC, sell a number of shares of our common stock equal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wp:posOffset>
            </wp:positionH>
            <wp:positionV relativeFrom="paragraph">
              <wp:posOffset>174625</wp:posOffset>
            </wp:positionV>
            <wp:extent cx="526288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sectPr>
      </w:pPr>
    </w:p>
    <w:bookmarkStart w:id="1" w:name="page2"/>
    <w:bookmarkEnd w:id="1"/>
    <w:p>
      <w:pPr>
        <w:ind w:left="380"/>
        <w:spacing w:after="0"/>
        <w:rPr>
          <w:sz w:val="20"/>
          <w:szCs w:val="20"/>
          <w:color w:val="auto"/>
        </w:rPr>
      </w:pPr>
      <w:r>
        <w:rPr>
          <w:rFonts w:ascii="Calibri" w:cs="Calibri" w:eastAsia="Calibri" w:hAnsi="Calibri"/>
          <w:sz w:val="11"/>
          <w:szCs w:val="11"/>
          <w:color w:val="003366"/>
        </w:rPr>
        <w:t>TABLE OF CONTENTS</w:t>
      </w:r>
    </w:p>
    <w:p>
      <w:pPr>
        <w:spacing w:after="0" w:line="385" w:lineRule="exact"/>
        <w:rPr>
          <w:sz w:val="20"/>
          <w:szCs w:val="20"/>
          <w:color w:val="auto"/>
        </w:rPr>
      </w:pPr>
    </w:p>
    <w:p>
      <w:pPr>
        <w:ind w:left="1340" w:right="1459"/>
        <w:spacing w:after="0" w:line="255" w:lineRule="auto"/>
        <w:rPr>
          <w:sz w:val="20"/>
          <w:szCs w:val="20"/>
          <w:color w:val="auto"/>
        </w:rPr>
      </w:pPr>
      <w:r>
        <w:rPr>
          <w:rFonts w:ascii="Times New Roman" w:cs="Times New Roman" w:eastAsia="Times New Roman" w:hAnsi="Times New Roman"/>
          <w:sz w:val="14"/>
          <w:szCs w:val="14"/>
          <w:color w:val="auto"/>
        </w:rPr>
        <w:t>the number of shares of our common stock underlying the particular forward sale agreement. In connection with any forward sale agreement, the relevant Forward Seller will receive, in the form of a reduced initial forward sale price under the related forward sale agreement, a commission of up to 1% of the gross sales prices of all borrowed shares of our common stock sold during the applicable forward hedge selling period by it as Forward Seller.</w:t>
      </w:r>
    </w:p>
    <w:p>
      <w:pPr>
        <w:spacing w:after="0" w:line="80"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In no event will the aggregate number of shares of our common stock sold through the Managers or the Forward Sellers under the equity distribution agreement and under any forward sale agreement have an aggregate gross sales price in excess of $1,000,000,000.</w:t>
      </w:r>
    </w:p>
    <w:p>
      <w:pPr>
        <w:spacing w:after="0" w:line="86"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The net proceeds we receive from the sales of shares of our common stock under the equity distribution agreement from the Managers will be the gross proceeds received from such sales less the commissions and less any other costs we may incur in issuing and/or selling shares of our common stock. The Managers and the Forward Sellers are not required to sell any specific number or dollar amount of shares of our common stock. Subject to the terms and conditions of the equity distribution agreement, each of the Managers and the Forward Sellers will use commercially reasonable efforts to sell on our behalf any shares of our common stock as instructed by us. We will not initially receive any proceeds from the sale of borrowed shares of our common stock by the Forward Sellers. We expect to fully physically settle each particular forward sale agreement (by delivery of shares of our common stock) with the relevant Forward Purchaser on one or more dates specified by us on or prior to the maturity date of that particular forward sale agreement, in which case we will expect to receive aggregate net cash proceeds at settlement equal to the number of shares of our common stock underlying the particular forward sale agreement multiplied by the relevant forward sale price. If we elect to cash settle or net share settle a forward sale agreement, we may not (in the case of cash settlement) or will not (in the case of net share settlement) receive any proceeds, and we may owe cash (in the case of cash settlement) or shares of our common stock (in the case of net share settlement) to the relevant Forward Purchaser. See “Plan of Distribution (Conflicts of Interest)” in this prospectus supplement. The net proceeds from any sales under this prospectus supplement will be used as described under “Use of Proceeds” in this prospectus supplement.</w:t>
      </w:r>
    </w:p>
    <w:p>
      <w:pPr>
        <w:spacing w:after="0" w:line="267"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Our common stock is listed on the New York Stock Exchange and the NYSE Texas, in each case, under the symbol “CNP.” The last reported sale price of our common stock on May 14, 2026, as reported by the New York Stock Exchange, was $42.54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156210</wp:posOffset>
            </wp:positionV>
            <wp:extent cx="9499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386" w:lineRule="exact"/>
        <w:rPr>
          <w:sz w:val="20"/>
          <w:szCs w:val="20"/>
          <w:color w:val="auto"/>
        </w:rPr>
      </w:pPr>
    </w:p>
    <w:p>
      <w:pPr>
        <w:ind w:left="1340" w:right="1499" w:firstLine="277"/>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INVESTING IN OUR COMMON STOCK INVOLVES RISKS. SEE “RISK FACTORS” BEGINNING ON PAGE </w:t>
      </w:r>
      <w:r>
        <w:rPr>
          <w:rFonts w:ascii="Times New Roman" w:cs="Times New Roman" w:eastAsia="Times New Roman" w:hAnsi="Times New Roman"/>
          <w:sz w:val="14"/>
          <w:szCs w:val="14"/>
          <w:b w:val="1"/>
          <w:bCs w:val="1"/>
          <w:u w:val="single" w:color="auto"/>
          <w:color w:val="0000EE"/>
        </w:rPr>
        <w:t>S-5</w:t>
      </w:r>
      <w:r>
        <w:rPr>
          <w:rFonts w:ascii="Times New Roman" w:cs="Times New Roman" w:eastAsia="Times New Roman" w:hAnsi="Times New Roman"/>
          <w:sz w:val="14"/>
          <w:szCs w:val="14"/>
          <w:b w:val="1"/>
          <w:bCs w:val="1"/>
          <w:color w:val="auto"/>
        </w:rPr>
        <w:t xml:space="preserve"> OF THIS PROSPECTUS SUPPLEMENT AND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154940</wp:posOffset>
            </wp:positionV>
            <wp:extent cx="9499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384" w:lineRule="exact"/>
        <w:rPr>
          <w:sz w:val="20"/>
          <w:szCs w:val="20"/>
          <w:color w:val="auto"/>
        </w:rPr>
      </w:pPr>
    </w:p>
    <w:p>
      <w:pPr>
        <w:ind w:left="1340" w:right="1459" w:firstLine="277"/>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154940</wp:posOffset>
            </wp:positionV>
            <wp:extent cx="9499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399" w:lineRule="exact"/>
        <w:rPr>
          <w:sz w:val="20"/>
          <w:szCs w:val="20"/>
          <w:color w:val="auto"/>
        </w:rPr>
      </w:pPr>
    </w:p>
    <w:tbl>
      <w:tblPr>
        <w:tblLayout w:type="fixed"/>
        <w:tblInd w:w="1360" w:type="dxa"/>
        <w:tblCellMar>
          <w:top w:w="0" w:type="dxa"/>
          <w:left w:w="0" w:type="dxa"/>
          <w:bottom w:w="0" w:type="dxa"/>
          <w:right w:w="0" w:type="dxa"/>
        </w:tblCellMar>
      </w:tblPr>
      <w:tr>
        <w:trPr>
          <w:trHeight w:val="229"/>
        </w:trPr>
        <w:tc>
          <w:tcPr>
            <w:tcW w:w="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t>
            </w:r>
          </w:p>
        </w:tc>
        <w:tc>
          <w:tcPr>
            <w:tcW w:w="88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w w:val="98"/>
              </w:rPr>
              <w:t>Barclays</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rPr>
              <w:t>​ ​ BMO Capital</w:t>
            </w:r>
          </w:p>
        </w:tc>
        <w:tc>
          <w:tcPr>
            <w:tcW w:w="28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BNP PARIBAS</w:t>
            </w:r>
          </w:p>
        </w:tc>
        <w:tc>
          <w:tcPr>
            <w:tcW w:w="3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BofA Securities</w:t>
            </w:r>
          </w:p>
        </w:tc>
        <w:tc>
          <w:tcPr>
            <w:tcW w:w="18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57"/>
        </w:trPr>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Markets</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98"/>
        </w:trPr>
        <w:tc>
          <w:tcPr>
            <w:tcW w:w="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t>
            </w:r>
          </w:p>
        </w:tc>
        <w:tc>
          <w:tcPr>
            <w:tcW w:w="88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w w:val="96"/>
              </w:rPr>
              <w:t>BTIG</w:t>
            </w:r>
          </w:p>
        </w:tc>
        <w:tc>
          <w:tcPr>
            <w:tcW w:w="2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Citigroup</w:t>
            </w:r>
          </w:p>
        </w:tc>
        <w:tc>
          <w:tcPr>
            <w:tcW w:w="28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Goldman Sachs &amp;</w:t>
            </w:r>
          </w:p>
        </w:tc>
        <w:tc>
          <w:tcPr>
            <w:tcW w:w="3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 ​</w:t>
            </w:r>
          </w:p>
        </w:tc>
        <w:tc>
          <w:tcPr>
            <w:tcW w:w="1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J.P. Morgan</w:t>
            </w:r>
          </w:p>
        </w:tc>
        <w:tc>
          <w:tcPr>
            <w:tcW w:w="18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57"/>
        </w:trPr>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Co. LLC</w:t>
            </w:r>
          </w:p>
        </w:tc>
        <w:tc>
          <w:tcPr>
            <w:tcW w:w="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522"/>
        </w:trPr>
        <w:tc>
          <w:tcPr>
            <w:tcW w:w="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t>
            </w:r>
          </w:p>
        </w:tc>
        <w:tc>
          <w:tcPr>
            <w:tcW w:w="880" w:type="dxa"/>
            <w:vAlign w:val="bottom"/>
          </w:tcPr>
          <w:p>
            <w:pPr>
              <w:jc w:val="center"/>
              <w:ind w:right="3"/>
              <w:spacing w:after="0"/>
              <w:rPr>
                <w:sz w:val="20"/>
                <w:szCs w:val="20"/>
                <w:color w:val="auto"/>
              </w:rPr>
            </w:pPr>
            <w:r>
              <w:rPr>
                <w:rFonts w:ascii="Times New Roman" w:cs="Times New Roman" w:eastAsia="Times New Roman" w:hAnsi="Times New Roman"/>
                <w:sz w:val="19"/>
                <w:szCs w:val="19"/>
                <w:b w:val="1"/>
                <w:bCs w:val="1"/>
                <w:color w:val="auto"/>
                <w:w w:val="99"/>
              </w:rPr>
              <w:t>Mizuho</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38"/>
                <w:szCs w:val="38"/>
                <w:b w:val="1"/>
                <w:bCs w:val="1"/>
                <w:color w:val="auto"/>
                <w:vertAlign w:val="superscript"/>
              </w:rPr>
              <w:t>​ ​</w:t>
            </w:r>
            <w:r>
              <w:rPr>
                <w:rFonts w:ascii="Times New Roman" w:cs="Times New Roman" w:eastAsia="Times New Roman" w:hAnsi="Times New Roman"/>
                <w:sz w:val="19"/>
                <w:szCs w:val="19"/>
                <w:b w:val="1"/>
                <w:bCs w:val="1"/>
                <w:color w:val="auto"/>
              </w:rPr>
              <w:t xml:space="preserve">Morgan Stanley </w:t>
            </w:r>
            <w:r>
              <w:rPr>
                <w:rFonts w:ascii="Times New Roman" w:cs="Times New Roman" w:eastAsia="Times New Roman" w:hAnsi="Times New Roman"/>
                <w:sz w:val="38"/>
                <w:szCs w:val="38"/>
                <w:b w:val="1"/>
                <w:bCs w:val="1"/>
                <w:color w:val="auto"/>
                <w:vertAlign w:val="superscript"/>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MUFG</w:t>
            </w: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38"/>
                <w:szCs w:val="38"/>
                <w:b w:val="1"/>
                <w:bCs w:val="1"/>
                <w:color w:val="auto"/>
                <w:vertAlign w:val="superscript"/>
              </w:rPr>
              <w:t>​ ​</w:t>
            </w:r>
            <w:r>
              <w:rPr>
                <w:rFonts w:ascii="Times New Roman" w:cs="Times New Roman" w:eastAsia="Times New Roman" w:hAnsi="Times New Roman"/>
                <w:sz w:val="19"/>
                <w:szCs w:val="19"/>
                <w:b w:val="1"/>
                <w:bCs w:val="1"/>
                <w:color w:val="auto"/>
              </w:rPr>
              <w:t xml:space="preserve">RBC Capital Markets </w:t>
            </w:r>
            <w:r>
              <w:rPr>
                <w:rFonts w:ascii="Times New Roman" w:cs="Times New Roman" w:eastAsia="Times New Roman" w:hAnsi="Times New Roman"/>
                <w:sz w:val="38"/>
                <w:szCs w:val="38"/>
                <w:b w:val="1"/>
                <w:bCs w:val="1"/>
                <w:color w:val="auto"/>
                <w:vertAlign w:val="superscript"/>
              </w:rPr>
              <w:t>​</w:t>
            </w:r>
          </w:p>
        </w:tc>
      </w:tr>
      <w:tr>
        <w:trPr>
          <w:trHeight w:val="516"/>
        </w:trPr>
        <w:tc>
          <w:tcPr>
            <w:tcW w:w="98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vertAlign w:val="superscript"/>
              </w:rPr>
              <w:t>​</w:t>
            </w:r>
            <w:r>
              <w:rPr>
                <w:rFonts w:ascii="Times New Roman" w:cs="Times New Roman" w:eastAsia="Times New Roman" w:hAnsi="Times New Roman"/>
                <w:sz w:val="19"/>
                <w:szCs w:val="19"/>
                <w:b w:val="1"/>
                <w:bCs w:val="1"/>
                <w:color w:val="auto"/>
              </w:rPr>
              <w:t>Scotiabank</w:t>
            </w:r>
          </w:p>
        </w:tc>
        <w:tc>
          <w:tcPr>
            <w:tcW w:w="2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TD Securities</w:t>
            </w:r>
          </w:p>
        </w:tc>
        <w:tc>
          <w:tcPr>
            <w:tcW w:w="28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 ​</w:t>
            </w:r>
          </w:p>
        </w:tc>
        <w:tc>
          <w:tcPr>
            <w:tcW w:w="16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Truist Securities</w:t>
            </w: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38"/>
                <w:szCs w:val="38"/>
                <w:b w:val="1"/>
                <w:bCs w:val="1"/>
                <w:color w:val="auto"/>
                <w:vertAlign w:val="superscript"/>
              </w:rPr>
              <w:t>​ ​</w:t>
            </w:r>
            <w:r>
              <w:rPr>
                <w:rFonts w:ascii="Times New Roman" w:cs="Times New Roman" w:eastAsia="Times New Roman" w:hAnsi="Times New Roman"/>
                <w:sz w:val="19"/>
                <w:szCs w:val="19"/>
                <w:b w:val="1"/>
                <w:bCs w:val="1"/>
                <w:color w:val="auto"/>
              </w:rPr>
              <w:t>Wells Fargo Securities</w:t>
            </w:r>
            <w:r>
              <w:rPr>
                <w:rFonts w:ascii="Times New Roman" w:cs="Times New Roman" w:eastAsia="Times New Roman" w:hAnsi="Times New Roman"/>
                <w:sz w:val="38"/>
                <w:szCs w:val="38"/>
                <w:b w:val="1"/>
                <w:bCs w:val="1"/>
                <w:color w:val="auto"/>
                <w:vertAlign w:val="superscript"/>
              </w:rPr>
              <w:t>​</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 dated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192405</wp:posOffset>
            </wp:positionV>
            <wp:extent cx="526288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 w:name="page3"/>
    <w:bookmarkEnd w:id="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This document consists of two parts, which should be read together. The first part is this prospectus supplement, which describes the specific terms of this offering and supplements and updates information contained in the accompanying prospectus and the documents incorporated by reference into this prospectus supplement and the accompanying prospectus. The second part, the accompanying prospectus, provides more general information about our common stock and other securities that may be offered from time to time using such prospectus, some of which general information does not apply to this offering. Generally, when we refer to the prospectus, we are referring to both parts of this document combined. You should read this prospectus supplement and the accompanying prospectus together with any written communication prepared by us or on our behalf in connection with this offering together with the additional information described in the accompanying prospectus under the heading “Where You Can Find More Information” and in this prospectus supplement under the headings “Where You Can Find More Information” and “Incorporation By Reference.”</w:t>
      </w:r>
    </w:p>
    <w:p>
      <w:pPr>
        <w:spacing w:after="0" w:line="264" w:lineRule="exact"/>
        <w:rPr>
          <w:sz w:val="20"/>
          <w:szCs w:val="20"/>
          <w:color w:val="auto"/>
        </w:rPr>
      </w:pPr>
    </w:p>
    <w:p>
      <w:pPr>
        <w:ind w:left="1340" w:right="1499" w:firstLine="277"/>
        <w:spacing w:after="0" w:line="250" w:lineRule="auto"/>
        <w:rPr>
          <w:sz w:val="20"/>
          <w:szCs w:val="20"/>
          <w:color w:val="auto"/>
        </w:rPr>
      </w:pPr>
      <w:r>
        <w:rPr>
          <w:rFonts w:ascii="Times New Roman" w:cs="Times New Roman" w:eastAsia="Times New Roman" w:hAnsi="Times New Roman"/>
          <w:sz w:val="14"/>
          <w:szCs w:val="14"/>
          <w:color w:val="auto"/>
        </w:rPr>
        <w:t>We have not, and the Managers, the Forward Purchasers and the Forward Sellers have not, authorized anyone to provide any information or to make any representations other than those contained or incorporated by reference in this prospectus supplement, the accompanying prospectus and any written communication prepared by us or on our behalf. We and the Managers, the Forward Purchasers and the Forward Sellers take no responsibility for, and can provide no assurance as to the reliability of, any other information that others may give you. We are not, and the Managers, the Forward Purchasers and the Forward Sellers are not, making an offer to sell shares of our common stock and are not soliciting an offer to buy shares of our common stock in any jurisdiction where the offer or sale is not permitted. The information we have included in this prospectus supplement or the accompanying prospectus is accurate only as of the date of this prospectus supplement or the accompanying prospectus, as the case may be, and any information we have incorporated by reference into this prospectus supplement or the accompanying prospectus is accurate only as of the date of the document incorporated by reference. Our businesses, financial condition, results of operations and prospects may have changed since these respective dates.</w:t>
      </w:r>
    </w:p>
    <w:p>
      <w:pPr>
        <w:spacing w:after="0" w:line="95"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Any information contained in this prospectus supplement or the accompanying prospectus or in a document incorporated by reference in this prospectus supplement or the accompanying prospectus will be deemed to be modified or superseded to the extent that a statement contained in this prospectus supplement or in any other subsequently filed document that is also incorporated by reference in this prospectus supplement modifies or supersedes that statement. Any statement so modified or superseded will not be deemed, except as so modified or superseded, to constitute a part of this prospectus supplement. See “Incorporation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18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10795</wp:posOffset>
            </wp:positionV>
            <wp:extent cx="4010660" cy="132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Summary</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25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10660" cy="12509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Plan of Distribution (Conflicts of Interest)</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47" w:lineRule="exact"/>
        <w:rPr>
          <w:sz w:val="20"/>
          <w:szCs w:val="20"/>
          <w:color w:val="auto"/>
        </w:rPr>
      </w:pPr>
    </w:p>
    <w:p>
      <w:pPr>
        <w:ind w:left="1340" w:right="1440"/>
        <w:spacing w:after="0" w:line="324" w:lineRule="auto"/>
        <w:rPr>
          <w:sz w:val="20"/>
          <w:szCs w:val="20"/>
          <w:color w:val="auto"/>
        </w:rPr>
      </w:pPr>
      <w:r>
        <w:rPr>
          <w:rFonts w:ascii="Times New Roman" w:cs="Times New Roman" w:eastAsia="Times New Roman" w:hAnsi="Times New Roman"/>
          <w:sz w:val="14"/>
          <w:szCs w:val="14"/>
          <w:u w:val="single" w:color="auto"/>
          <w:color w:val="0000EE"/>
        </w:rPr>
        <w:t>Cautionary Statement Regarding Forward-Looking Information 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-298450</wp:posOffset>
            </wp:positionV>
            <wp:extent cx="4010660" cy="132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-85725</wp:posOffset>
            </wp:positionV>
            <wp:extent cx="4010660" cy="92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0660" cy="9207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-9525</wp:posOffset>
            </wp:positionV>
            <wp:extent cx="4010660" cy="151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By Reference</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CenterPoint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7" w:lineRule="exact"/>
        <w:rPr>
          <w:sz w:val="20"/>
          <w:szCs w:val="20"/>
          <w:color w:val="auto"/>
        </w:rPr>
      </w:pPr>
    </w:p>
    <w:p>
      <w:pPr>
        <w:ind w:left="1340" w:right="1440"/>
        <w:spacing w:after="0" w:line="309" w:lineRule="auto"/>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Statement Regarding Forward-Looking Information 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-167640</wp:posOffset>
            </wp:positionV>
            <wp:extent cx="4010660" cy="151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Our Capital Stock</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Stock Purchase Contracts and Equity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Depositary Shares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Holding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S-12</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S-27</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1"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w:t>
      </w:r>
    </w:p>
    <w:p>
      <w:pPr>
        <w:sectPr>
          <w:pgSz w:w="11900" w:h="16838" w:orient="portrait"/>
          <w:cols w:equalWidth="0" w:num="2">
            <w:col w:w="6480" w:space="720"/>
            <w:col w:w="1819"/>
          </w:cols>
          <w:pgMar w:left="1440" w:top="104" w:right="1440" w:bottom="1440" w:gutter="0" w:footer="0" w:header="0"/>
        </w:sectPr>
      </w:pPr>
    </w:p>
    <w:bookmarkStart w:id="4" w:name="page5"/>
    <w:bookmarkEnd w:id="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41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47515" cy="614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0" w:lineRule="exact"/>
        <w:rPr>
          <w:sz w:val="20"/>
          <w:szCs w:val="20"/>
          <w:color w:val="auto"/>
        </w:rPr>
      </w:pPr>
    </w:p>
    <w:p>
      <w:pPr>
        <w:ind w:left="1360" w:right="1379" w:firstLine="277"/>
        <w:spacing w:after="0" w:line="244" w:lineRule="auto"/>
        <w:rPr>
          <w:sz w:val="20"/>
          <w:szCs w:val="20"/>
          <w:color w:val="auto"/>
        </w:rPr>
      </w:pPr>
      <w:r>
        <w:rPr>
          <w:rFonts w:ascii="Times New Roman" w:cs="Times New Roman" w:eastAsia="Times New Roman" w:hAnsi="Times New Roman"/>
          <w:sz w:val="14"/>
          <w:szCs w:val="14"/>
          <w:i w:val="1"/>
          <w:iCs w:val="1"/>
          <w:color w:val="auto"/>
        </w:rPr>
        <w:t>This summary highlights information from this prospectus supplement and the accompanying prospectus. It is not complete and may not contain all of the information that you should consider before investing in our common stock. We encourage you to read this prospectus supplement, the accompanying prospectus and the documents incorporated by reference herein or therein in their entirety before making an investment decision, including the information set forth under the heading “Risk Factors.”</w:t>
      </w:r>
    </w:p>
    <w:p>
      <w:pPr>
        <w:spacing w:after="0" w:line="85" w:lineRule="exact"/>
        <w:rPr>
          <w:sz w:val="20"/>
          <w:szCs w:val="20"/>
          <w:color w:val="auto"/>
        </w:rPr>
      </w:pPr>
    </w:p>
    <w:p>
      <w:pPr>
        <w:ind w:left="1360" w:right="165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The terms “CenterPoint Energy,” “we,” “our,” and “us” refer to CenterPoint Energy, Inc. and its subsidiaries, unless the context indicates otherwise.</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122" w:lineRule="exact"/>
        <w:rPr>
          <w:sz w:val="20"/>
          <w:szCs w:val="20"/>
          <w:color w:val="auto"/>
        </w:rPr>
      </w:pPr>
    </w:p>
    <w:p>
      <w:pPr>
        <w:ind w:left="1360" w:right="1579" w:firstLine="277"/>
        <w:spacing w:after="0" w:line="247" w:lineRule="auto"/>
        <w:rPr>
          <w:sz w:val="20"/>
          <w:szCs w:val="20"/>
          <w:color w:val="auto"/>
        </w:rPr>
      </w:pPr>
      <w:r>
        <w:rPr>
          <w:rFonts w:ascii="Times New Roman" w:cs="Times New Roman" w:eastAsia="Times New Roman" w:hAnsi="Times New Roman"/>
          <w:sz w:val="14"/>
          <w:szCs w:val="14"/>
          <w:color w:val="auto"/>
        </w:rPr>
        <w:t>We are a public utility holding company. Our operating subsidiaries own and operate electric transmission, distribution and generation facilities and natural gas distribution systems. As of the date of this prospectus supplement, our indirect, wholly-owned operating subsidiaries include:</w:t>
      </w:r>
    </w:p>
    <w:p>
      <w:pPr>
        <w:spacing w:after="0" w:line="64" w:lineRule="exact"/>
        <w:rPr>
          <w:sz w:val="20"/>
          <w:szCs w:val="20"/>
          <w:color w:val="auto"/>
        </w:rPr>
      </w:pPr>
    </w:p>
    <w:p>
      <w:pPr>
        <w:ind w:left="1780" w:right="1359" w:hanging="143"/>
        <w:spacing w:after="0" w:line="257"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w:t>
      </w:r>
    </w:p>
    <w:p>
      <w:pPr>
        <w:spacing w:after="0" w:line="58" w:lineRule="exact"/>
        <w:rPr>
          <w:rFonts w:ascii="Times New Roman" w:cs="Times New Roman" w:eastAsia="Times New Roman" w:hAnsi="Times New Roman"/>
          <w:sz w:val="14"/>
          <w:szCs w:val="14"/>
          <w:color w:val="auto"/>
        </w:rPr>
      </w:pPr>
    </w:p>
    <w:p>
      <w:pPr>
        <w:ind w:left="1780" w:right="1439" w:hanging="143"/>
        <w:spacing w:after="0" w:line="253"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Resources Corp. (“CERC Corp.”), which (i) directly owns and operates natural gas distribution systems in Minnesota and Texas, (ii) indirectly, through Indiana Gas Company, Inc. and Vectren Energy Delivery of Ohio, LLC, doing business as CenterPoint Energy Ohio (“CEOH”), owns and operates natural gas distribution systems in Indiana and Ohio, respectively, and (iii) owns and operates permanent pipeline connections through interconnects with various interstate and intrastate pipeline companies through CenterPoint Energy Intrastate Pipelines, LLC.</w:t>
      </w:r>
    </w:p>
    <w:p>
      <w:pPr>
        <w:spacing w:after="0" w:line="62" w:lineRule="exact"/>
        <w:rPr>
          <w:rFonts w:ascii="Times New Roman" w:cs="Times New Roman" w:eastAsia="Times New Roman" w:hAnsi="Times New Roman"/>
          <w:sz w:val="14"/>
          <w:szCs w:val="14"/>
          <w:color w:val="auto"/>
        </w:rPr>
      </w:pPr>
    </w:p>
    <w:p>
      <w:pPr>
        <w:ind w:left="1780" w:right="1359" w:hanging="143"/>
        <w:spacing w:after="0" w:line="257"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79" w:lineRule="exact"/>
        <w:rPr>
          <w:sz w:val="20"/>
          <w:szCs w:val="20"/>
          <w:color w:val="auto"/>
        </w:rPr>
      </w:pPr>
    </w:p>
    <w:p>
      <w:pPr>
        <w:jc w:val="both"/>
        <w:ind w:left="1360" w:right="1679" w:firstLine="277"/>
        <w:spacing w:after="0" w:line="262" w:lineRule="auto"/>
        <w:rPr>
          <w:sz w:val="20"/>
          <w:szCs w:val="20"/>
          <w:color w:val="auto"/>
        </w:rPr>
      </w:pPr>
      <w:r>
        <w:rPr>
          <w:rFonts w:ascii="Times New Roman" w:cs="Times New Roman" w:eastAsia="Times New Roman" w:hAnsi="Times New Roman"/>
          <w:sz w:val="14"/>
          <w:szCs w:val="14"/>
          <w:color w:val="auto"/>
        </w:rPr>
        <w:t>As of March 31, 2026, CenterPoint Energy’s reportable segments were Electric, Natural Gas, and Corporate and Other. Houston Electric and CERC Corp., together with its subsidiaries (“CERC”), each consist of a single reportable segment.</w:t>
      </w:r>
    </w:p>
    <w:p>
      <w:pPr>
        <w:spacing w:after="0" w:line="86" w:lineRule="exact"/>
        <w:rPr>
          <w:sz w:val="20"/>
          <w:szCs w:val="20"/>
          <w:color w:val="auto"/>
        </w:rPr>
      </w:pPr>
    </w:p>
    <w:p>
      <w:pPr>
        <w:ind w:left="1360" w:right="1479" w:firstLine="277"/>
        <w:spacing w:after="0" w:line="255" w:lineRule="auto"/>
        <w:rPr>
          <w:sz w:val="20"/>
          <w:szCs w:val="20"/>
          <w:color w:val="auto"/>
        </w:rPr>
      </w:pPr>
      <w:r>
        <w:rPr>
          <w:rFonts w:ascii="Times New Roman" w:cs="Times New Roman" w:eastAsia="Times New Roman" w:hAnsi="Times New Roman"/>
          <w:sz w:val="14"/>
          <w:szCs w:val="14"/>
          <w:color w:val="auto"/>
        </w:rPr>
        <w:t>On October 20, 2025, CERC Corp. entered into a purchase agreement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w:t>
      </w:r>
    </w:p>
    <w:p>
      <w:pPr>
        <w:spacing w:after="0" w:line="90" w:lineRule="exact"/>
        <w:rPr>
          <w:sz w:val="20"/>
          <w:szCs w:val="20"/>
          <w:color w:val="auto"/>
        </w:rPr>
      </w:pPr>
    </w:p>
    <w:p>
      <w:pPr>
        <w:ind w:left="1360" w:right="1339" w:firstLine="277"/>
        <w:spacing w:after="0" w:line="249" w:lineRule="auto"/>
        <w:rPr>
          <w:sz w:val="20"/>
          <w:szCs w:val="20"/>
          <w:color w:val="auto"/>
        </w:rPr>
      </w:pPr>
      <w:r>
        <w:rPr>
          <w:rFonts w:ascii="Times New Roman" w:cs="Times New Roman" w:eastAsia="Times New Roman" w:hAnsi="Times New Roman"/>
          <w:sz w:val="14"/>
          <w:szCs w:val="14"/>
          <w:color w:val="auto"/>
        </w:rPr>
        <w:t>As of March 31, 2026, we, Houston Electric and SIGECO had variable interest entities (“VIEs”) including CenterPoint Energy Transition Bond Company IV, LLC, a wholly-owned subsidiary of Houston Electric (“Transition Bond Company IV”), CenterPoint Energy Restoration Bond Company II, LLC, a wholly-owned subsidiary of Houston Electric (“Restoration Bond Company II”), CenterPoint Energy Restoration Bond Company III, LLC, a wholly-owned subsidiary of Houston Electric (“Restoration Bond Company III”), and SIGECO Securitization I, LLC, a wholly-owned subsidiary of SIGECO (“SIGECO Securitization Subsidiary”), which are consolidated. The consolidated VIEs are wholly-owned, bankruptcy-remote, special purpose entities that were formed solely for the purpose of securitizing transition property or system restoration property or facilitating the securitization financing of qualified costs. We, through SIGECO, have a controlling financial interest in SIGECO Securitization Subsidiary and are the VIE’s primary beneficiary. Houston Electric has a controlling financial interest in each of Transition Bond Company IV, Restoration Bond Company II and Restoration Bond Company III and is the primary beneficiary of each. Creditors of us, Houston Electric and SIGECO have no recourse to any assets or revenues of Transition Bond Company IV, Restoration Bond Company II, Restoration Bond Company III or SIGECO Securitization Subsidiary, as applicable. The bonds issued by these VIEs are payable only from</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360" w:right="1379"/>
        <w:spacing w:after="0" w:line="278" w:lineRule="auto"/>
        <w:rPr>
          <w:sz w:val="20"/>
          <w:szCs w:val="20"/>
          <w:color w:val="auto"/>
        </w:rPr>
      </w:pPr>
      <w:r>
        <w:rPr>
          <w:rFonts w:ascii="Times New Roman" w:cs="Times New Roman" w:eastAsia="Times New Roman" w:hAnsi="Times New Roman"/>
          <w:sz w:val="14"/>
          <w:szCs w:val="14"/>
          <w:color w:val="auto"/>
        </w:rPr>
        <w:t>and secured by transition property, system restoration property or securitization property, as applicable, and the bondholders have no recourse to the general credit of CenterPoint Energy, Houston Electric or SIGECO.</w:t>
      </w:r>
    </w:p>
    <w:p>
      <w:pPr>
        <w:spacing w:after="0" w:line="74" w:lineRule="exact"/>
        <w:rPr>
          <w:sz w:val="20"/>
          <w:szCs w:val="20"/>
          <w:color w:val="auto"/>
        </w:rPr>
      </w:pPr>
    </w:p>
    <w:p>
      <w:pPr>
        <w:ind w:left="1360" w:right="1459" w:firstLine="277"/>
        <w:spacing w:after="0" w:line="278" w:lineRule="auto"/>
        <w:rPr>
          <w:sz w:val="20"/>
          <w:szCs w:val="20"/>
          <w:color w:val="auto"/>
        </w:rPr>
      </w:pPr>
      <w:r>
        <w:rPr>
          <w:rFonts w:ascii="Times New Roman" w:cs="Times New Roman" w:eastAsia="Times New Roman" w:hAnsi="Times New Roman"/>
          <w:sz w:val="14"/>
          <w:szCs w:val="14"/>
          <w:color w:val="auto"/>
        </w:rPr>
        <w:t>Our principal executive offices are located at 1111 Louisiana Street, Houston, Texas 77002 (telephone number: 713-207-1111).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380"/>
        <w:spacing w:after="0"/>
        <w:rPr>
          <w:sz w:val="20"/>
          <w:szCs w:val="20"/>
          <w:color w:val="auto"/>
        </w:rPr>
      </w:pPr>
      <w:r>
        <w:rPr>
          <w:rFonts w:ascii="Calibri" w:cs="Calibri" w:eastAsia="Calibri" w:hAnsi="Calibri"/>
          <w:sz w:val="11"/>
          <w:szCs w:val="11"/>
          <w:color w:val="003366"/>
        </w:rPr>
        <w:t>TABLE OF CONTENTS</w:t>
      </w:r>
    </w:p>
    <w:p>
      <w:pPr>
        <w:spacing w:after="0" w:line="375" w:lineRule="exact"/>
        <w:rPr>
          <w:sz w:val="20"/>
          <w:szCs w:val="20"/>
          <w:color w:val="auto"/>
        </w:rPr>
      </w:pPr>
    </w:p>
    <w:tbl>
      <w:tblPr>
        <w:tblLayout w:type="fixed"/>
        <w:tblInd w:w="380" w:type="dxa"/>
        <w:tblCellMar>
          <w:top w:w="0" w:type="dxa"/>
          <w:left w:w="0" w:type="dxa"/>
          <w:bottom w:w="0" w:type="dxa"/>
          <w:right w:w="0" w:type="dxa"/>
        </w:tblCellMar>
      </w:tblPr>
      <w:tr>
        <w:trPr>
          <w:trHeight w:val="421"/>
        </w:trPr>
        <w:tc>
          <w:tcPr>
            <w:tcW w:w="820" w:type="dxa"/>
            <w:vAlign w:val="bottom"/>
            <w:tcBorders>
              <w:right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100" w:type="dxa"/>
            <w:vAlign w:val="bottom"/>
            <w:tcBorders>
              <w:top w:val="single" w:sz="8" w:color="auto"/>
              <w:right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760" w:type="dxa"/>
            <w:vAlign w:val="bottom"/>
          </w:tcPr>
          <w:p>
            <w:pPr>
              <w:spacing w:after="0"/>
              <w:rPr>
                <w:sz w:val="24"/>
                <w:szCs w:val="24"/>
                <w:color w:val="auto"/>
              </w:rPr>
            </w:pPr>
          </w:p>
        </w:tc>
      </w:tr>
      <w:tr>
        <w:trPr>
          <w:trHeight w:val="249"/>
        </w:trPr>
        <w:tc>
          <w:tcPr>
            <w:tcW w:w="820" w:type="dxa"/>
            <w:vAlign w:val="bottom"/>
            <w:tcBorders>
              <w:right w:val="single" w:sz="8" w:color="auto"/>
            </w:tcBorders>
          </w:tcPr>
          <w:p>
            <w:pPr>
              <w:spacing w:after="0"/>
              <w:rPr>
                <w:sz w:val="21"/>
                <w:szCs w:val="21"/>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760" w:type="dxa"/>
            <w:vAlign w:val="bottom"/>
          </w:tcPr>
          <w:p>
            <w:pPr>
              <w:spacing w:after="0"/>
              <w:rPr>
                <w:sz w:val="21"/>
                <w:szCs w:val="21"/>
                <w:color w:val="auto"/>
              </w:rPr>
            </w:pPr>
          </w:p>
        </w:tc>
      </w:tr>
      <w:tr>
        <w:trPr>
          <w:trHeight w:val="234"/>
        </w:trPr>
        <w:tc>
          <w:tcPr>
            <w:tcW w:w="820" w:type="dxa"/>
            <w:vAlign w:val="bottom"/>
            <w:tcBorders>
              <w:right w:val="single" w:sz="8" w:color="auto"/>
            </w:tcBorders>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offered</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Shares of our common stock having an aggregate gross sales price</w:t>
            </w:r>
          </w:p>
        </w:tc>
        <w:tc>
          <w:tcPr>
            <w:tcW w:w="760" w:type="dxa"/>
            <w:vAlign w:val="bottom"/>
          </w:tcPr>
          <w:p>
            <w:pPr>
              <w:spacing w:after="0"/>
              <w:rPr>
                <w:sz w:val="20"/>
                <w:szCs w:val="20"/>
                <w:color w:val="auto"/>
              </w:rPr>
            </w:pPr>
          </w:p>
        </w:tc>
      </w:tr>
      <w:tr>
        <w:trPr>
          <w:trHeight w:val="181"/>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of up to $1,000,000,000.</w:t>
            </w:r>
          </w:p>
        </w:tc>
        <w:tc>
          <w:tcPr>
            <w:tcW w:w="760" w:type="dxa"/>
            <w:vAlign w:val="bottom"/>
          </w:tcPr>
          <w:p>
            <w:pPr>
              <w:spacing w:after="0"/>
              <w:rPr>
                <w:sz w:val="15"/>
                <w:szCs w:val="15"/>
                <w:color w:val="auto"/>
              </w:rPr>
            </w:pPr>
          </w:p>
        </w:tc>
      </w:tr>
      <w:tr>
        <w:trPr>
          <w:trHeight w:val="234"/>
        </w:trPr>
        <w:tc>
          <w:tcPr>
            <w:tcW w:w="820" w:type="dxa"/>
            <w:vAlign w:val="bottom"/>
            <w:tcBorders>
              <w:right w:val="single" w:sz="8" w:color="auto"/>
            </w:tcBorders>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We intend to use the net proceeds (x) from this offering, after</w:t>
            </w:r>
          </w:p>
        </w:tc>
        <w:tc>
          <w:tcPr>
            <w:tcW w:w="760" w:type="dxa"/>
            <w:vAlign w:val="bottom"/>
          </w:tcPr>
          <w:p>
            <w:pPr>
              <w:spacing w:after="0"/>
              <w:rPr>
                <w:sz w:val="20"/>
                <w:szCs w:val="20"/>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deducting the Managers’ commission and our offering expenses and</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(y) payable upon settlement of any forward sale agreement, in each</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case, for general corporate purposes, which may include, among</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other things, the capital expenditure programs of our operating</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subsidiaries and the repayment of borrowings under our commercial</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paper program. Pending application of the net proceeds of this</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offering for the foregoing purposes, we expect to use the net</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proceeds to invest in the CenterPoint Energy money pool or various</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instruments that may include, but would not be limited to, short-</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term, interest bearing obligations, including bank deposits and</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certificates of deposit with financial institutions having investment-</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grade ratings, U.S. government obligations or money market funds</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primarily invested in securities issued by the U.S. government or its</w:t>
            </w:r>
          </w:p>
        </w:tc>
        <w:tc>
          <w:tcPr>
            <w:tcW w:w="760" w:type="dxa"/>
            <w:vAlign w:val="bottom"/>
          </w:tcPr>
          <w:p>
            <w:pPr>
              <w:spacing w:after="0"/>
              <w:rPr>
                <w:sz w:val="14"/>
                <w:szCs w:val="14"/>
                <w:color w:val="auto"/>
              </w:rPr>
            </w:pPr>
          </w:p>
        </w:tc>
      </w:tr>
      <w:tr>
        <w:trPr>
          <w:trHeight w:val="181"/>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agencies. See “Use of Proceeds” in this prospectus supplement.</w:t>
            </w:r>
          </w:p>
        </w:tc>
        <w:tc>
          <w:tcPr>
            <w:tcW w:w="760" w:type="dxa"/>
            <w:vAlign w:val="bottom"/>
          </w:tcPr>
          <w:p>
            <w:pPr>
              <w:spacing w:after="0"/>
              <w:rPr>
                <w:sz w:val="15"/>
                <w:szCs w:val="15"/>
                <w:color w:val="auto"/>
              </w:rPr>
            </w:pPr>
          </w:p>
        </w:tc>
      </w:tr>
      <w:tr>
        <w:trPr>
          <w:trHeight w:val="249"/>
        </w:trPr>
        <w:tc>
          <w:tcPr>
            <w:tcW w:w="820" w:type="dxa"/>
            <w:vAlign w:val="bottom"/>
            <w:tcBorders>
              <w:right w:val="single" w:sz="8" w:color="auto"/>
            </w:tcBorders>
          </w:tcPr>
          <w:p>
            <w:pPr>
              <w:spacing w:after="0"/>
              <w:rPr>
                <w:sz w:val="21"/>
                <w:szCs w:val="21"/>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consequences</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See “Material U.S. Federal Income Tax Consequences.”</w:t>
            </w:r>
          </w:p>
        </w:tc>
        <w:tc>
          <w:tcPr>
            <w:tcW w:w="760" w:type="dxa"/>
            <w:vAlign w:val="bottom"/>
          </w:tcPr>
          <w:p>
            <w:pPr>
              <w:spacing w:after="0"/>
              <w:rPr>
                <w:sz w:val="21"/>
                <w:szCs w:val="21"/>
                <w:color w:val="auto"/>
              </w:rPr>
            </w:pPr>
          </w:p>
        </w:tc>
      </w:tr>
      <w:tr>
        <w:trPr>
          <w:trHeight w:val="234"/>
        </w:trPr>
        <w:tc>
          <w:tcPr>
            <w:tcW w:w="820" w:type="dxa"/>
            <w:vAlign w:val="bottom"/>
            <w:tcBorders>
              <w:right w:val="single" w:sz="8" w:color="auto"/>
            </w:tcBorders>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Listing</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and</w:t>
            </w:r>
          </w:p>
        </w:tc>
        <w:tc>
          <w:tcPr>
            <w:tcW w:w="760" w:type="dxa"/>
            <w:vAlign w:val="bottom"/>
          </w:tcPr>
          <w:p>
            <w:pPr>
              <w:spacing w:after="0"/>
              <w:rPr>
                <w:sz w:val="20"/>
                <w:szCs w:val="20"/>
                <w:color w:val="auto"/>
              </w:rPr>
            </w:pPr>
          </w:p>
        </w:tc>
      </w:tr>
      <w:tr>
        <w:trPr>
          <w:trHeight w:val="181"/>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the NYSE Texas, in each case, under the symbol “CNP.”</w:t>
            </w:r>
          </w:p>
        </w:tc>
        <w:tc>
          <w:tcPr>
            <w:tcW w:w="760" w:type="dxa"/>
            <w:vAlign w:val="bottom"/>
          </w:tcPr>
          <w:p>
            <w:pPr>
              <w:spacing w:after="0"/>
              <w:rPr>
                <w:sz w:val="15"/>
                <w:szCs w:val="15"/>
                <w:color w:val="auto"/>
              </w:rPr>
            </w:pPr>
          </w:p>
        </w:tc>
      </w:tr>
      <w:tr>
        <w:trPr>
          <w:trHeight w:val="234"/>
        </w:trPr>
        <w:tc>
          <w:tcPr>
            <w:tcW w:w="820" w:type="dxa"/>
            <w:vAlign w:val="bottom"/>
            <w:tcBorders>
              <w:right w:val="single" w:sz="8" w:color="auto"/>
            </w:tcBorders>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You should consider carefully all the information set forth and</w:t>
            </w:r>
          </w:p>
        </w:tc>
        <w:tc>
          <w:tcPr>
            <w:tcW w:w="760" w:type="dxa"/>
            <w:vAlign w:val="bottom"/>
          </w:tcPr>
          <w:p>
            <w:pPr>
              <w:spacing w:after="0"/>
              <w:rPr>
                <w:sz w:val="20"/>
                <w:szCs w:val="20"/>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incorporated by reference in this prospectus supplement and the</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accompanying prospectus and, in particular, you should evaluate the</w:t>
            </w:r>
          </w:p>
        </w:tc>
        <w:tc>
          <w:tcPr>
            <w:tcW w:w="760" w:type="dxa"/>
            <w:vAlign w:val="bottom"/>
          </w:tcPr>
          <w:p>
            <w:pPr>
              <w:spacing w:after="0"/>
              <w:rPr>
                <w:sz w:val="14"/>
                <w:szCs w:val="14"/>
                <w:color w:val="auto"/>
              </w:rPr>
            </w:pPr>
          </w:p>
        </w:tc>
      </w:tr>
      <w:tr>
        <w:trPr>
          <w:trHeight w:val="150"/>
        </w:trPr>
        <w:tc>
          <w:tcPr>
            <w:tcW w:w="820" w:type="dxa"/>
            <w:vAlign w:val="bottom"/>
            <w:tcBorders>
              <w:right w:val="single" w:sz="8" w:color="auto"/>
            </w:tcBorders>
          </w:tcPr>
          <w:p>
            <w:pPr>
              <w:spacing w:after="0"/>
              <w:rPr>
                <w:sz w:val="13"/>
                <w:szCs w:val="13"/>
                <w:color w:val="auto"/>
              </w:rPr>
            </w:pPr>
          </w:p>
        </w:tc>
        <w:tc>
          <w:tcPr>
            <w:tcW w:w="2480" w:type="dxa"/>
            <w:vAlign w:val="bottom"/>
          </w:tcPr>
          <w:p>
            <w:pPr>
              <w:spacing w:after="0"/>
              <w:rPr>
                <w:sz w:val="13"/>
                <w:szCs w:val="13"/>
                <w:color w:val="auto"/>
              </w:rPr>
            </w:pPr>
          </w:p>
        </w:tc>
        <w:tc>
          <w:tcPr>
            <w:tcW w:w="4180" w:type="dxa"/>
            <w:vAlign w:val="bottom"/>
            <w:tcBorders>
              <w:right w:val="single" w:sz="8" w:color="auto"/>
            </w:tcBorders>
            <w:gridSpan w:val="4"/>
          </w:tcPr>
          <w:p>
            <w:pPr>
              <w:spacing w:after="0" w:line="150" w:lineRule="exact"/>
              <w:rPr>
                <w:sz w:val="20"/>
                <w:szCs w:val="20"/>
                <w:color w:val="auto"/>
              </w:rPr>
            </w:pPr>
            <w:r>
              <w:rPr>
                <w:rFonts w:ascii="Times New Roman" w:cs="Times New Roman" w:eastAsia="Times New Roman" w:hAnsi="Times New Roman"/>
                <w:sz w:val="14"/>
                <w:szCs w:val="14"/>
                <w:color w:val="auto"/>
              </w:rPr>
              <w:t xml:space="preserve">specific factors set forth under “Risk Factors” beginning on page </w:t>
            </w:r>
            <w:r>
              <w:rPr>
                <w:rFonts w:ascii="Times New Roman" w:cs="Times New Roman" w:eastAsia="Times New Roman" w:hAnsi="Times New Roman"/>
                <w:sz w:val="14"/>
                <w:szCs w:val="14"/>
                <w:color w:val="0000EE"/>
              </w:rPr>
              <w:t>S-</w:t>
            </w:r>
          </w:p>
        </w:tc>
        <w:tc>
          <w:tcPr>
            <w:tcW w:w="760" w:type="dxa"/>
            <w:vAlign w:val="bottom"/>
          </w:tcPr>
          <w:p>
            <w:pPr>
              <w:spacing w:after="0"/>
              <w:rPr>
                <w:sz w:val="13"/>
                <w:szCs w:val="13"/>
                <w:color w:val="auto"/>
              </w:rPr>
            </w:pPr>
          </w:p>
        </w:tc>
      </w:tr>
      <w:tr>
        <w:trPr>
          <w:trHeight w:val="20"/>
        </w:trPr>
        <w:tc>
          <w:tcPr>
            <w:tcW w:w="820" w:type="dxa"/>
            <w:vAlign w:val="bottom"/>
            <w:tcBorders>
              <w:right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6"/>
        </w:trPr>
        <w:tc>
          <w:tcPr>
            <w:tcW w:w="820" w:type="dxa"/>
            <w:vAlign w:val="bottom"/>
            <w:tcBorders>
              <w:right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4180" w:type="dxa"/>
            <w:vAlign w:val="bottom"/>
            <w:tcBorders>
              <w:right w:val="single" w:sz="8" w:color="auto"/>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rPr>
              <w:t xml:space="preserve">5 </w:t>
            </w:r>
            <w:r>
              <w:rPr>
                <w:rFonts w:ascii="Times New Roman" w:cs="Times New Roman" w:eastAsia="Times New Roman" w:hAnsi="Times New Roman"/>
                <w:sz w:val="14"/>
                <w:szCs w:val="14"/>
                <w:color w:val="000000"/>
              </w:rPr>
              <w:t>of this prospectus supplement before deciding whether to invest in</w:t>
            </w:r>
          </w:p>
        </w:tc>
        <w:tc>
          <w:tcPr>
            <w:tcW w:w="760" w:type="dxa"/>
            <w:vAlign w:val="bottom"/>
          </w:tcPr>
          <w:p>
            <w:pPr>
              <w:spacing w:after="0"/>
              <w:rPr>
                <w:sz w:val="12"/>
                <w:szCs w:val="12"/>
                <w:color w:val="auto"/>
              </w:rPr>
            </w:pPr>
          </w:p>
        </w:tc>
      </w:tr>
      <w:tr>
        <w:trPr>
          <w:trHeight w:val="20"/>
        </w:trPr>
        <w:tc>
          <w:tcPr>
            <w:tcW w:w="820" w:type="dxa"/>
            <w:vAlign w:val="bottom"/>
            <w:tcBorders>
              <w:right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100" w:type="dxa"/>
            <w:vAlign w:val="bottom"/>
            <w:tcBorders>
              <w:right w:val="single" w:sz="8" w:color="auto"/>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8"/>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our common stock.</w:t>
            </w:r>
          </w:p>
        </w:tc>
        <w:tc>
          <w:tcPr>
            <w:tcW w:w="760" w:type="dxa"/>
            <w:vAlign w:val="bottom"/>
          </w:tcPr>
          <w:p>
            <w:pPr>
              <w:spacing w:after="0"/>
              <w:rPr>
                <w:sz w:val="15"/>
                <w:szCs w:val="15"/>
                <w:color w:val="auto"/>
              </w:rPr>
            </w:pPr>
          </w:p>
        </w:tc>
      </w:tr>
      <w:tr>
        <w:trPr>
          <w:trHeight w:val="234"/>
        </w:trPr>
        <w:tc>
          <w:tcPr>
            <w:tcW w:w="820" w:type="dxa"/>
            <w:vAlign w:val="bottom"/>
            <w:tcBorders>
              <w:right w:val="single" w:sz="8" w:color="auto"/>
            </w:tcBorders>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Conflicts of interest</w:t>
            </w: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We expect that all of the proceeds of any shares sold by a Forward</w:t>
            </w:r>
          </w:p>
        </w:tc>
        <w:tc>
          <w:tcPr>
            <w:tcW w:w="760" w:type="dxa"/>
            <w:vAlign w:val="bottom"/>
          </w:tcPr>
          <w:p>
            <w:pPr>
              <w:spacing w:after="0"/>
              <w:rPr>
                <w:sz w:val="20"/>
                <w:szCs w:val="20"/>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Seller, and in the case of Nomura Securities International, Inc.,</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through its agent, BTIG, LLC, will be paid to the related Forward</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Purchaser. To the extent such Forward Purchaser or its affiliate</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receives more than 5% of the net proceeds of this offering, not</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including commissions, such Forward Seller, including BTIG, LLC,</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as agent for Nomura Securities International, Inc., would be deemed</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to have a conflict of interest under FINRA Rule 5121 (Public</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Offerings of Securities With Conflicts of Interest) of the Financial</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Industry Regulatory Authority, Inc. (“FINRA”) and would be</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required to conduct the distribution of shares of our common stock</w:t>
            </w:r>
          </w:p>
        </w:tc>
        <w:tc>
          <w:tcPr>
            <w:tcW w:w="760" w:type="dxa"/>
            <w:vAlign w:val="bottom"/>
          </w:tcPr>
          <w:p>
            <w:pPr>
              <w:spacing w:after="0"/>
              <w:rPr>
                <w:sz w:val="14"/>
                <w:szCs w:val="14"/>
                <w:color w:val="auto"/>
              </w:rPr>
            </w:pPr>
          </w:p>
        </w:tc>
      </w:tr>
      <w:tr>
        <w:trPr>
          <w:trHeight w:val="181"/>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in accordance with FINRA Rule 5121.</w:t>
            </w:r>
          </w:p>
        </w:tc>
        <w:tc>
          <w:tcPr>
            <w:tcW w:w="760" w:type="dxa"/>
            <w:vAlign w:val="bottom"/>
          </w:tcPr>
          <w:p>
            <w:pPr>
              <w:spacing w:after="0"/>
              <w:rPr>
                <w:sz w:val="15"/>
                <w:szCs w:val="15"/>
                <w:color w:val="auto"/>
              </w:rPr>
            </w:pPr>
          </w:p>
        </w:tc>
      </w:tr>
      <w:tr>
        <w:trPr>
          <w:trHeight w:val="276"/>
        </w:trPr>
        <w:tc>
          <w:tcPr>
            <w:tcW w:w="820" w:type="dxa"/>
            <w:vAlign w:val="bottom"/>
            <w:tcBorders>
              <w:right w:val="single" w:sz="8" w:color="auto"/>
            </w:tcBorders>
          </w:tcPr>
          <w:p>
            <w:pPr>
              <w:spacing w:after="0"/>
              <w:rPr>
                <w:sz w:val="23"/>
                <w:szCs w:val="23"/>
                <w:color w:val="auto"/>
              </w:rPr>
            </w:pPr>
          </w:p>
        </w:tc>
        <w:tc>
          <w:tcPr>
            <w:tcW w:w="2480" w:type="dxa"/>
            <w:vAlign w:val="bottom"/>
          </w:tcPr>
          <w:p>
            <w:pPr>
              <w:spacing w:after="0"/>
              <w:rPr>
                <w:sz w:val="23"/>
                <w:szCs w:val="23"/>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Further, some or all of the Managers or their affiliates may in the</w:t>
            </w:r>
          </w:p>
        </w:tc>
        <w:tc>
          <w:tcPr>
            <w:tcW w:w="760" w:type="dxa"/>
            <w:vAlign w:val="bottom"/>
          </w:tcPr>
          <w:p>
            <w:pPr>
              <w:spacing w:after="0"/>
              <w:rPr>
                <w:sz w:val="23"/>
                <w:szCs w:val="23"/>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future be holders of our commercial paper obligations. We may use</w:t>
            </w:r>
          </w:p>
        </w:tc>
        <w:tc>
          <w:tcPr>
            <w:tcW w:w="760" w:type="dxa"/>
            <w:vAlign w:val="bottom"/>
          </w:tcPr>
          <w:p>
            <w:pPr>
              <w:spacing w:after="0"/>
              <w:rPr>
                <w:sz w:val="14"/>
                <w:szCs w:val="14"/>
                <w:color w:val="auto"/>
              </w:rPr>
            </w:pPr>
          </w:p>
        </w:tc>
      </w:tr>
      <w:tr>
        <w:trPr>
          <w:trHeight w:val="177"/>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part or all of the net proceeds of this offering to repay our</w:t>
            </w:r>
          </w:p>
        </w:tc>
        <w:tc>
          <w:tcPr>
            <w:tcW w:w="760" w:type="dxa"/>
            <w:vAlign w:val="bottom"/>
          </w:tcPr>
          <w:p>
            <w:pPr>
              <w:spacing w:after="0"/>
              <w:rPr>
                <w:sz w:val="15"/>
                <w:szCs w:val="15"/>
                <w:color w:val="auto"/>
              </w:rPr>
            </w:pPr>
          </w:p>
        </w:tc>
      </w:tr>
      <w:tr>
        <w:trPr>
          <w:trHeight w:val="177"/>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commercial paper obligations from time to time. To the extent any</w:t>
            </w:r>
          </w:p>
        </w:tc>
        <w:tc>
          <w:tcPr>
            <w:tcW w:w="760" w:type="dxa"/>
            <w:vAlign w:val="bottom"/>
          </w:tcPr>
          <w:p>
            <w:pPr>
              <w:spacing w:after="0"/>
              <w:rPr>
                <w:sz w:val="15"/>
                <w:szCs w:val="15"/>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Manager or its affiliate receives more than 5% of the net proceeds</w:t>
            </w:r>
          </w:p>
        </w:tc>
        <w:tc>
          <w:tcPr>
            <w:tcW w:w="760" w:type="dxa"/>
            <w:vAlign w:val="bottom"/>
          </w:tcPr>
          <w:p>
            <w:pPr>
              <w:spacing w:after="0"/>
              <w:rPr>
                <w:sz w:val="14"/>
                <w:szCs w:val="14"/>
                <w:color w:val="auto"/>
              </w:rPr>
            </w:pPr>
          </w:p>
        </w:tc>
      </w:tr>
      <w:tr>
        <w:trPr>
          <w:trHeight w:val="177"/>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of this offering, not including commissions, such Manager or its</w:t>
            </w:r>
          </w:p>
        </w:tc>
        <w:tc>
          <w:tcPr>
            <w:tcW w:w="760" w:type="dxa"/>
            <w:vAlign w:val="bottom"/>
          </w:tcPr>
          <w:p>
            <w:pPr>
              <w:spacing w:after="0"/>
              <w:rPr>
                <w:sz w:val="15"/>
                <w:szCs w:val="15"/>
                <w:color w:val="auto"/>
              </w:rPr>
            </w:pPr>
          </w:p>
        </w:tc>
      </w:tr>
      <w:tr>
        <w:trPr>
          <w:trHeight w:val="177"/>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affiliate would be deemed to have a conflict of interest under</w:t>
            </w:r>
          </w:p>
        </w:tc>
        <w:tc>
          <w:tcPr>
            <w:tcW w:w="760" w:type="dxa"/>
            <w:vAlign w:val="bottom"/>
          </w:tcPr>
          <w:p>
            <w:pPr>
              <w:spacing w:after="0"/>
              <w:rPr>
                <w:sz w:val="15"/>
                <w:szCs w:val="15"/>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480" w:type="dxa"/>
            <w:vAlign w:val="bottom"/>
          </w:tcPr>
          <w:p>
            <w:pPr>
              <w:spacing w:after="0"/>
              <w:rPr>
                <w:sz w:val="14"/>
                <w:szCs w:val="14"/>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FINRA Rule 5121 and would be required to conduct the distribution</w:t>
            </w:r>
          </w:p>
        </w:tc>
        <w:tc>
          <w:tcPr>
            <w:tcW w:w="760" w:type="dxa"/>
            <w:vAlign w:val="bottom"/>
          </w:tcPr>
          <w:p>
            <w:pPr>
              <w:spacing w:after="0"/>
              <w:rPr>
                <w:sz w:val="14"/>
                <w:szCs w:val="14"/>
                <w:color w:val="auto"/>
              </w:rPr>
            </w:pPr>
          </w:p>
        </w:tc>
      </w:tr>
      <w:tr>
        <w:trPr>
          <w:trHeight w:val="177"/>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of shares of our common stock in accordance with FINRA</w:t>
            </w:r>
          </w:p>
        </w:tc>
        <w:tc>
          <w:tcPr>
            <w:tcW w:w="760" w:type="dxa"/>
            <w:vAlign w:val="bottom"/>
          </w:tcPr>
          <w:p>
            <w:pPr>
              <w:spacing w:after="0"/>
              <w:rPr>
                <w:sz w:val="15"/>
                <w:szCs w:val="15"/>
                <w:color w:val="auto"/>
              </w:rPr>
            </w:pPr>
          </w:p>
        </w:tc>
      </w:tr>
      <w:tr>
        <w:trPr>
          <w:trHeight w:val="181"/>
        </w:trPr>
        <w:tc>
          <w:tcPr>
            <w:tcW w:w="820" w:type="dxa"/>
            <w:vAlign w:val="bottom"/>
            <w:tcBorders>
              <w:right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41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Rule 5121.</w:t>
            </w:r>
          </w:p>
        </w:tc>
        <w:tc>
          <w:tcPr>
            <w:tcW w:w="760" w:type="dxa"/>
            <w:vAlign w:val="bottom"/>
          </w:tcPr>
          <w:p>
            <w:pPr>
              <w:spacing w:after="0"/>
              <w:rPr>
                <w:sz w:val="15"/>
                <w:szCs w:val="15"/>
                <w:color w:val="auto"/>
              </w:rPr>
            </w:pPr>
          </w:p>
        </w:tc>
      </w:tr>
      <w:tr>
        <w:trPr>
          <w:trHeight w:val="306"/>
        </w:trPr>
        <w:tc>
          <w:tcPr>
            <w:tcW w:w="820" w:type="dxa"/>
            <w:vAlign w:val="bottom"/>
            <w:tcBorders>
              <w:right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24"/>
        </w:trPr>
        <w:tc>
          <w:tcPr>
            <w:tcW w:w="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S-3</w:t>
            </w:r>
          </w:p>
        </w:tc>
        <w:tc>
          <w:tcPr>
            <w:tcW w:w="760" w:type="dxa"/>
            <w:vAlign w:val="bottom"/>
          </w:tcPr>
          <w:p>
            <w:pPr>
              <w:spacing w:after="0"/>
              <w:rPr>
                <w:sz w:val="19"/>
                <w:szCs w:val="19"/>
                <w:color w:val="auto"/>
              </w:rPr>
            </w:pPr>
          </w:p>
        </w:tc>
      </w:tr>
      <w:tr>
        <w:trPr>
          <w:trHeight w:val="312"/>
        </w:trPr>
        <w:tc>
          <w:tcPr>
            <w:tcW w:w="8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If the offering is conducted in accordance with FINRA Rule 5121,</w:t>
      </w:r>
    </w:p>
    <w:p>
      <w:pPr>
        <w:spacing w:after="0" w:line="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such Forward Seller, Manager or affiliate would not be permitted to</w:t>
      </w:r>
    </w:p>
    <w:p>
      <w:pPr>
        <w:spacing w:after="0" w:line="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confirm a sale to an account over which it exercises discretionary</w:t>
      </w:r>
    </w:p>
    <w:p>
      <w:pPr>
        <w:spacing w:after="0" w:line="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authority without first receiving specific written approval from the</w:t>
      </w:r>
    </w:p>
    <w:p>
      <w:pPr>
        <w:spacing w:after="0" w:line="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account holder.</w:t>
      </w:r>
    </w:p>
    <w:p>
      <w:pPr>
        <w:spacing w:after="0" w:line="10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See “Plan of Distribution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0" w:lineRule="exact"/>
        <w:rPr>
          <w:sz w:val="20"/>
          <w:szCs w:val="20"/>
          <w:color w:val="auto"/>
        </w:rPr>
      </w:pPr>
    </w:p>
    <w:p>
      <w:pPr>
        <w:ind w:left="1340" w:right="1439" w:firstLine="277"/>
        <w:spacing w:after="0" w:line="242" w:lineRule="auto"/>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auto"/>
        </w:rPr>
        <w:t xml:space="preserve">You should consider carefully the risk factors identified in Part I, Item 1A “Risk Factors” of our </w:t>
      </w:r>
      <w:hyperlink r:id="rId38">
        <w:r>
          <w:rPr>
            <w:rFonts w:ascii="Times New Roman" w:cs="Times New Roman" w:eastAsia="Times New Roman" w:hAnsi="Times New Roman"/>
            <w:sz w:val="14"/>
            <w:szCs w:val="14"/>
            <w:i w:val="1"/>
            <w:iCs w:val="1"/>
            <w:u w:val="single" w:color="auto"/>
            <w:color w:val="0000EE"/>
          </w:rPr>
          <w:t>Annual Report on Form 10-K for the fiscal year ended December 31, 2025 (“2025 Form 10-K”)</w:t>
        </w:r>
      </w:hyperlink>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the</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 xml:space="preserve">following information about risks, as well as risks arising from any legal proceedings identified or referenced in “Legal Proceedings” in Part 1, Item 3 of our 2025 Form 10- K and in Part II, Item 1 of our </w:t>
      </w:r>
      <w:hyperlink r:id="rId39">
        <w:r>
          <w:rPr>
            <w:rFonts w:ascii="Times New Roman" w:cs="Times New Roman" w:eastAsia="Times New Roman" w:hAnsi="Times New Roman"/>
            <w:sz w:val="14"/>
            <w:szCs w:val="14"/>
            <w:i w:val="1"/>
            <w:iCs w:val="1"/>
            <w:u w:val="single" w:color="auto"/>
            <w:color w:val="0000EE"/>
          </w:rPr>
          <w:t>Quarterly Report on Form 10-Q for the quarter ended March 31, 2026</w:t>
        </w:r>
      </w:hyperlink>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as they may be amended,</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supplemented or superseded from time to time by other reports that we subsequently file with the Securities and Exchange Commission (the “SEC”), together with the other information contained or incorporated by reference in this prospectus supplement and the accompanying prospectus, before making an investment in our common stock.</w:t>
      </w:r>
    </w:p>
    <w:p>
      <w:pPr>
        <w:spacing w:after="0" w:line="2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Related to the Offering</w:t>
      </w:r>
    </w:p>
    <w:p>
      <w:pPr>
        <w:spacing w:after="0" w:line="171" w:lineRule="exact"/>
        <w:rPr>
          <w:sz w:val="20"/>
          <w:szCs w:val="20"/>
          <w:color w:val="auto"/>
        </w:rPr>
      </w:pPr>
    </w:p>
    <w:p>
      <w:pPr>
        <w:ind w:left="1340" w:right="14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issuance of shares of common stock under the equity distribution agreement and any forward sale agreement may be dilutive.</w:t>
      </w:r>
    </w:p>
    <w:p>
      <w:pPr>
        <w:spacing w:after="0" w:line="72" w:lineRule="exact"/>
        <w:rPr>
          <w:sz w:val="20"/>
          <w:szCs w:val="20"/>
          <w:color w:val="auto"/>
        </w:rPr>
      </w:pPr>
    </w:p>
    <w:p>
      <w:pPr>
        <w:ind w:left="1340" w:right="1459" w:firstLine="277"/>
        <w:spacing w:after="0" w:line="247" w:lineRule="auto"/>
        <w:rPr>
          <w:sz w:val="20"/>
          <w:szCs w:val="20"/>
          <w:color w:val="auto"/>
        </w:rPr>
      </w:pPr>
      <w:r>
        <w:rPr>
          <w:rFonts w:ascii="Times New Roman" w:cs="Times New Roman" w:eastAsia="Times New Roman" w:hAnsi="Times New Roman"/>
          <w:sz w:val="14"/>
          <w:szCs w:val="14"/>
          <w:color w:val="auto"/>
        </w:rPr>
        <w:t>The issuance of shares of common stock in this offering, as well as any shares issued by us in connection with a physical or net share settlement in respect of a forward sale agreement, the receipt of the expected net proceeds and the use of those proceeds may have a dilutive effect on our expected net income available to common shareholders per share. The actual amount of dilution cannot be determined at this time and will be based on numerous factors.</w:t>
      </w:r>
    </w:p>
    <w:p>
      <w:pPr>
        <w:spacing w:after="0" w:line="125" w:lineRule="exact"/>
        <w:rPr>
          <w:sz w:val="20"/>
          <w:szCs w:val="20"/>
          <w:color w:val="auto"/>
        </w:rPr>
      </w:pPr>
    </w:p>
    <w:p>
      <w:pPr>
        <w:ind w:left="1340" w:right="153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Shares of our common stock offered under this prospectus supplement and the accompanying prospectus may be sold in “at-the-market” offerings, and investors who buy shares at different times will likely pay different prices.</w:t>
      </w:r>
    </w:p>
    <w:p>
      <w:pPr>
        <w:spacing w:after="0" w:line="49"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Investors who purchase shares under this prospectus supplement and the accompanying prospectus at different times will likely pay different prices, and so may experience different outcomes in their investment results. We will have discretion, subject to market demand, to vary the timing, prices, and numbers of shares of our common stock sold, and there is no minimum or maximum sales price. Investors may experience declines in the value of their shares if they subsequently sell the shares at prices lower than the prices they paid.</w:t>
      </w:r>
    </w:p>
    <w:p>
      <w:pPr>
        <w:spacing w:after="0" w:line="291" w:lineRule="exact"/>
        <w:rPr>
          <w:sz w:val="20"/>
          <w:szCs w:val="20"/>
          <w:color w:val="auto"/>
        </w:rPr>
      </w:pPr>
    </w:p>
    <w:p>
      <w:pPr>
        <w:ind w:left="1340" w:right="1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actual number of shares of our common stock we will issue under the equity distribution agreement and any forward sale agreement, at any one time or in total, is uncertain.</w:t>
      </w:r>
    </w:p>
    <w:p>
      <w:pPr>
        <w:spacing w:after="0" w:line="61"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Subject to certain limitations in the equity distribution agreement and compliance with applicable law, we have the discretion to deliver a transaction confirmation to a Manager or a forward placement notice to a Forward Purchaser and a Forward Seller at any time throughout the term of the equity distribution agreement. The number of shares of our common stock that are sold by the Managers after delivering a transaction confirmation or the Forward Sellers after receiving a forward placement notice will fluctuate based on the market price of shares of our common stock during the sales period and limits we set with the Managers, the Forward Purchasers and the Forward Sellers. Because the price per share of each share of our common stock sold will fluctuate based on the market price of our common stock during the sales period, it is not possible at this time to predict the number of shares of our common stock that will ultimately be issued.</w:t>
      </w:r>
    </w:p>
    <w:p>
      <w:pPr>
        <w:spacing w:after="0" w:line="294" w:lineRule="exact"/>
        <w:rPr>
          <w:sz w:val="20"/>
          <w:szCs w:val="20"/>
          <w:color w:val="auto"/>
        </w:rPr>
      </w:pPr>
    </w:p>
    <w:p>
      <w:pPr>
        <w:ind w:left="1340" w:right="175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will have broad discretion over the use of the net offering proceeds from any sales made under this equity offering program and may not use the proceeds effectively.</w:t>
      </w:r>
    </w:p>
    <w:p>
      <w:pPr>
        <w:spacing w:after="0" w:line="72" w:lineRule="exact"/>
        <w:rPr>
          <w:sz w:val="20"/>
          <w:szCs w:val="20"/>
          <w:color w:val="auto"/>
        </w:rPr>
      </w:pPr>
    </w:p>
    <w:p>
      <w:pPr>
        <w:ind w:left="1340" w:right="1359" w:firstLine="277"/>
        <w:spacing w:after="0" w:line="247" w:lineRule="auto"/>
        <w:rPr>
          <w:sz w:val="20"/>
          <w:szCs w:val="20"/>
          <w:color w:val="auto"/>
        </w:rPr>
      </w:pPr>
      <w:r>
        <w:rPr>
          <w:rFonts w:ascii="Times New Roman" w:cs="Times New Roman" w:eastAsia="Times New Roman" w:hAnsi="Times New Roman"/>
          <w:sz w:val="14"/>
          <w:szCs w:val="14"/>
          <w:color w:val="auto"/>
        </w:rPr>
        <w:t>Our management will have broad discretion as to the application of the net proceeds from any sales of shares of our common stock made under this equity offering program and could spend the proceeds in a variety of ways with which you may not agree or that may ultimately fail to improve our operating results or enhance the value of shares of our common stock. Our failure to apply these funds effectively could have a negative effect on our business and cause the price of shares of our common stock to decline.</w:t>
      </w:r>
    </w:p>
    <w:p>
      <w:pPr>
        <w:spacing w:after="0" w:line="1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pay dividends on our common stock may be limited.</w:t>
      </w:r>
    </w:p>
    <w:p>
      <w:pPr>
        <w:spacing w:after="0" w:line="122"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Our payment of dividends on our common stock in the future will be determined by our board of directors (or an authorized committee thereof) in its sole discretion and will depend on business conditions,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759"/>
        <w:spacing w:after="0" w:line="278" w:lineRule="auto"/>
        <w:rPr>
          <w:sz w:val="20"/>
          <w:szCs w:val="20"/>
          <w:color w:val="auto"/>
        </w:rPr>
      </w:pPr>
      <w:r>
        <w:rPr>
          <w:rFonts w:ascii="Times New Roman" w:cs="Times New Roman" w:eastAsia="Times New Roman" w:hAnsi="Times New Roman"/>
          <w:sz w:val="14"/>
          <w:szCs w:val="14"/>
          <w:color w:val="auto"/>
        </w:rPr>
        <w:t>our financial condition and results of operations, future business prospects, any applicable contractual restrictions and other factors that our board of directors considers relevant.</w:t>
      </w:r>
    </w:p>
    <w:p>
      <w:pPr>
        <w:spacing w:after="0" w:line="63"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The agreements governing any existing or future indebtedness of ours may limit our ability to pay cash dividends on our capital stock, including our common stock. In the event that the agreements governing any such indebtedness restrict our ability to pay dividends in cash on our common stock, we may be unable to pay dividends in cash on our common stock unless we can refinance the amounts outstanding under such agreements. In addition, we have the right to defer interest payments on our outstanding junior subordinated notes. Should we exercise this right, we cannot declare or pay dividends on any of our capital stock during the deferral period.</w:t>
      </w:r>
    </w:p>
    <w:p>
      <w:pPr>
        <w:spacing w:after="0" w:line="90"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Under Texas law, our board of directors (or an authorized committee thereof) may authorize a dividend, and we may make a dividend, so long as (i) the dividend does not violate our certificate of formation,</w:t>
      </w:r>
    </w:p>
    <w:p>
      <w:pPr>
        <w:ind w:left="1340" w:right="1359" w:firstLine="6"/>
        <w:spacing w:after="0" w:line="239" w:lineRule="auto"/>
        <w:tabs>
          <w:tab w:leader="none" w:pos="155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insolvent after the dividend and (iii) the dividend does not exceed our surplus (the amount by which our net assets exceed our stated capital). Further, even if we are permitted under our contractual obligations and Texas law to pay cash dividends on our capital stock, we may not have sufficient cash to pay dividends in cash on our common stock.</w:t>
      </w:r>
    </w:p>
    <w:p>
      <w:pPr>
        <w:spacing w:after="0" w:line="141" w:lineRule="exact"/>
        <w:rPr>
          <w:sz w:val="20"/>
          <w:szCs w:val="20"/>
          <w:color w:val="auto"/>
        </w:rPr>
      </w:pPr>
    </w:p>
    <w:p>
      <w:pPr>
        <w:ind w:left="1340" w:right="167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Future sales or issuances of shares of our common stock could cause the market price of our common stock to decline.</w:t>
      </w:r>
    </w:p>
    <w:p>
      <w:pPr>
        <w:spacing w:after="0" w:line="72"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We are not restricted from issuing additional securities in the future, including common stock, securities that are convertible into or exchangeable for, or that represent the right to receive, shares of common stock or any substantially similar securities. The market price of our common stock could decline as a result of issuances or sales of a large number of shares of our common stock in the market or the perception that such issuances or sales could occur. Additionally, future issuances or sales of a large number of shares of our common stock may be at prices below the offering price of the shares of common stock offered by this prospectus supplement and may adversely impact the market price of our common stock.</w:t>
      </w:r>
    </w:p>
    <w:p>
      <w:pPr>
        <w:spacing w:after="0" w:line="90" w:lineRule="exact"/>
        <w:rPr>
          <w:sz w:val="20"/>
          <w:szCs w:val="20"/>
          <w:color w:val="auto"/>
        </w:rPr>
      </w:pPr>
    </w:p>
    <w:p>
      <w:pPr>
        <w:ind w:left="1340" w:right="1359" w:firstLine="277"/>
        <w:spacing w:after="0" w:line="242" w:lineRule="auto"/>
        <w:rPr>
          <w:sz w:val="20"/>
          <w:szCs w:val="20"/>
          <w:color w:val="auto"/>
        </w:rPr>
      </w:pPr>
      <w:r>
        <w:rPr>
          <w:rFonts w:ascii="Times New Roman" w:cs="Times New Roman" w:eastAsia="Times New Roman" w:hAnsi="Times New Roman"/>
          <w:sz w:val="14"/>
          <w:szCs w:val="14"/>
          <w:color w:val="auto"/>
        </w:rPr>
        <w:t>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In addition, shares of our common stock issued pursuant to our equity incentive plans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w:t>
      </w:r>
    </w:p>
    <w:p>
      <w:pPr>
        <w:spacing w:after="0" w:line="90"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Sales of substantial amounts of our common stock, or the perception that such sales could occur, by large shareholders or otherwise, could cause the market price of our common stock to decrease significantly. We cannot predict the effect, if any, of future sales of our common stock, or the availability of our common stock for future sales, on the market price of our common stock.</w:t>
      </w:r>
    </w:p>
    <w:p>
      <w:pPr>
        <w:spacing w:after="0" w:line="135" w:lineRule="exact"/>
        <w:rPr>
          <w:sz w:val="20"/>
          <w:szCs w:val="20"/>
          <w:color w:val="auto"/>
        </w:rPr>
      </w:pPr>
    </w:p>
    <w:p>
      <w:pPr>
        <w:ind w:left="1340" w:right="13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 or may decline and it may be difficult for you to resell shares of our common stock at prices you find attractive.</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market price of our common stock has historically experienced and may continue to experience</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volatility. For example, during the twelve months ended March 31, 2026, the high sales price per share of</w:t>
      </w:r>
    </w:p>
    <w:p>
      <w:pPr>
        <w:ind w:left="1340"/>
        <w:spacing w:after="0" w:line="232" w:lineRule="auto"/>
        <w:rPr>
          <w:sz w:val="20"/>
          <w:szCs w:val="20"/>
          <w:color w:val="auto"/>
        </w:rPr>
      </w:pPr>
      <w:r>
        <w:rPr>
          <w:rFonts w:ascii="Times New Roman" w:cs="Times New Roman" w:eastAsia="Times New Roman" w:hAnsi="Times New Roman"/>
          <w:sz w:val="14"/>
          <w:szCs w:val="14"/>
          <w:color w:val="auto"/>
        </w:rPr>
        <w:t>our common stock on the New York Stock Exchange was $44.39 and the low sales price per share was</w:t>
      </w:r>
    </w:p>
    <w:p>
      <w:pPr>
        <w:ind w:left="1340"/>
        <w:spacing w:after="0"/>
        <w:rPr>
          <w:sz w:val="20"/>
          <w:szCs w:val="20"/>
          <w:color w:val="auto"/>
        </w:rPr>
      </w:pPr>
      <w:r>
        <w:rPr>
          <w:rFonts w:ascii="Times New Roman" w:cs="Times New Roman" w:eastAsia="Times New Roman" w:hAnsi="Times New Roman"/>
          <w:sz w:val="14"/>
          <w:szCs w:val="14"/>
          <w:color w:val="auto"/>
        </w:rPr>
        <w:t>$34.72. The price of our common stock could be subject to wide fluctuations in the future in response to the</w:t>
      </w:r>
    </w:p>
    <w:p>
      <w:pPr>
        <w:ind w:left="1340"/>
        <w:spacing w:after="0"/>
        <w:rPr>
          <w:sz w:val="20"/>
          <w:szCs w:val="20"/>
          <w:color w:val="auto"/>
        </w:rPr>
      </w:pPr>
      <w:r>
        <w:rPr>
          <w:rFonts w:ascii="Times New Roman" w:cs="Times New Roman" w:eastAsia="Times New Roman" w:hAnsi="Times New Roman"/>
          <w:sz w:val="14"/>
          <w:szCs w:val="14"/>
          <w:color w:val="auto"/>
        </w:rPr>
        <w:t>events and factors set forth in “Cautionary Statement Regarding Forward-Looking Information” of this</w:t>
      </w:r>
    </w:p>
    <w:p>
      <w:pPr>
        <w:ind w:left="1340"/>
        <w:spacing w:after="0"/>
        <w:rPr>
          <w:sz w:val="20"/>
          <w:szCs w:val="20"/>
          <w:color w:val="auto"/>
        </w:rPr>
      </w:pPr>
      <w:r>
        <w:rPr>
          <w:rFonts w:ascii="Times New Roman" w:cs="Times New Roman" w:eastAsia="Times New Roman" w:hAnsi="Times New Roman"/>
          <w:sz w:val="14"/>
          <w:szCs w:val="14"/>
          <w:color w:val="auto"/>
        </w:rPr>
        <w:t>prospectus supplement.</w:t>
      </w:r>
    </w:p>
    <w:p>
      <w:pPr>
        <w:spacing w:after="0" w:line="93" w:lineRule="exact"/>
        <w:rPr>
          <w:sz w:val="20"/>
          <w:szCs w:val="20"/>
          <w:color w:val="auto"/>
        </w:rPr>
      </w:pPr>
    </w:p>
    <w:p>
      <w:pPr>
        <w:ind w:left="1340" w:right="1619" w:firstLine="277"/>
        <w:spacing w:after="0" w:line="255" w:lineRule="auto"/>
        <w:rPr>
          <w:sz w:val="20"/>
          <w:szCs w:val="20"/>
          <w:color w:val="auto"/>
        </w:rPr>
      </w:pPr>
      <w:r>
        <w:rPr>
          <w:rFonts w:ascii="Times New Roman" w:cs="Times New Roman" w:eastAsia="Times New Roman" w:hAnsi="Times New Roman"/>
          <w:sz w:val="14"/>
          <w:szCs w:val="14"/>
          <w:color w:val="auto"/>
        </w:rPr>
        <w:t>Other risks described elsewhere under “Risk Factors” in this prospectus supplement and the accompanying prospectus and in the documents incorporated by reference in this prospectus supplement also could materially and adversely affect the price of our common stock.</w:t>
      </w:r>
    </w:p>
    <w:p>
      <w:pPr>
        <w:spacing w:after="0" w:line="119" w:lineRule="exact"/>
        <w:rPr>
          <w:sz w:val="20"/>
          <w:szCs w:val="20"/>
          <w:color w:val="auto"/>
        </w:rPr>
      </w:pPr>
    </w:p>
    <w:p>
      <w:pPr>
        <w:ind w:left="1340" w:right="17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organizational documents and under Texas law may impede or discourage a takeover, which could cause the market price of our common stock to decline.</w:t>
      </w:r>
    </w:p>
    <w:p>
      <w:pPr>
        <w:spacing w:after="0" w:line="51" w:lineRule="exact"/>
        <w:rPr>
          <w:sz w:val="20"/>
          <w:szCs w:val="20"/>
          <w:color w:val="auto"/>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We are a Texas corporation, and the anti-takeover provisions of Texas law impose various impediments to the ability of a third party to acquire control of us, even if a change in control would be beneficial to our</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60" w:lineRule="auto"/>
        <w:rPr>
          <w:sz w:val="20"/>
          <w:szCs w:val="20"/>
          <w:color w:val="auto"/>
        </w:rPr>
      </w:pPr>
      <w:r>
        <w:rPr>
          <w:rFonts w:ascii="Times New Roman" w:cs="Times New Roman" w:eastAsia="Times New Roman" w:hAnsi="Times New Roman"/>
          <w:sz w:val="14"/>
          <w:szCs w:val="14"/>
          <w:color w:val="auto"/>
        </w:rPr>
        <w:t>existing shareholders, which, under certain circumstances, could reduce the market price of our common stock. In addition, protective provisions in our certificate of formation and our bylaws or the implementation by our board of directors of a shareholder rights plan could prevent a takeover, which could harm our shareholders.</w:t>
      </w:r>
    </w:p>
    <w:p>
      <w:pPr>
        <w:spacing w:after="0" w:line="306" w:lineRule="exact"/>
        <w:rPr>
          <w:sz w:val="20"/>
          <w:szCs w:val="20"/>
          <w:color w:val="auto"/>
        </w:rPr>
      </w:pPr>
    </w:p>
    <w:p>
      <w:pPr>
        <w:ind w:left="1340" w:right="15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Any future issuance of preferred stock, or the conversion of our outstanding convertible notes or the settlement of our outstanding forward sale agreements, may cause the price of our common stock to decline, which may negatively impact your investment.</w:t>
      </w:r>
    </w:p>
    <w:p>
      <w:pPr>
        <w:spacing w:after="0" w:line="84"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Our board of directors is authorized to issue series of shares of preferred stock without any action on the part of the holders of our common stock. Our board of directors also has the power, without the approval of the holders of our common stock, to set the terms of any such series of shares of preferred stock that may be issued, including the designations, preferences, limitations and relative rights, voting, redemption and other rights over our common stock with respect to dividends or if we liquidate, dissolve or wind up our affairs and other terms. Any preferred stock we may issue in the future will rank senior to all of our common stock with respect to the payment of dividends or upon our liquidation, dissolution or winding up of our affairs. If we issue preferred stock in the future that has preference over common stock with respect to the payment of dividends or upon our liquidation, dissolution or winding up of our affairs, or if we issue preferred stock with voting rights that dilute the voting power of our common stock, the market price of our common stock could decrease, which may negatively impact your investment.</w:t>
      </w:r>
    </w:p>
    <w:p>
      <w:pPr>
        <w:spacing w:after="0" w:line="98" w:lineRule="exact"/>
        <w:rPr>
          <w:sz w:val="20"/>
          <w:szCs w:val="20"/>
          <w:color w:val="auto"/>
        </w:rPr>
      </w:pPr>
    </w:p>
    <w:p>
      <w:pPr>
        <w:ind w:left="1340" w:right="1459" w:firstLine="277"/>
        <w:spacing w:after="0" w:line="259" w:lineRule="auto"/>
        <w:rPr>
          <w:sz w:val="20"/>
          <w:szCs w:val="20"/>
          <w:color w:val="auto"/>
        </w:rPr>
      </w:pPr>
      <w:r>
        <w:rPr>
          <w:rFonts w:ascii="Times New Roman" w:cs="Times New Roman" w:eastAsia="Times New Roman" w:hAnsi="Times New Roman"/>
          <w:sz w:val="14"/>
          <w:szCs w:val="14"/>
          <w:color w:val="auto"/>
        </w:rPr>
        <w:t>In addition, a number of shares of our common stock are reserved for issuance upon conversion of our outstanding 4.25% Convertible Senior Notes due 2026, 3.00% Convertible Senior Notes due 2028 and</w:t>
      </w:r>
    </w:p>
    <w:p>
      <w:pPr>
        <w:ind w:left="1340" w:right="1459"/>
        <w:spacing w:after="0" w:line="249" w:lineRule="auto"/>
        <w:rPr>
          <w:sz w:val="20"/>
          <w:szCs w:val="20"/>
          <w:color w:val="auto"/>
        </w:rPr>
      </w:pPr>
      <w:r>
        <w:rPr>
          <w:rFonts w:ascii="Times New Roman" w:cs="Times New Roman" w:eastAsia="Times New Roman" w:hAnsi="Times New Roman"/>
          <w:sz w:val="14"/>
          <w:szCs w:val="14"/>
          <w:color w:val="auto"/>
        </w:rPr>
        <w:t>2.875% Convertible Senior Notes due 2029 (collectively, the “convertible notes”) and the settlement of forward sale agreements entered into in May 2025 with a maturity date of February 25, 2027. The conversion of some or all of the convertible notes could dilute the ownership interests of existing shareholders, unless we satisfy any such conversions solely with cash, and conversions of the convertible notes into shares of our common stock, or the perception that such conversions may occur, could adversely affect the trading price of our common stock.</w:t>
      </w:r>
    </w:p>
    <w:p>
      <w:pPr>
        <w:spacing w:after="0" w:line="144" w:lineRule="exact"/>
        <w:rPr>
          <w:sz w:val="20"/>
          <w:szCs w:val="20"/>
          <w:color w:val="auto"/>
        </w:rPr>
      </w:pPr>
    </w:p>
    <w:p>
      <w:pPr>
        <w:ind w:left="1340" w:right="1639"/>
        <w:spacing w:after="0" w:line="321" w:lineRule="auto"/>
        <w:rPr>
          <w:sz w:val="20"/>
          <w:szCs w:val="20"/>
          <w:color w:val="auto"/>
        </w:rPr>
      </w:pPr>
      <w:r>
        <w:rPr>
          <w:rFonts w:ascii="Times New Roman" w:cs="Times New Roman" w:eastAsia="Times New Roman" w:hAnsi="Times New Roman"/>
          <w:sz w:val="13"/>
          <w:szCs w:val="13"/>
          <w:b w:val="1"/>
          <w:bCs w:val="1"/>
          <w:i w:val="1"/>
          <w:iCs w:val="1"/>
          <w:color w:val="auto"/>
        </w:rPr>
        <w:t>Future offerings of debt securities, which would rank senior to our common stock upon our bankruptcy or liquidation, may cause the price of our common stock to decline, which may negatively impact your investment.</w:t>
      </w:r>
    </w:p>
    <w:p>
      <w:pPr>
        <w:spacing w:after="0" w:line="38"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In the future, we may attempt to increase our capital resources by making offerings of debt securities. Upon bankruptcy or liquidation, holders of our debt securities and lenders with respect to other borrowings will receive a distribution of our available assets prior to the holders of our common stock. Our decision to issue debt securities in any future offering will depend on market conditions and other factors that may be beyond our control. As a result, we cannot predict or estimate the amount, timing or nature of our future offerings, and purchasers of our common stock in this offering bear the risk of our future offerings of debt securities.</w:t>
      </w:r>
    </w:p>
    <w:p>
      <w:pPr>
        <w:spacing w:after="0" w:line="144" w:lineRule="exact"/>
        <w:rPr>
          <w:sz w:val="20"/>
          <w:szCs w:val="20"/>
          <w:color w:val="auto"/>
        </w:rPr>
      </w:pPr>
    </w:p>
    <w:p>
      <w:pPr>
        <w:ind w:left="1340" w:right="171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with no operations or operating assets of our own. As a result, we depend on distributions from our subsidiaries to meet our payment obligations and for the ability to pay dividends on our common stock, and provisions of applicable law or contractual restrictions could limit the amount of those distributions.</w:t>
      </w:r>
    </w:p>
    <w:p>
      <w:pPr>
        <w:spacing w:after="0" w:line="89" w:lineRule="exact"/>
        <w:rPr>
          <w:sz w:val="20"/>
          <w:szCs w:val="20"/>
          <w:color w:val="auto"/>
        </w:rPr>
      </w:pPr>
    </w:p>
    <w:p>
      <w:pPr>
        <w:ind w:left="1340" w:right="1419" w:firstLine="277"/>
        <w:spacing w:after="0" w:line="252" w:lineRule="auto"/>
        <w:rPr>
          <w:sz w:val="20"/>
          <w:szCs w:val="20"/>
          <w:color w:val="auto"/>
        </w:rPr>
      </w:pPr>
      <w:r>
        <w:rPr>
          <w:rFonts w:ascii="Times New Roman" w:cs="Times New Roman" w:eastAsia="Times New Roman" w:hAnsi="Times New Roman"/>
          <w:sz w:val="14"/>
          <w:szCs w:val="14"/>
          <w:color w:val="auto"/>
        </w:rPr>
        <w:t>We derive all of our operating income from, and hold all of our assets through, our subsidiaries. As a result, we depend on distributions from our subsidiaries to meet our payment obligations and for our ability to declare and pay dividends on our common stock.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distributions.</w:t>
      </w:r>
    </w:p>
    <w:p>
      <w:pPr>
        <w:spacing w:after="0" w:line="95"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Our right to receive any assets of any subsidiary, and therefore the right of our holders of our common stock to participate in those assets, will be structurally subordinated to the claims of that subsidiary’s creditors, including trade creditors. In addition, even if we were a creditor of any subsidiary, our rights as a</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59"/>
        <w:spacing w:after="0" w:line="278" w:lineRule="auto"/>
        <w:rPr>
          <w:sz w:val="20"/>
          <w:szCs w:val="20"/>
          <w:color w:val="auto"/>
        </w:rPr>
      </w:pPr>
      <w:r>
        <w:rPr>
          <w:rFonts w:ascii="Times New Roman" w:cs="Times New Roman" w:eastAsia="Times New Roman" w:hAnsi="Times New Roman"/>
          <w:sz w:val="14"/>
          <w:szCs w:val="14"/>
          <w:color w:val="auto"/>
        </w:rPr>
        <w:t>creditor would be effectively subordinated to any security interest in the assets of that subsidiary and any indebtedness of the subsidiary senior to that held by us.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Relating to the Forward Transactions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Provisions contained in a forward sale agreement could result in cash payment obligations.</w:t>
      </w:r>
    </w:p>
    <w:p>
      <w:pPr>
        <w:spacing w:after="0" w:line="122" w:lineRule="exact"/>
        <w:rPr>
          <w:sz w:val="20"/>
          <w:szCs w:val="20"/>
          <w:color w:val="auto"/>
        </w:rPr>
      </w:pPr>
    </w:p>
    <w:p>
      <w:pPr>
        <w:ind w:left="1340" w:right="1359" w:firstLine="277"/>
        <w:spacing w:after="0" w:line="257" w:lineRule="auto"/>
        <w:rPr>
          <w:sz w:val="20"/>
          <w:szCs w:val="20"/>
          <w:color w:val="auto"/>
        </w:rPr>
      </w:pPr>
      <w:r>
        <w:rPr>
          <w:rFonts w:ascii="Times New Roman" w:cs="Times New Roman" w:eastAsia="Times New Roman" w:hAnsi="Times New Roman"/>
          <w:sz w:val="14"/>
          <w:szCs w:val="14"/>
          <w:color w:val="auto"/>
        </w:rPr>
        <w:t>If we enter into one or more forward sale agreements, the relevant Forward Purchaser will have the right to accelerate its forward sale agreement (with respect to all or any portion of the transaction under such forward sale agreement that the Forward Purchaser determines is affected by an event described below) and require us to physically settle on a date specified by such Forward Purchaser if:</w:t>
      </w:r>
    </w:p>
    <w:p>
      <w:pPr>
        <w:spacing w:after="0" w:line="58" w:lineRule="exact"/>
        <w:rPr>
          <w:sz w:val="20"/>
          <w:szCs w:val="20"/>
          <w:color w:val="auto"/>
        </w:rPr>
      </w:pPr>
    </w:p>
    <w:p>
      <w:pPr>
        <w:jc w:val="both"/>
        <w:ind w:left="1760" w:right="1539" w:hanging="137"/>
        <w:spacing w:after="0" w:line="255"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such Forward Purchaser’s good faith, commercially reasonable judgment, it or its affiliate (x) is unable to hedge its exposure under such forward sale agreement because an insufficient number of shares of our common stock have been made available for borrowing by securities lenders or</w:t>
      </w:r>
    </w:p>
    <w:p>
      <w:pPr>
        <w:ind w:left="1760" w:right="145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 would incur a stock loan cost in excess of a specified threshold to hedge its exposure under such forward sale agreement;</w:t>
      </w:r>
    </w:p>
    <w:p>
      <w:pPr>
        <w:spacing w:after="0" w:line="58" w:lineRule="exact"/>
        <w:rPr>
          <w:rFonts w:ascii="Times New Roman" w:cs="Times New Roman" w:eastAsia="Times New Roman" w:hAnsi="Times New Roman"/>
          <w:sz w:val="14"/>
          <w:szCs w:val="14"/>
          <w:color w:val="auto"/>
        </w:rPr>
      </w:pPr>
    </w:p>
    <w:p>
      <w:pPr>
        <w:ind w:left="1760" w:right="1479" w:hanging="137"/>
        <w:spacing w:after="0" w:line="255"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shares of our common stock (a) payable in cash in excess of specified amounts (unless it is an extraordinary dividend), (b) payable in securities of another company that we acquire or own (directly or indirectly) as a result of a spin-off or similar transaction, or (c) of any other type of securities (other than shares of our common stock), rights, warrants or other assets for payment at less than the prevailing market price;</w:t>
      </w:r>
    </w:p>
    <w:p>
      <w:pPr>
        <w:spacing w:after="0" w:line="58"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in shares of our common stock which are applicable to such Forward Purchaser and its associated persons are exceeded;</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57"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certain mergers or tender offers, as well as certain events involving our nationalization, or insolvency, or a delisting of shares of our common stock) or the occurrence of a change in law under such forward sale agreement; or</w:t>
      </w:r>
    </w:p>
    <w:p>
      <w:pPr>
        <w:spacing w:after="0" w:line="68" w:lineRule="exact"/>
        <w:rPr>
          <w:rFonts w:ascii="Times New Roman" w:cs="Times New Roman" w:eastAsia="Times New Roman" w:hAnsi="Times New Roman"/>
          <w:sz w:val="14"/>
          <w:szCs w:val="14"/>
          <w:color w:val="auto"/>
        </w:rPr>
      </w:pPr>
    </w:p>
    <w:p>
      <w:pPr>
        <w:jc w:val="both"/>
        <w:ind w:left="1760" w:right="1899" w:hanging="137"/>
        <w:spacing w:after="0" w:line="262"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occur, including, among others, any material misrepresentation made in connection with such forward sale agreement (each as more fully described in each forward sale agreement).</w:t>
      </w:r>
    </w:p>
    <w:p>
      <w:pPr>
        <w:spacing w:after="0" w:line="75"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A Forward Purchaser’s decision to exercise its right to accelerate the physical settlement of any forward sale agreement will be made irrespective of our interests, including our need for capital. In such cases, we could be required to issue and deliver shares of our common stock under the physical settlement provisions of the applicable forward sale agreement, irrespective of our capital needs.</w:t>
      </w:r>
    </w:p>
    <w:p>
      <w:pPr>
        <w:spacing w:after="0" w:line="9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We expect that settlement of any forward sale agreement will generally occur no later than the date specified in the particular forward sale agreement, which will be no earlier than two (2) months or later than eighteen (18) months following the trade date of that forward sale agreement. However, any forward sale agreement may be settled earlier than that specified date in whole or in part at our option. Subject to certain conditions, we have the right to elect physical, cash or net share settlement under each forward sale agreement. We intend to physically settle each forward sale agreement by delivery of shares of our common stock. However, we may elect to cash settle or net share settle such forward sale agreement. Delivery of shares of our common stock upon physical settlement (or, if we elect net share settlement of a particular forward sale agreement, upon such settlement to the extent we are obligated to deliver shares of our common stock) will result in dilution to our earnings per share and return on equity. If we elect cash settlement or net share settlement with respect to all or a portion of the number of shares of our common stock underlying a particular forward sale agreement, we expect the applicable Forward Purchaser (or an affiliate thereof) to purchase a number of shares of our common stock in secondary market transactions over an unwind period to:</w:t>
      </w:r>
    </w:p>
    <w:p>
      <w:pPr>
        <w:spacing w:after="0" w:line="230" w:lineRule="exact"/>
        <w:rPr>
          <w:sz w:val="20"/>
          <w:szCs w:val="20"/>
          <w:color w:val="auto"/>
        </w:rPr>
      </w:pPr>
    </w:p>
    <w:p>
      <w:pPr>
        <w:ind w:left="1760" w:right="1399" w:hanging="137"/>
        <w:spacing w:after="0" w:line="262" w:lineRule="auto"/>
        <w:tabs>
          <w:tab w:leader="none" w:pos="1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shares of our common stock to securities lenders in order to unwind such Forward Purchaser’s hedge (after taking into consideration any shares of our common stock to be delivered by us to such Forward Purchaser, in the case of net share settlement); and</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659" w:hanging="137"/>
        <w:spacing w:after="0" w:line="278" w:lineRule="auto"/>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shares of our common stock to us to the extent required in settlement of such forward sale agreement.</w:t>
      </w:r>
    </w:p>
    <w:p>
      <w:pPr>
        <w:spacing w:after="0" w:line="74"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The purchase of shares of our common stock in connection with a Forward Purchaser or its affiliate unwinding such Forward Purchaser’s hedge positions could cause the price of our common stock to increase over such time (or prevent a decrease over such time), thereby increasing the amount of cash we would owe to such Forward Purchaser (or decreasing the amount of cash that such Forward Purchaser would owe 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w:t>
      </w:r>
    </w:p>
    <w:p>
      <w:pPr>
        <w:spacing w:after="0" w:line="250"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The forward sale price that we expect to receive upon physical settlement of a particular forward sale agreement will be subject to adjustment on a daily basis based on a floating interest rate factor equal to the overnight bank rate less a spread and will be decreased based on amounts related to expected dividends on our common stock during the term of the applicable forward sale agreement. If the overnight bank rate is less than the spread for a particular forward sale agreement on any day, the interest factor will result in a daily reduction of the applicable forward sale price. If the volume-weighted average price at which a particular Forward Purchaser (or its affiliate) is able to purchase (or is deemed able to purchase) shares of our common stock during the applicable unwind period under a particular forward sale agreement is above the relevant forward sale price, in the case of cash settlement, we would pay the relevant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volume-weighted average price at which a particular Forward Purchaser (or its affiliate) is able to purchase (or is deemed able to purchase) shares of our common stock during the applicable unwind period under that particular forward sale agreement is below the relevant forward sale price, in the case of cash settlement, we would be paid the difference in cash by the relevant Forward Purchaser under that particular forward sale agreement or, in the case of net share settlement, we would receive from such Forward Purchaser a number of shares of our common stock having a value equal to the difference. See “Plan of Distribution (Conflicts of Interest)” in this prospectus supplement for information on the forward sale agreements.</w:t>
      </w:r>
    </w:p>
    <w:p>
      <w:pPr>
        <w:spacing w:after="0" w:line="295" w:lineRule="exact"/>
        <w:rPr>
          <w:sz w:val="20"/>
          <w:szCs w:val="20"/>
          <w:color w:val="auto"/>
        </w:rPr>
      </w:pPr>
    </w:p>
    <w:p>
      <w:pPr>
        <w:ind w:left="1340" w:right="1519"/>
        <w:spacing w:after="0" w:line="321" w:lineRule="auto"/>
        <w:rPr>
          <w:sz w:val="20"/>
          <w:szCs w:val="20"/>
          <w:color w:val="auto"/>
        </w:rPr>
      </w:pPr>
      <w:r>
        <w:rPr>
          <w:rFonts w:ascii="Times New Roman" w:cs="Times New Roman" w:eastAsia="Times New Roman" w:hAnsi="Times New Roman"/>
          <w:sz w:val="13"/>
          <w:szCs w:val="13"/>
          <w:b w:val="1"/>
          <w:bCs w:val="1"/>
          <w:i w:val="1"/>
          <w:iCs w:val="1"/>
          <w:color w:val="auto"/>
        </w:rPr>
        <w:t>In case of our bankruptcy or insolvency, any forward sale agreement that is in effect will automatically terminate, and we would not receive the expected proceeds from any forward sales of shares of our common stock.</w:t>
      </w:r>
    </w:p>
    <w:p>
      <w:pPr>
        <w:spacing w:after="0" w:line="38"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If we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forward sale agreement that is then in effect will automatically terminate. If any such forward sale agreement so terminates under these circumstances, we would not be obligated to deliver to the relevant Forward Purchaser any shares of our common stock not previously delivered, and the relevant Forward Purchaser would be discharged from its obligation to pay the applicable forward sale price per share in respect of any shares of our common stock not previously settled under the applicable forward sale agreement. Therefore, to the extent that there are any shares of our common stock with respect to which any forward sale agreement has not been settled at the time of the commencement of any such bankruptcy or insolvency proceedings, we would not receive the relevant forward sale price per share in respect of those shares of our common stock.</w:t>
      </w: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The Managers or their affiliates may receive benefits from sales under the sales distribution agreement.</w:t>
      </w:r>
    </w:p>
    <w:p>
      <w:pPr>
        <w:spacing w:after="0" w:line="122"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Certain of the Managers or their affiliates may in the future hold our commercial paper obligations, as disclosed under “Use of Proceeds” and “Plan of Distribution (Conflicts of Interest).” To the extent that we use a portion of the net proceeds of sales made pursuant to the equity distribution agreement to repay a portion of our commercial paper obligations, such affiliates will receive their proportionate share of any amount of our commercial paper obligations that is repaid with the net proceeds of this offering.</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In addition, if we enter into a forward sale agreement with any Forward Purchaser, the relevant Forward Seller, or in the case of Nomura Securities International, Inc., BTIG, LLC, acting as agent, will be obligated to use commercially reasonable efforts, consistent with its normal trading and sales practices for similar transactions and applicable laws and regulations, to sell shares of our common stock borrowed from third parties to hedge such Forward Purchaser’s exposure under such forward sale agreement. All of the net proceeds from the sale of any such borrowed shares of our common stock will be paid to the applicable Forward Purchaser. Such entity will be either a Manager or an affiliate of a Manager. As a result, a Manager or one of its affiliates will receive the net proceeds from any sale of borrowed shares of our common stock made in connection with any forward sale agreement.</w:t>
      </w:r>
    </w:p>
    <w:p>
      <w:pPr>
        <w:spacing w:after="0" w:line="95"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These transactions create potential conflicts of interest because these Managers and Forward Purchasers have an interest in the successful completion of this offering beyond the sales commissions they will receive. The interest may influence the decision regarding the terms and circumstances under which this offering is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We intend to use the net proceeds (x) from this offering, after deducting the Managers’ commission and our offering expenses, and (y) payable upon settlement of any forward sale agreement, in each case, for general corporate purposes, which may include, among other things, the capital expenditure programs of our operating subsidiaries and the repayment of borrowings under our commercial paper program. Proceeds from our commercial paper were used for general corporate purposes, including working capital purposes. As of March 31, 2026, we, on an unconsolidated basis, did not have any commercial paper borrowings outstanding. Certain of the Managers and/or their affiliates may own some of our commercial paper and will therefore each receive a portion of the net proceeds upon such repayment. See “Plan of Distribution (Conflicts of Interest) — Conflicts of Interest.”</w:t>
      </w:r>
    </w:p>
    <w:p>
      <w:pPr>
        <w:spacing w:after="0" w:line="95"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We will not initially receive any proceeds from any sales of our common stock by a Forward Seller in connection with any forward sale agreement. We expect to fully physically settle each particular forward sale agreement, in which case we will expect to receive aggregate net cash proceeds at settlement equal to the number of shares of our common stock underlying the particular forward sale agreement multiplied by the relevant forward sale price. The forward sale price that we expect to receive upon physical settlement of a particular forward sale agreement initially will be equal to the gross sales prices of all borrowed shares of our common stock sold by the relevant Forward Seller during the applicable forward hedge selling period less a forward hedge selling commission of up to 1% of the gross sales prices of all borrowed shares of our common stock sold during the applicable forward hedge selling period by it as Forward Seller. The forward sale price will be subject to adjustment on a daily basis based on a floating interest rate factor equal to the overnight bank rate less a spread and will be decreased based on amounts related to expected dividends on shares of our common stock during the term of the particular forward sale agreement. If the overnight bank rate is less than the spread for a particular forward sale agreement on any day, the interest factor will result in a daily reduction of the applicable forward sale price.</w:t>
      </w:r>
    </w:p>
    <w:p>
      <w:pPr>
        <w:spacing w:after="0" w:line="83"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the affiliated Forward Seller, or in the case of Nomura Securities International, Inc., BTIG, LLC, acting as agent, will attempt to sell borrowed shares of our common stock to hedge such Forward Purchaser’s exposure under such forward sale agreement. All of the net proceeds from the sale of any such borrowed shares of our common stock will be paid to the applicable Forward Purchaser. Such entity will be either a Manager or an affiliate of a Manager. As a result, a Manager or one of its affiliates will receive the net proceeds from any sale of borrowed shares of our common stock made in connection with any forward sale agreement. See “Plan of Distribution (Conflicts of Interest).”</w:t>
      </w:r>
    </w:p>
    <w:p>
      <w:pPr>
        <w:spacing w:after="0" w:line="92" w:lineRule="exact"/>
        <w:rPr>
          <w:sz w:val="20"/>
          <w:szCs w:val="20"/>
          <w:color w:val="auto"/>
        </w:rPr>
      </w:pPr>
    </w:p>
    <w:p>
      <w:pPr>
        <w:jc w:val="both"/>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Further, some or all of the Managers or their affiliates may in the future be holders of our commercial paper obligations. We may use part or all of the net proceeds of this offering to repay our commercial paper obligations from time to time, in which case that affiliate will receive a portion of the net proceeds from this offering through the repayment of such debt. See “Plan of Distribution (Conflicts of Interest).”</w:t>
      </w:r>
    </w:p>
    <w:p>
      <w:pPr>
        <w:spacing w:after="0" w:line="90" w:lineRule="exact"/>
        <w:rPr>
          <w:sz w:val="20"/>
          <w:szCs w:val="20"/>
          <w:color w:val="auto"/>
        </w:rPr>
      </w:pPr>
    </w:p>
    <w:p>
      <w:pPr>
        <w:ind w:left="1340" w:right="1599" w:firstLine="277"/>
        <w:spacing w:after="0" w:line="257" w:lineRule="auto"/>
        <w:rPr>
          <w:sz w:val="20"/>
          <w:szCs w:val="20"/>
          <w:color w:val="auto"/>
        </w:rPr>
      </w:pPr>
      <w:r>
        <w:rPr>
          <w:rFonts w:ascii="Times New Roman" w:cs="Times New Roman" w:eastAsia="Times New Roman" w:hAnsi="Times New Roman"/>
          <w:sz w:val="14"/>
          <w:szCs w:val="14"/>
          <w:color w:val="auto"/>
        </w:rPr>
        <w:t>Pursuant to the terms of the equity distribution agreement, we may issue and/or sell shares of our common stock having an aggregate gross sales price of up to $1,000,000,000 from time to time. Because there is no minimum offering amount required as a condition to close this offering, the actual public offering amount, commission and proceeds to us, if any, are not determinable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consequences to U.S. holders and non-U.S. holders (each, as defined below) of the ownership and disposition of our common stock issued pursuant to this offering. This discussion does not address all aspects of U.S. federal income taxation that may be relevant in light of personal circumstances, nor does this discussion address the effects of other U.S. federal tax laws, such as estate or gift tax laws, or the effects of any applicable state, local or non-U.S. tax laws. This discussion is based on the Internal Revenue Code of 1986, as amended (the “Code”), Treasury regulations promulgated thereunder (“Treasury Regulations”), judicial decisions, and published rulings and administrative pronouncements of the U.S. Internal Revenue Service (“IRS”) in effect as of the date of this prospectus supplement. These authorities may change or be subject to differing interpretations. Any such change or differing interpretation may be applied retroactively in a manner that could adversely affect a beneficial owner of our common stock. We have not sought and will not seek any rulings from the IRS regarding the matters discussed below. There can be no assurance that the IRS or a court will not take a contrary position regarding the matters discussed below.</w:t>
      </w:r>
    </w:p>
    <w:p>
      <w:pPr>
        <w:spacing w:after="0" w:line="95" w:lineRule="exact"/>
        <w:rPr>
          <w:sz w:val="20"/>
          <w:szCs w:val="20"/>
          <w:color w:val="auto"/>
        </w:rPr>
      </w:pPr>
    </w:p>
    <w:p>
      <w:pPr>
        <w:ind w:left="1340" w:right="1419" w:firstLine="277"/>
        <w:spacing w:after="0" w:line="260" w:lineRule="auto"/>
        <w:rPr>
          <w:sz w:val="20"/>
          <w:szCs w:val="20"/>
          <w:color w:val="auto"/>
        </w:rPr>
      </w:pPr>
      <w:r>
        <w:rPr>
          <w:rFonts w:ascii="Times New Roman" w:cs="Times New Roman" w:eastAsia="Times New Roman" w:hAnsi="Times New Roman"/>
          <w:sz w:val="14"/>
          <w:szCs w:val="14"/>
          <w:color w:val="auto"/>
        </w:rPr>
        <w:t>This discussion is limited to beneficial owners that hold our common stock as a “capital asset” within the meaning of section 1221 of the Code (generally, property held for investment). This discussion does not address tax consequences relevant to beneficial owners subject to special rules, including, without limitation:</w:t>
      </w:r>
    </w:p>
    <w:p>
      <w:pPr>
        <w:spacing w:after="0" w:line="225" w:lineRule="exact"/>
        <w:rPr>
          <w:sz w:val="20"/>
          <w:szCs w:val="20"/>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or former citizens or long-term residents of the United States;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hedge, straddle or other risk reduction strategy or as part of a conversion transaction or other integrated investment or that hold or dispose of our common stock as part of a wash sale transaction;</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 or regulated investment companies;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8"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42" w:lineRule="exact"/>
        <w:rPr>
          <w:rFonts w:ascii="Times New Roman" w:cs="Times New Roman" w:eastAsia="Times New Roman" w:hAnsi="Times New Roman"/>
          <w:sz w:val="14"/>
          <w:szCs w:val="14"/>
          <w:color w:val="auto"/>
        </w:rPr>
      </w:pPr>
    </w:p>
    <w:p>
      <w:pPr>
        <w:ind w:left="1760" w:right="153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or other pass-through entities for U.S. federal income tax purposes (and investors therein);</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retirement plans;</w:t>
      </w:r>
    </w:p>
    <w:p>
      <w:pPr>
        <w:spacing w:after="0" w:line="88" w:lineRule="exact"/>
        <w:rPr>
          <w:rFonts w:ascii="Times New Roman" w:cs="Times New Roman" w:eastAsia="Times New Roman" w:hAnsi="Times New Roman"/>
          <w:sz w:val="14"/>
          <w:szCs w:val="14"/>
          <w:color w:val="auto"/>
        </w:rPr>
      </w:pPr>
    </w:p>
    <w:p>
      <w:pPr>
        <w:ind w:left="1760" w:right="185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have owned at any time, actually or constructively, more than 5% of our common stock;</w:t>
      </w:r>
    </w:p>
    <w:p>
      <w:pPr>
        <w:spacing w:after="0" w:line="42" w:lineRule="exact"/>
        <w:rPr>
          <w:rFonts w:ascii="Times New Roman" w:cs="Times New Roman" w:eastAsia="Times New Roman" w:hAnsi="Times New Roman"/>
          <w:sz w:val="14"/>
          <w:szCs w:val="14"/>
          <w:color w:val="auto"/>
        </w:rPr>
      </w:pPr>
    </w:p>
    <w:p>
      <w:pPr>
        <w:ind w:left="1760" w:right="153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acquired our common stock through the exercise of employee stock options or otherwise as compensation;</w:t>
      </w:r>
    </w:p>
    <w:p>
      <w:pPr>
        <w:spacing w:after="0" w:line="42" w:lineRule="exact"/>
        <w:rPr>
          <w:rFonts w:ascii="Times New Roman" w:cs="Times New Roman" w:eastAsia="Times New Roman" w:hAnsi="Times New Roman"/>
          <w:sz w:val="14"/>
          <w:szCs w:val="14"/>
          <w:color w:val="auto"/>
        </w:rPr>
      </w:pPr>
    </w:p>
    <w:p>
      <w:pPr>
        <w:ind w:left="1760" w:right="153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required for U.S. federal income tax purposes to conform the timing of income accruals to their financial statements under Section 451(b) of the Code; and</w:t>
      </w:r>
    </w:p>
    <w:p>
      <w:pPr>
        <w:spacing w:after="0" w:line="5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109" w:lineRule="exact"/>
        <w:rPr>
          <w:sz w:val="20"/>
          <w:szCs w:val="20"/>
          <w:color w:val="auto"/>
        </w:rPr>
      </w:pPr>
    </w:p>
    <w:p>
      <w:pPr>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considering an</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899"/>
        <w:spacing w:after="0" w:line="278" w:lineRule="auto"/>
        <w:rPr>
          <w:sz w:val="20"/>
          <w:szCs w:val="20"/>
          <w:color w:val="auto"/>
        </w:rPr>
      </w:pPr>
      <w:r>
        <w:rPr>
          <w:rFonts w:ascii="Times New Roman" w:cs="Times New Roman" w:eastAsia="Times New Roman" w:hAnsi="Times New Roman"/>
          <w:sz w:val="14"/>
          <w:szCs w:val="14"/>
          <w:color w:val="auto"/>
        </w:rPr>
        <w:t>investment in our common stock and partners in such partnerships should consult their tax advisors regarding the U.S. federal income tax consequences to them.</w:t>
      </w:r>
    </w:p>
    <w:p>
      <w:pPr>
        <w:spacing w:after="0" w:line="61" w:lineRule="exact"/>
        <w:rPr>
          <w:sz w:val="20"/>
          <w:szCs w:val="20"/>
          <w:color w:val="auto"/>
        </w:rPr>
      </w:pPr>
    </w:p>
    <w:p>
      <w:pPr>
        <w:ind w:left="1340" w:right="1359" w:firstLine="277"/>
        <w:spacing w:after="0" w:line="243" w:lineRule="auto"/>
        <w:rPr>
          <w:sz w:val="20"/>
          <w:szCs w:val="20"/>
          <w:color w:val="auto"/>
        </w:rPr>
      </w:pPr>
      <w:r>
        <w:rPr>
          <w:rFonts w:ascii="Times New Roman" w:cs="Times New Roman" w:eastAsia="Times New Roman" w:hAnsi="Times New Roman"/>
          <w:sz w:val="14"/>
          <w:szCs w:val="14"/>
          <w:b w:val="1"/>
          <w:bCs w:val="1"/>
          <w:color w:val="auto"/>
        </w:rPr>
        <w:t>THIS DISCUSSION IS FOR INFORMATION PURPOSES ONLY AND IS NOT INTENDED AS TAX ADVICE. YOU SHOULD CONSULT YOUR TAX ADVISOR WITH RESPECT TO THE APPLICATION OF THE U.S. FEDERAL INCOME TAX LAWS TO YOUR PARTICULAR SITUATION AS WELL AS ANY TAX CONSEQUENCES OF THE OWNERSHIP AND DISPOSITION OF OUR COMMON STOCK ARISING UNDER OTHER U.S. FEDERAL TAX LAWS OR UNDER THE LAWS OF ANY STATE, LOCAL, NON-U.S. OR OTHER TAXING JURISDICTION OR UNDER ANY APPLICABLE INCOME TAX TREATY.</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our common stock that, for</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U.S. federal income tax purposes, is:</w:t>
      </w:r>
    </w:p>
    <w:p>
      <w:pPr>
        <w:spacing w:after="0" w:line="62" w:lineRule="exact"/>
        <w:rPr>
          <w:sz w:val="20"/>
          <w:szCs w:val="20"/>
          <w:color w:val="auto"/>
        </w:rPr>
      </w:pPr>
    </w:p>
    <w:p>
      <w:pPr>
        <w:ind w:left="1760" w:hanging="137"/>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88"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under the laws of the United States, any state thereof, or the District of Columbia;</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88" w:lineRule="exact"/>
        <w:rPr>
          <w:rFonts w:ascii="Times New Roman" w:cs="Times New Roman" w:eastAsia="Times New Roman" w:hAnsi="Times New Roman"/>
          <w:sz w:val="14"/>
          <w:szCs w:val="14"/>
          <w:color w:val="auto"/>
        </w:rPr>
      </w:pPr>
    </w:p>
    <w:p>
      <w:pPr>
        <w:ind w:left="1760" w:right="1499" w:hanging="137"/>
        <w:spacing w:after="0" w:line="262"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U.S. persons, or (2) has made a valid election under applicable Treasury Regulations to continue to be treated as a U.S. person.</w:t>
      </w:r>
    </w:p>
    <w:p>
      <w:pPr>
        <w:spacing w:after="0" w:line="75"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A “non-U.S. holder” is any beneficial owner of our common stock that is, for U.S. federal income tax purposes, an individual, corporation, estate, or trust that, in each case, is not a U.S. holder.</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Tax Consequences Applicable to U.S. Holders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discussion in this section applies only to U.S. holders.</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Distributions Generally</w:t>
      </w:r>
    </w:p>
    <w:p>
      <w:pPr>
        <w:spacing w:after="0" w:line="111"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Distributions of cash or other property on our common stock generally will constitute dividends for U.S. federal income tax purposes to the extent paid from our current or accumulated earnings and profits, as determined under U.S. federal income tax principles. Subject to customary conditions and limitations, dividends will be eligible for the dividends-received deduction in the case of U.S. holders that are corporations. Dividends paid to non-corporate U.S. holders generally will qualify for taxation at special rates if such U.S. holders meet certain holding period and other applicable requirements. To the extent distributions exceed our current and accumulated earnings and profits, the distributions generally will be treated first as a non-taxable return of capital to the extent of the U.S. holder’s tax basis in our common stock (and will reduce such basis, but not below zero), and thereafter generally will be taxable as capital gain realized on the sale or other taxable disposition of our common stock, as described under “— Dispositions of Our Common Stock” below.</w:t>
      </w:r>
    </w:p>
    <w:p>
      <w:pPr>
        <w:spacing w:after="0" w:line="30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Dispositions of Our Common Stock</w:t>
      </w:r>
    </w:p>
    <w:p>
      <w:pPr>
        <w:spacing w:after="0" w:line="122"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If a U.S. holder sells or disposes of shares of our common stock, it generally will recognize gain or loss for U.S. federal income tax purposes in an amount equal to the difference between the amount realized on such sale or other taxable disposition and the U.S. holder’s adjusted basis in such shares of our common stock. This gain or loss generally will be long-term capital gain or loss if the U.S. holder has held our common stock for more than one year. The deductibility of capital losses is subject to limitations.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Medicare Tax on Net Investment Income</w:t>
      </w:r>
    </w:p>
    <w:p>
      <w:pPr>
        <w:spacing w:after="0" w:line="111"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Certain U.S. holders who are individuals, estates and trusts are subject to an additional 3.8% tax on the lesser of: (1) the U.S. holder’s “net investment income” ​(in the case of individual) or “undistributed net investment income” (in​ the case of an estate or trust) for the relevant taxable year and (2) the excess of the U.S. holder’s modified adjusted gross income (in the case of an individual) or adjusted gross income (in the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79"/>
        <w:spacing w:after="0" w:line="278" w:lineRule="auto"/>
        <w:rPr>
          <w:sz w:val="20"/>
          <w:szCs w:val="20"/>
          <w:color w:val="auto"/>
        </w:rPr>
      </w:pPr>
      <w:r>
        <w:rPr>
          <w:rFonts w:ascii="Times New Roman" w:cs="Times New Roman" w:eastAsia="Times New Roman" w:hAnsi="Times New Roman"/>
          <w:sz w:val="14"/>
          <w:szCs w:val="14"/>
          <w:color w:val="auto"/>
        </w:rPr>
        <w:t>case of estates or trusts) for the relevant taxable year over specified dollar amounts. U.S. holders that are individuals, estates or trusts should consult their tax advisors regarding the effect, if any, of this tax.</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12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We or an applicable withholding agent generally will report to U.S. holders and the IRS the amount of dividends paid during each calendar year on, and the proceeds from a disposition of, our common stock held by a U.S. holder unless the U.S. holder is exempt from information reporting (such as a corporation) and, if requested, establishes, in the manner prescribed by law, such exemption. Under the backup withholding rules, a U.S. holder may be subject to backup withholding with respect to dividends paid on or the proceeds of a disposition of our common stock unless the U.S. holder is a corporation or comes within certain other exempt categories and, when required, demonstrates this fact, or provides a taxpayer identification number, certifies as to no loss of exemption from backup withholding, and otherwise complies with applicable requirements of exemptions from the backup withholding rules. A U.S. holder that does not provide us with its correct taxpayer identification number may also be subject to penalties imposed by the IRS.</w:t>
      </w:r>
    </w:p>
    <w:p>
      <w:pPr>
        <w:spacing w:after="0" w:line="94" w:lineRule="exact"/>
        <w:rPr>
          <w:sz w:val="20"/>
          <w:szCs w:val="20"/>
          <w:color w:val="auto"/>
        </w:rPr>
      </w:pPr>
    </w:p>
    <w:p>
      <w:pPr>
        <w:jc w:val="both"/>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Tax Consequences Applicable to Non-U.S. Holders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discussion in this section applies only to non-U.S. holders.</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Distributions Generally</w:t>
      </w:r>
    </w:p>
    <w:p>
      <w:pPr>
        <w:spacing w:after="0" w:line="122"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Distributions of cash or other property on our common stock generally will constitute dividends for U.S. federal income tax purposes to the extent paid from our current or accumulated earnings and profits, as determined under U.S. federal income tax principles. To the extent distributions exceed our current and accumulated earnings and profits, the distributions generally will be treated first as a non-taxable return of capital to the extent of the non-U.S. holder’s tax basis in our common stock (and will reduce such basis, but not below zero), and thereafter generally will be treated as gain realized on the sale or other disposition of our common stock (see “— Dispositions of Our Common Stock” below).</w:t>
      </w:r>
    </w:p>
    <w:p>
      <w:pPr>
        <w:spacing w:after="0" w:line="90" w:lineRule="exact"/>
        <w:rPr>
          <w:sz w:val="20"/>
          <w:szCs w:val="20"/>
          <w:color w:val="auto"/>
        </w:rPr>
      </w:pPr>
    </w:p>
    <w:p>
      <w:pPr>
        <w:ind w:left="1340" w:right="1439" w:firstLine="277"/>
        <w:spacing w:after="0"/>
        <w:rPr>
          <w:sz w:val="20"/>
          <w:szCs w:val="20"/>
          <w:color w:val="auto"/>
        </w:rPr>
      </w:pPr>
      <w:r>
        <w:rPr>
          <w:rFonts w:ascii="Times New Roman" w:cs="Times New Roman" w:eastAsia="Times New Roman" w:hAnsi="Times New Roman"/>
          <w:sz w:val="14"/>
          <w:szCs w:val="14"/>
          <w:color w:val="auto"/>
        </w:rPr>
        <w:t>Distributions that are treated as dividends generally will be subject to U.S. federal withholding tax at a rate of 30% of the gross amount of the dividends, or such lower rate specified by an applicable income tax treaty. Distributions that are treated as gain or return of capital could be subject to a withholding tax at a rate of 15% under FIRPTA (as defined below) if we are or have been considered a USRPHC (as defined below) and our common stock is not “regularly traded” on an established securities market (see</w:t>
      </w:r>
    </w:p>
    <w:p>
      <w:pPr>
        <w:spacing w:after="0" w:line="1"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 Dispositions of Our Common Stock”). For withholding purposes, we expect that all distributions will be treated as made out of our current or accumulated earnings and profits and thus treated as dividends. However, if it is subsequently determined that a distribution was, in fact, in excess of our current and accumulated earnings and profits, a non-U.S. holder may be able to obtain a refund of any excess amounts withheld by timely filing an appropriate claim for refund with the IRS. Additionally, an applicable income tax treaty may reduce the rate of a withholding tax on distributions received by a non-U.S. holder. To receive the benefit of a reduced treaty rate, a non-U.S. holder must furnish to us or our paying agent a valid IRS Form W-8BEN or W-8BEN-E (or applicable successor form) certifying such non-U.S. holder’s qualification for the reduced rate. This certification must be provided to the applicable withholding agent prior to the payment of dividends and must be updated periodically. Non-U.S. holders that do not timely provide the applicable withholding agent with the required certification, but that qualify for a reduced treaty rate, may obtain a refund of any excess amounts withheld by timely filing an appropriate claim for refund with the IRS.</w:t>
      </w:r>
    </w:p>
    <w:p>
      <w:pPr>
        <w:spacing w:after="0" w:line="234"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Dividends paid on our common stock that are effectively connected with a non-U.S. holder’s U.S. trade or business (and, if required by an applicable income tax treaty, are attributable to a permanent establishment or fixed place of business maintained by the non-U.S. holder in the United States) will be exempt from U.S. federal withholding tax. To claim the exemption, the non-U.S. holder must generally furnish to the applicable paying agent a properly executed IRS Form W-8ECI (or applicable successor form). Any such effectively connected dividends generally will be subject to U.S. federal income tax on a net-income basis at</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55" w:lineRule="auto"/>
        <w:rPr>
          <w:sz w:val="20"/>
          <w:szCs w:val="20"/>
          <w:color w:val="auto"/>
        </w:rPr>
      </w:pPr>
      <w:r>
        <w:rPr>
          <w:rFonts w:ascii="Times New Roman" w:cs="Times New Roman" w:eastAsia="Times New Roman" w:hAnsi="Times New Roman"/>
          <w:sz w:val="14"/>
          <w:szCs w:val="14"/>
          <w:color w:val="auto"/>
        </w:rPr>
        <w:t>the regular graduated U.S. federal income tax rates applicable to U.S. holders.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their entitlement to benefits under any applicable income tax treaty.</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Dispositions of Our Common Stock</w:t>
      </w:r>
    </w:p>
    <w:p>
      <w:pPr>
        <w:spacing w:after="0" w:line="122" w:lineRule="exact"/>
        <w:rPr>
          <w:sz w:val="20"/>
          <w:szCs w:val="20"/>
          <w:color w:val="auto"/>
        </w:rPr>
      </w:pPr>
    </w:p>
    <w:p>
      <w:pPr>
        <w:ind w:left="1340" w:right="1499" w:firstLine="277"/>
        <w:spacing w:after="0" w:line="262" w:lineRule="auto"/>
        <w:rPr>
          <w:sz w:val="20"/>
          <w:szCs w:val="20"/>
          <w:color w:val="auto"/>
        </w:rPr>
      </w:pPr>
      <w:r>
        <w:rPr>
          <w:rFonts w:ascii="Times New Roman" w:cs="Times New Roman" w:eastAsia="Times New Roman" w:hAnsi="Times New Roman"/>
          <w:sz w:val="14"/>
          <w:szCs w:val="14"/>
          <w:color w:val="auto"/>
        </w:rPr>
        <w:t>Subject to the discussions of backup withholding and FATCA below, a non-U.S. holder generally will not be subject to U.S. federal income tax on any gain realized upon the sale or other disposition of our common stock, unless:</w:t>
      </w:r>
    </w:p>
    <w:p>
      <w:pPr>
        <w:spacing w:after="0" w:line="65" w:lineRule="exact"/>
        <w:rPr>
          <w:sz w:val="20"/>
          <w:szCs w:val="20"/>
          <w:color w:val="auto"/>
        </w:rPr>
      </w:pPr>
    </w:p>
    <w:p>
      <w:pPr>
        <w:ind w:left="1760" w:right="1659" w:hanging="137"/>
        <w:spacing w:after="0" w:line="262"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75"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52" w:lineRule="exact"/>
        <w:rPr>
          <w:rFonts w:ascii="Times New Roman" w:cs="Times New Roman" w:eastAsia="Times New Roman" w:hAnsi="Times New Roman"/>
          <w:sz w:val="14"/>
          <w:szCs w:val="14"/>
          <w:color w:val="auto"/>
        </w:rPr>
      </w:pPr>
    </w:p>
    <w:p>
      <w:pPr>
        <w:ind w:left="1760" w:right="1379" w:hanging="137"/>
        <w:spacing w:after="0" w:line="255"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“United States real property interest,” or “USRPI,” which could be the case if we are or have been, at any time during the five-year period ending on the date of such disposition (or the non-U.S. holder’s holding period, if shorter) a United States real property holding corporation, or “USRPHC,” for U.S. federal income tax purposes within the meaning of the “Foreign Investment in Real Property Tax Act,” or “FIRPTA.”</w:t>
      </w:r>
    </w:p>
    <w:p>
      <w:pPr>
        <w:spacing w:after="0" w:line="90"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Gain described in the first bullet point above will be subject to U.S. federal income tax on a net income basis at the regular graduated U.S. federal income tax rates applicable to U.S. holders.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their entitlement to benefits under any applicable income tax treaty.</w:t>
      </w:r>
    </w:p>
    <w:p>
      <w:pPr>
        <w:spacing w:after="0" w:line="83" w:lineRule="exact"/>
        <w:rPr>
          <w:sz w:val="20"/>
          <w:szCs w:val="20"/>
          <w:color w:val="auto"/>
        </w:rPr>
      </w:pPr>
    </w:p>
    <w:p>
      <w:pPr>
        <w:jc w:val="both"/>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flat 30% rate (or such lower rate specified by an applicable income tax treaty) on any gain derived from the sale, which gain may be offset by certain U.S. source capital losses (even though the non-U.S. holder is not considered a resident of the United States).</w:t>
      </w:r>
    </w:p>
    <w:p>
      <w:pPr>
        <w:spacing w:after="0" w:line="90" w:lineRule="exact"/>
        <w:rPr>
          <w:sz w:val="20"/>
          <w:szCs w:val="20"/>
          <w:color w:val="auto"/>
        </w:rPr>
      </w:pPr>
    </w:p>
    <w:p>
      <w:pPr>
        <w:ind w:left="1340" w:right="1459" w:firstLine="277"/>
        <w:spacing w:after="0" w:line="251" w:lineRule="auto"/>
        <w:rPr>
          <w:sz w:val="20"/>
          <w:szCs w:val="20"/>
          <w:color w:val="auto"/>
        </w:rPr>
      </w:pPr>
      <w:r>
        <w:rPr>
          <w:rFonts w:ascii="Times New Roman" w:cs="Times New Roman" w:eastAsia="Times New Roman" w:hAnsi="Times New Roman"/>
          <w:sz w:val="14"/>
          <w:szCs w:val="14"/>
          <w:color w:val="auto"/>
        </w:rPr>
        <w:t>With respect to the third bullet point above, we believe that we may have been, may currently be, or may become, a USRPHC. Nevertheless, pursuant to an exception for certain interests in publicly traded corporations, even if we are a USRPHC, a non-U.S. holder generally will not be subject to U.S. federal income tax on gain recognized on a sale, exchange or other taxable disposition of our common stock by reason of our status as a USRPHC if (i) any class of our stock (including our common stock) is regularly traded on an established securities market (within the meaning of the applicable Treasury Regulations) and</w:t>
      </w:r>
    </w:p>
    <w:p>
      <w:pPr>
        <w:spacing w:after="0" w:line="2" w:lineRule="exact"/>
        <w:rPr>
          <w:sz w:val="20"/>
          <w:szCs w:val="20"/>
          <w:color w:val="auto"/>
        </w:rPr>
      </w:pPr>
    </w:p>
    <w:p>
      <w:pPr>
        <w:ind w:left="1340" w:right="1379" w:firstLine="6"/>
        <w:spacing w:after="0" w:line="248" w:lineRule="auto"/>
        <w:tabs>
          <w:tab w:leader="none" w:pos="155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holder’s ownership interest in our common stock falls below a certain threshold. If any class of our stock is regularly traded on an established securities market, then a non-U.S. holder generally will not be subject to U.S. federal income tax on gain recognized on a sale, exchange or other taxable disposition of our common stock by reason of our status as a USRPHC unless (i) if our common stock is (or is also) regularly traded, such non-U.S. holder’s shares of our common stock (including shares of our common stock that are attributed to such non-U.S. holder under applicable attribution rules) represent more than 5% of the total fair market value of all of the shares of our common stock at any time during the five-year period ending on the date of disposition of such common stock by the non-U.S. holder or (ii) if our common stock is not regularly traded, such non-U.S. holder’s shares of our common stock (including shares of our common stock that are attributed to such non-U.S. holder under applicable attribution rules) have a fair market value on the date of acquisition greater than the fair market value of 5% of our regularly traded class of stock with the lowest fair market value. We expect at least one of our classes of stock to be regularly traded on an established securities market, but this cannot be assured. Prospective investors should consult their own tax advisors regarding the application of the exception for certain interests in publicly traded corporations.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We or an applicable withholding agent generally must report annually to the IRS and to each non-U.S. holder the amount of distributions on our common stock paid to such non-U.S. holder and the amount of any tax withheld with respect to those distributions. These information reporting requirements apply even if no withholding was required because the distributions were effectively connected with the non-U.S.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however, generally will not apply to payments to a non-U.S. holder on our common stock provided the non-U.S. holder furnishes to the payor the required certification as to its non-U.S. status, such as by providing a valid IRS Form W-8BEN, IRS Form W-8BEN-E or IRS Form W-8ECI, or certain other requirements are met. Notwithstanding the foregoing, backup withholding may apply if the payor has actual knowledge, or reason to know, that the non-U.S. holder is a U.S. person that is not an exempt recipient.</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may apply to the</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proceeds of a sale or other disposition of our common stock made within the United States or conducted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through certain U.S.-related financial intermediaries, unless the beneficial owner furnishes to the payor the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required certification as to its non-U.S. status, such as by providing a valid IRS Form W-8BEN, IRS</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Form W-8BEN-E or IRS Form W-8ECI, or certain other requirements are met (and the payor does not have</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actual knowledge or reason to know that the beneficial owner is a U.S. person).</w:t>
      </w:r>
    </w:p>
    <w:p>
      <w:pPr>
        <w:spacing w:after="0" w:line="94"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and the Treasury Regulations and administrative guidance thereunder (commonly referred to as the Foreign Account Tax Compliance Act, or “FATCA”) on certain types of payments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undertakes certain diligence and reporting obligations,</w:t>
      </w:r>
    </w:p>
    <w:p>
      <w:pPr>
        <w:spacing w:after="0" w:line="2" w:lineRule="exact"/>
        <w:rPr>
          <w:sz w:val="20"/>
          <w:szCs w:val="20"/>
          <w:color w:val="auto"/>
        </w:rPr>
      </w:pPr>
    </w:p>
    <w:p>
      <w:pPr>
        <w:ind w:left="1340" w:right="1459" w:firstLine="6"/>
        <w:spacing w:after="0" w:line="247" w:lineRule="auto"/>
        <w:tabs>
          <w:tab w:leader="none" w:pos="154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w:t>
      </w:r>
    </w:p>
    <w:p>
      <w:pPr>
        <w:spacing w:after="0" w:line="3" w:lineRule="exact"/>
        <w:rPr>
          <w:rFonts w:ascii="Times New Roman" w:cs="Times New Roman" w:eastAsia="Times New Roman" w:hAnsi="Times New Roman"/>
          <w:sz w:val="14"/>
          <w:szCs w:val="14"/>
          <w:color w:val="auto"/>
        </w:rPr>
      </w:pPr>
    </w:p>
    <w:p>
      <w:pPr>
        <w:ind w:left="1340" w:right="159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5"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While withholding under FATCA generally could also have applied to payments of gross proceeds from the sale or other taxable disposition of our common stock, proposed Treasury Regulations (upon which taxpayers may rely until final regulations are issued) eliminate FATCA withholding on payments of gross proceeds.</w:t>
      </w:r>
    </w:p>
    <w:p>
      <w:pPr>
        <w:spacing w:after="0" w:line="79" w:lineRule="exact"/>
        <w:rPr>
          <w:sz w:val="20"/>
          <w:szCs w:val="20"/>
          <w:color w:val="auto"/>
        </w:rPr>
      </w:pPr>
    </w:p>
    <w:p>
      <w:pPr>
        <w:ind w:left="1340" w:right="2039" w:firstLine="277"/>
        <w:spacing w:after="0" w:line="278"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 (CONFLICTS OF INTEREST)</w:t>
      </w:r>
    </w:p>
    <w:p>
      <w:pPr>
        <w:spacing w:after="0" w:line="122" w:lineRule="exact"/>
        <w:rPr>
          <w:sz w:val="20"/>
          <w:szCs w:val="20"/>
          <w:color w:val="auto"/>
        </w:rPr>
      </w:pPr>
    </w:p>
    <w:p>
      <w:pPr>
        <w:ind w:left="1340" w:right="1459" w:firstLine="277"/>
        <w:spacing w:after="0" w:line="244" w:lineRule="auto"/>
        <w:rPr>
          <w:sz w:val="20"/>
          <w:szCs w:val="20"/>
          <w:color w:val="auto"/>
        </w:rPr>
      </w:pPr>
      <w:r>
        <w:rPr>
          <w:rFonts w:ascii="Times New Roman" w:cs="Times New Roman" w:eastAsia="Times New Roman" w:hAnsi="Times New Roman"/>
          <w:sz w:val="14"/>
          <w:szCs w:val="14"/>
          <w:color w:val="auto"/>
        </w:rPr>
        <w:t>We have entered into an equity distribution agreement, dated as of May 15, 2026, which we refer to as the equity distribution agreement, with the Managers, the Forward Sellers and the Forward Purchasers, pursuant to which we may issue and/or sell from time to time shares of our common stock having an aggregate gross sales price of up to $1,000,000,000 over a period of time. We have filed the equity distribution agreement as an exhibit to a Current Report on Form 8-K, which is incorporated by reference into this prospectus supplement.</w:t>
      </w:r>
    </w:p>
    <w:p>
      <w:pPr>
        <w:spacing w:after="0" w:line="88"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Sales of shares of our common stock made under the equity distribution agreement, if any, may be made by any method permitted by applicable law and deemed to be an “at the market offering” as defined in Rule 415 under the Securities Act, including by means of ordinary brokers’ transactions through the facilities of the New York Stock Exchange or the NYSE Texas, or through a market maker or directly on or through an electronic communications network, at market prices prevailing at the time of sale or at prices related to prevailing market prices. In addition, shares of our common stock may be offered and sold by such other methods, including privately negotiated transactions (including block transactions), as we and the Managers or the Forward Sellers agree to in writing. As agents, the Managers will not engage in any prohibited stabilizing transactions with respect to shares of our common stock.</w:t>
      </w:r>
    </w:p>
    <w:p>
      <w:pPr>
        <w:spacing w:after="0" w:line="95" w:lineRule="exact"/>
        <w:rPr>
          <w:sz w:val="20"/>
          <w:szCs w:val="20"/>
          <w:color w:val="auto"/>
        </w:rPr>
      </w:pPr>
    </w:p>
    <w:p>
      <w:pPr>
        <w:ind w:left="1340" w:right="1359" w:firstLine="277"/>
        <w:spacing w:after="0" w:line="242" w:lineRule="auto"/>
        <w:rPr>
          <w:sz w:val="20"/>
          <w:szCs w:val="20"/>
          <w:color w:val="auto"/>
        </w:rPr>
      </w:pPr>
      <w:r>
        <w:rPr>
          <w:rFonts w:ascii="Times New Roman" w:cs="Times New Roman" w:eastAsia="Times New Roman" w:hAnsi="Times New Roman"/>
          <w:sz w:val="14"/>
          <w:szCs w:val="14"/>
          <w:color w:val="auto"/>
        </w:rPr>
        <w:t>The equity distribution agreement provides that, in addition to the issuance and sale of shares of our common stock by us to or through the Managers, we may also enter into one or more forward sale agreements under separate master forward confirmations and related supplemental confirmations between us and any of the Forward Purchasers. In connection with any forward sale agreement, the relevant Forward Purchaser will borrow from third parties and, through its affiliated Forward Seller, or in the case of Nomura Securities International, Inc., through its agent, BTIG, LLC, sell a number of shares of our common stock equal to the number of shares of our common stock underlying the particular forward sale agreement.</w:t>
      </w:r>
    </w:p>
    <w:p>
      <w:pPr>
        <w:spacing w:after="0" w:line="90"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We may instruct the Managers and the Forward Sellers not to sell any shares of our common stock if the sales cannot be effected at or above the price designated by us in any such instruction. In no event will the aggregate number of shares of our common stock sold through the Managers or the Forward Sellers under the equity distribution agreement and under any forward sale agreement have an aggregate gross sales price in excess of $1,000,000,000.</w:t>
      </w:r>
    </w:p>
    <w:p>
      <w:pPr>
        <w:spacing w:after="0" w:line="89" w:lineRule="exact"/>
        <w:rPr>
          <w:sz w:val="20"/>
          <w:szCs w:val="20"/>
          <w:color w:val="auto"/>
        </w:rPr>
      </w:pPr>
    </w:p>
    <w:p>
      <w:pPr>
        <w:ind w:left="1340" w:right="1459" w:firstLine="277"/>
        <w:spacing w:after="0" w:line="243" w:lineRule="auto"/>
        <w:rPr>
          <w:sz w:val="20"/>
          <w:szCs w:val="20"/>
          <w:color w:val="auto"/>
        </w:rPr>
      </w:pPr>
      <w:r>
        <w:rPr>
          <w:rFonts w:ascii="Times New Roman" w:cs="Times New Roman" w:eastAsia="Times New Roman" w:hAnsi="Times New Roman"/>
          <w:sz w:val="14"/>
          <w:szCs w:val="14"/>
          <w:color w:val="auto"/>
        </w:rPr>
        <w:t>Because there is no minimum offering amount required as a condition to close this offering, the actual total public offering amount, commissions and proceeds to us, if any, are not determinable at this time. We estimate that the total expenses for the offering, excluding any commissions or expense reimbursement payable to the Managers pursuant to the terms of the equity distribution agreement, will be approximately $525,000, and we expect to incur additional expenses (in addition to any such commissions and expense reimbursement) in connection with this offering in the future. We have agreed to reimburse each of the Managers, the Forward Sellers and the Forward Purchasers for certain of their expenses in certain circumstances in connection with their performance under the equity distribution agreement.</w:t>
      </w:r>
    </w:p>
    <w:p>
      <w:pPr>
        <w:spacing w:after="0" w:line="88" w:lineRule="exact"/>
        <w:rPr>
          <w:sz w:val="20"/>
          <w:szCs w:val="20"/>
          <w:color w:val="auto"/>
        </w:rPr>
      </w:pPr>
    </w:p>
    <w:p>
      <w:pPr>
        <w:jc w:val="both"/>
        <w:ind w:left="1340" w:right="1439" w:firstLine="277"/>
        <w:spacing w:after="0" w:line="242" w:lineRule="auto"/>
        <w:rPr>
          <w:sz w:val="20"/>
          <w:szCs w:val="20"/>
          <w:color w:val="auto"/>
        </w:rPr>
      </w:pPr>
      <w:r>
        <w:rPr>
          <w:rFonts w:ascii="Times New Roman" w:cs="Times New Roman" w:eastAsia="Times New Roman" w:hAnsi="Times New Roman"/>
          <w:sz w:val="14"/>
          <w:szCs w:val="14"/>
          <w:color w:val="auto"/>
        </w:rPr>
        <w:t>In connection with the sale of shares of our common stock, each of the Managers, Forward Sellers or Forward Purchasers may be deemed to be an “underwriter” within the meaning of the Securities Act, and the compensation paid to the Managers, the Forward Sellers or the Forward Purchasers may be deemed to be underwriting commissions or discounts. We have agreed in the equity distribution agreement to provide indemnification and contribution to each of the Managers, Forward Sellers and Forward Purchasers against certain civil liabilities, including liabilities under the Securities Act. See “Plan of Distribution (Conflicts of Interest)” in this prospectus supplement.</w:t>
      </w:r>
    </w:p>
    <w:p>
      <w:pPr>
        <w:spacing w:after="0" w:line="90" w:lineRule="exact"/>
        <w:rPr>
          <w:sz w:val="20"/>
          <w:szCs w:val="20"/>
          <w:color w:val="auto"/>
        </w:rPr>
      </w:pPr>
    </w:p>
    <w:p>
      <w:pPr>
        <w:ind w:left="1340" w:right="1439" w:firstLine="277"/>
        <w:spacing w:after="0" w:line="243" w:lineRule="auto"/>
        <w:rPr>
          <w:sz w:val="20"/>
          <w:szCs w:val="20"/>
          <w:color w:val="auto"/>
        </w:rPr>
      </w:pPr>
      <w:r>
        <w:rPr>
          <w:rFonts w:ascii="Times New Roman" w:cs="Times New Roman" w:eastAsia="Times New Roman" w:hAnsi="Times New Roman"/>
          <w:sz w:val="14"/>
          <w:szCs w:val="14"/>
          <w:color w:val="auto"/>
        </w:rPr>
        <w:t>The offer and sale of shares of our common stock pursuant to the equity distribution agreement will terminate upon the earliest of (1) the sale of shares of our common stock pursuant to the equity distribution agreement with an aggregate gross sales price equal to $1,000,000,000, (2) the termination of the equity distribution agreement at any time by us or by the Managers, the Forward Purchasers and the Forward Sellers or (3) May 15, 2029.</w:t>
      </w: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Shares of our common stock are an “actively-traded security” excepted from the requirements of</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Rule 101 of Regulation M under the Securities Exchange Act of 1934, as amended (the “Exchange Act”). If</w:t>
      </w:r>
    </w:p>
    <w:p>
      <w:pPr>
        <w:spacing w:after="0" w:line="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we or any of the Managers, the Forward Purchasers or the Forward Sellers have reason to believe that</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spacing w:after="0" w:line="256" w:lineRule="auto"/>
        <w:rPr>
          <w:sz w:val="20"/>
          <w:szCs w:val="20"/>
          <w:color w:val="auto"/>
        </w:rPr>
      </w:pPr>
      <w:r>
        <w:rPr>
          <w:rFonts w:ascii="Times New Roman" w:cs="Times New Roman" w:eastAsia="Times New Roman" w:hAnsi="Times New Roman"/>
          <w:sz w:val="14"/>
          <w:szCs w:val="14"/>
          <w:color w:val="auto"/>
        </w:rPr>
        <w:t>shares of our common stock are no longer an “actively-traded security” as defined under Rule 101(c)(l) of Regulation M under the Exchange Act, that party will promptly notify the other parties, and sales of shares of our common stock pursuant to the equity distribution agreement or any forward sale agreement will be suspended until, in our collective judgment, Rule 101(c)(1) or another exemptive provision has been satisfied.</w:t>
      </w:r>
    </w:p>
    <w:p>
      <w:pPr>
        <w:spacing w:after="0" w:line="258"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We will report at least quarterly the number of shares of our common stock sold through the Managers, the Forward Purchasers and the Forward Sellers under the equity distribution agreement, the net proceeds to us (before expenses) and the commissions paid by us to the Managers, the Forward Purchasers and the Forward Sellers in connection with the sales of shares of our common stock.</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Sales through Managers</w:t>
      </w:r>
    </w:p>
    <w:p>
      <w:pPr>
        <w:spacing w:after="0" w:line="122"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From time to time during the term of the equity distribution agreement, we may deliver a transaction confirmation to one of the Managers specifying the length of the selling period, the number of shares of our common stock to be sold and the minimum price below which sales may not be made.</w:t>
      </w:r>
    </w:p>
    <w:p>
      <w:pPr>
        <w:spacing w:after="0" w:line="75"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Each Manager has agreed that, upon receipt of a transaction confirmation from us that is accepted by a Manager, and subject to the terms and conditions of the equity distribution agreement, such Manager will use commercially reasonable efforts consistent with its normal trading and sales practices to sell such shares of our common stock on such terms. We or such Manager may suspend the offer and sale of shares of our common stock at any time upon proper notice to the other party, upon which the selling period will immediately terminate. The obligation of each Manager under the equity distribution agreement to sell shares of our common stock pursuant to any transaction confirmation is subject to a number of conditions, which such Manager reserves the right to waive in its sole discretion.</w:t>
      </w:r>
    </w:p>
    <w:p>
      <w:pPr>
        <w:spacing w:after="0" w:line="92" w:lineRule="exact"/>
        <w:rPr>
          <w:sz w:val="20"/>
          <w:szCs w:val="20"/>
          <w:color w:val="auto"/>
        </w:rPr>
      </w:pPr>
    </w:p>
    <w:p>
      <w:pPr>
        <w:ind w:left="1340" w:right="1519" w:firstLine="277"/>
        <w:spacing w:after="0" w:line="278" w:lineRule="auto"/>
        <w:rPr>
          <w:sz w:val="20"/>
          <w:szCs w:val="20"/>
          <w:color w:val="auto"/>
        </w:rPr>
      </w:pPr>
      <w:r>
        <w:rPr>
          <w:rFonts w:ascii="Times New Roman" w:cs="Times New Roman" w:eastAsia="Times New Roman" w:hAnsi="Times New Roman"/>
          <w:sz w:val="14"/>
          <w:szCs w:val="14"/>
          <w:color w:val="auto"/>
        </w:rPr>
        <w:t>We will pay each Manager a commission of up to 1% of the gross sales price per share for any shares sold through it as an agent under the equity distribution agreement.</w:t>
      </w:r>
    </w:p>
    <w:p>
      <w:pPr>
        <w:spacing w:after="0" w:line="74"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Settlement for sales of shares of our common stock will occur, unless the parties agree otherwise, on the first trading day following the date on which such sales were made in return for payment of the proceeds to us net of compensation paid by us to the Managers. There is no arrangement for funds to be received in an escrow, trust or similar arrangement.</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Sales through Forward Sellers</w:t>
      </w:r>
    </w:p>
    <w:p>
      <w:pPr>
        <w:spacing w:after="0" w:line="111"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From time to time during the term of the equity distribution agreement, and subject to the terms and conditions set forth therein and in the related master forward confirmation, we may deliver a forward placement notice relating to a forward sale to any of the Forward Sellers and the applicable Forward Purchaser. Upon acceptance by a Forward Seller and the applicable Forward Purchaser of a forward placement notice from us requesting that such Forward Seller execute sales of borrowed shares of our common stock in connection with a forward sale agreement, subject to the terms and conditions of the equity distribution agreement and the applicable forward sale agreement, the affiliated Forward Purchaser or its affiliate will use commercially reasonable efforts to borrow, and such Forward Seller, or in the case of Nomura Securities International, Inc., its agent BTIG, LLC, will use commercially reasonable efforts consistent with its normal trading and sales practices to sell, the borrowed shares of our common stock on such terms to hedge such Forward Purchaser’s exposure under that particular forward sale agreement. We or the relevant Forward Seller may immediately suspend the offer and sale of shares of our common stock in respect of a forward sale agreement at any time upon proper notice to the other. The obligation of the relevant Forward Seller under the equity distribution agreement to execute such sales of shares of our common stock is subject to a number of conditions, which each Forward Seller reserves the right to waive in its sole discretion.</w:t>
      </w:r>
    </w:p>
    <w:p>
      <w:pPr>
        <w:spacing w:after="0" w:line="268" w:lineRule="exact"/>
        <w:rPr>
          <w:sz w:val="20"/>
          <w:szCs w:val="20"/>
          <w:color w:val="auto"/>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In connection with each forward sale agreement, the relevant Forward Seller will receive, in the form of a reduced initial forward sale price under the related forward sale agreement with the related Forward Purchaser, commissions at a mutually agreed rate of up to 1% of the gross sales price of all borrowed shares of our common stock sold during the applicable forward hedge selling period by it as Forward Seller, or in the case of Nomura Securities International, Inc., its agent BTIG, LLC. We refer to this commission rate as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spacing w:after="0" w:line="278" w:lineRule="auto"/>
        <w:rPr>
          <w:sz w:val="20"/>
          <w:szCs w:val="20"/>
          <w:color w:val="auto"/>
        </w:rPr>
      </w:pPr>
      <w:r>
        <w:rPr>
          <w:rFonts w:ascii="Times New Roman" w:cs="Times New Roman" w:eastAsia="Times New Roman" w:hAnsi="Times New Roman"/>
          <w:sz w:val="14"/>
          <w:szCs w:val="14"/>
          <w:color w:val="auto"/>
        </w:rPr>
        <w:t>the forward selling commission. The forward hedge selling period will be the period of consecutive trading days determined by us in our sole discretion and as specified in the relevant forward placement notice.</w:t>
      </w:r>
    </w:p>
    <w:p>
      <w:pPr>
        <w:spacing w:after="0" w:line="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forward sale price per share under each forward sale agreement will initially equal the product of</w:t>
      </w:r>
    </w:p>
    <w:p>
      <w:pPr>
        <w:spacing w:after="0" w:line="11" w:lineRule="exact"/>
        <w:rPr>
          <w:sz w:val="20"/>
          <w:szCs w:val="20"/>
          <w:color w:val="auto"/>
        </w:rPr>
      </w:pPr>
    </w:p>
    <w:p>
      <w:pPr>
        <w:ind w:left="1340" w:right="1419" w:firstLine="6"/>
        <w:spacing w:after="0" w:line="239" w:lineRule="auto"/>
        <w:tabs>
          <w:tab w:leader="none" w:pos="154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one minus the applicable forward selling commission and (2) the volume-weighted average price per share at which the borrowed shares of our common stock were sold pursuant to the equity distribution agreement by the relevant Forward Seller. Thereafter, the forward sale price will be subject to adjustment as described below.</w:t>
      </w:r>
    </w:p>
    <w:p>
      <w:pPr>
        <w:spacing w:after="0" w:line="91" w:lineRule="exact"/>
        <w:rPr>
          <w:sz w:val="20"/>
          <w:szCs w:val="20"/>
          <w:color w:val="auto"/>
        </w:rPr>
      </w:pPr>
    </w:p>
    <w:p>
      <w:pPr>
        <w:ind w:left="1340" w:right="1419" w:firstLine="277"/>
        <w:spacing w:after="0" w:line="242" w:lineRule="auto"/>
        <w:rPr>
          <w:sz w:val="20"/>
          <w:szCs w:val="20"/>
          <w:color w:val="auto"/>
        </w:rPr>
      </w:pPr>
      <w:r>
        <w:rPr>
          <w:rFonts w:ascii="Times New Roman" w:cs="Times New Roman" w:eastAsia="Times New Roman" w:hAnsi="Times New Roman"/>
          <w:sz w:val="14"/>
          <w:szCs w:val="14"/>
          <w:color w:val="auto"/>
        </w:rPr>
        <w:t>The forward sale agreements, the terms of which may not be less than two (2) months or more than eighteen (18) months, will provide that the forward sale price, as well as the sales prices used to calculate the initial forward sale price, will be subject to increase or decrease based on the overnight bank rate, less a spread, and subject to decrease by amounts related to expected dividends on shares of our common stock during the term of the particular forward sale agreement. If the overnight bank rate is less than the spread for a particular forward sale agreement on any day, the interest factor will result in a daily reduction of the forward sale price.</w:t>
      </w:r>
    </w:p>
    <w:p>
      <w:pPr>
        <w:spacing w:after="0" w:line="252"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Except under limited circumstances described below, we have the right to elect physical, cash or net share settlement under any forward sale agreement. Although we expect to settle any forward sale agreement entirely by delivering shares of our common stock in connection with full physical settlement, we may, subject to certain conditions, elect cash settlement or net share settlement for all or a portion of our obligations under a particular forward sale agreement. For example, we may conclude to cash settle or net share settle a particular forward sale agreement if we have no then-current use for all or a portion of the net proceeds that we would receive upon physical settlement. In addition, subject to certain conditions, we may elect to accelerate the settlement of all or a portion of the number of shares of our common stock underlying a particular forward sale agreement.</w:t>
      </w:r>
    </w:p>
    <w:p>
      <w:pPr>
        <w:spacing w:after="0" w:line="83" w:lineRule="exact"/>
        <w:rPr>
          <w:sz w:val="20"/>
          <w:szCs w:val="20"/>
          <w:color w:val="auto"/>
        </w:rPr>
      </w:pPr>
    </w:p>
    <w:p>
      <w:pPr>
        <w:ind w:left="1340" w:right="1419" w:firstLine="277"/>
        <w:spacing w:after="0" w:line="242" w:lineRule="auto"/>
        <w:rPr>
          <w:sz w:val="20"/>
          <w:szCs w:val="20"/>
          <w:color w:val="auto"/>
        </w:rPr>
      </w:pPr>
      <w:r>
        <w:rPr>
          <w:rFonts w:ascii="Times New Roman" w:cs="Times New Roman" w:eastAsia="Times New Roman" w:hAnsi="Times New Roman"/>
          <w:sz w:val="14"/>
          <w:szCs w:val="14"/>
          <w:color w:val="auto"/>
        </w:rPr>
        <w:t>If we elect to physically settle any forward sale agreement, we will receive an amount of cash from the relevant Forward Purchaser equal to the product of the forward sale price per share under that particular forward sale agreement and the number of shares of our common stock underlying the particular forward sale agreement. If we elect cash settlement or net share settlement with respect to all or a portion of the number of shares of our common stock underlying a forward sale agreement, we expect the applicable Forward Purchaser (or an affiliate thereof) to purchase a number of shares of our common stock in secondary market transactions over an unwind period to:</w:t>
      </w:r>
    </w:p>
    <w:p>
      <w:pPr>
        <w:spacing w:after="0" w:line="69" w:lineRule="exact"/>
        <w:rPr>
          <w:sz w:val="20"/>
          <w:szCs w:val="20"/>
          <w:color w:val="auto"/>
        </w:rPr>
      </w:pPr>
    </w:p>
    <w:p>
      <w:pPr>
        <w:ind w:left="1760" w:right="1399" w:hanging="137"/>
        <w:spacing w:after="0" w:line="262"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shares of our common stock to securities lenders in order to unwind such Forward Purchaser’s hedge (after taking into consideration any shares of our common stock to be delivered by us to such Forward Purchaser, in the case of net share settlement); and</w:t>
      </w:r>
    </w:p>
    <w:p>
      <w:pPr>
        <w:spacing w:after="0" w:line="54"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shares of our common stock to us to the extent required in settlement of such forward sale agreement.</w:t>
      </w:r>
    </w:p>
    <w:p>
      <w:pPr>
        <w:spacing w:after="0" w:line="63"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If the volume-weighted average price at which a particular Forward Purchaser (or its affiliate) is able to purchase (or is deemed able to purchase) shares of our common stock during the applicable unwind period in respect of a forward sale agreement is above the relevant forward sale price, in the case of cash settlement, we would pay the applicable Forward Purchaser under such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in the case of cash settlement. If the volume-weighted average price at which a particular Forward Purchaser (or its affiliate) is able to purchase (or is deemed able to purchase) shares of our common stock during the applicable unwind period in respect of a forward sale agreement is below the relevant forward sale price, in the case of cash settlement, we would be paid the difference in cash by the relevant Forward Purchaser under such forward sale agreement or, in the case of net share settlement, we would receive from such Forward Purchaser a number of shares of our common stock having a value equal to the difference.</w:t>
      </w:r>
    </w:p>
    <w:p>
      <w:pPr>
        <w:spacing w:after="0" w:line="89" w:lineRule="exact"/>
        <w:rPr>
          <w:sz w:val="20"/>
          <w:szCs w:val="20"/>
          <w:color w:val="auto"/>
        </w:rPr>
      </w:pPr>
    </w:p>
    <w:p>
      <w:pPr>
        <w:ind w:left="1340" w:right="1579" w:firstLine="277"/>
        <w:spacing w:after="0" w:line="255" w:lineRule="auto"/>
        <w:rPr>
          <w:sz w:val="20"/>
          <w:szCs w:val="20"/>
          <w:color w:val="auto"/>
        </w:rPr>
      </w:pPr>
      <w:r>
        <w:rPr>
          <w:rFonts w:ascii="Times New Roman" w:cs="Times New Roman" w:eastAsia="Times New Roman" w:hAnsi="Times New Roman"/>
          <w:sz w:val="14"/>
          <w:szCs w:val="14"/>
          <w:color w:val="auto"/>
        </w:rPr>
        <w:t>In addition, the purchase of shares of our common stock in connection with the relevant Forward Purchaser or its affiliate unwinding the Forward Purchaser’s hedge positions could cause the price of our common stock to increase over such time (or prevent a decrease over such time), thereby increasing the</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639"/>
        <w:spacing w:after="0" w:line="244" w:lineRule="auto"/>
        <w:rPr>
          <w:sz w:val="20"/>
          <w:szCs w:val="20"/>
          <w:color w:val="auto"/>
        </w:rPr>
      </w:pPr>
      <w:r>
        <w:rPr>
          <w:rFonts w:ascii="Times New Roman" w:cs="Times New Roman" w:eastAsia="Times New Roman" w:hAnsi="Times New Roman"/>
          <w:sz w:val="14"/>
          <w:szCs w:val="14"/>
          <w:color w:val="auto"/>
        </w:rPr>
        <w:t>amount of cash we would owe to such Forward Purchaser (or decreasing the amount of cash that such Forward Purchaser would owe us) upon a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 See “Risk Factors” in this prospectus supplement.</w:t>
      </w:r>
    </w:p>
    <w:p>
      <w:pPr>
        <w:spacing w:after="0" w:line="88"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Each Forward Purchaser will have the right to accelerate its forward sale agreement (with respect to all or any portion of the transaction under such forward sale agreement that such Forward Purchaser determines is affected by such event) and require us to physically settle on a date specified by such Forward Purchaser if (1) in such Forward Purchaser’s good faith commercially reasonable judgment, it or its affiliate (x) is unable to hedge its exposure under such forward sale agreement because an insufficient number of shares of our common stock have been made available for borrowing by securities lenders or (y) would incur a stock loan cost in excess of a specified threshold to hedge its exposure under such forward sale agreement; (2) we declare any dividend, issue or distribution on shares of our common stock (a) payable in cash in excess of specified amounts (unless it is an extraordinary dividend), (b) payable in securities of another company that we acquire or own (directly or indirectly) as a result of a spin-off or similar transaction, or (c) of any other type of securities (other than shares of our common stock), rights, warrants or other assets for payment at less than the prevailing market price; (3) certain ownership thresholds in shares of our common stock which are applicable to such Forward Purchaser and its associated persons are exceeded; (4) an event is announced that if consummated would result in a specified extraordinary event (including certain mergers or tender offers, as well as certain events involving our nationalization or insolvency or a delisting of our common stock) or the occurrence of a change in law under the forward sale agreement; or (5) certain events of default or termination events occur, including, among others, any material misrepresentation made in connection with such forward sale agreement (each as more fully described in each forward sale agreement). A Forward Purchaser’s decision to exercise its right to accelerate any forward sale agreement and to require us to physically settle any such forward sale agreement will be made irrespective of our interests, including our need for capital. In such cases, we could be required to deliver shares of our common stock under the terms of the physical settlement provisions of the applicable forward sale agreement irrespective of our capital needs, which would result in dilution to our earnings per share and return on equity. In addition, upon certain bankruptcy, insolvency or reorganization filings relating to us, the forward sale agreement will terminate without further liability of either party. Following any such termination, we would not deliver any shares of our common stock and we would not receive any proceeds pursuant to the forward sale agreement. See “Risk Factors” in this prospectus supplement.</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11" w:lineRule="exact"/>
        <w:rPr>
          <w:sz w:val="20"/>
          <w:szCs w:val="20"/>
          <w:color w:val="auto"/>
        </w:rPr>
      </w:pPr>
    </w:p>
    <w:p>
      <w:pPr>
        <w:ind w:left="1340" w:right="1499" w:firstLine="277"/>
        <w:spacing w:after="0" w:line="253" w:lineRule="auto"/>
        <w:rPr>
          <w:sz w:val="20"/>
          <w:szCs w:val="20"/>
          <w:color w:val="auto"/>
        </w:rPr>
      </w:pPr>
      <w:r>
        <w:rPr>
          <w:rFonts w:ascii="Times New Roman" w:cs="Times New Roman" w:eastAsia="Times New Roman" w:hAnsi="Times New Roman"/>
          <w:sz w:val="14"/>
          <w:szCs w:val="14"/>
          <w:color w:val="auto"/>
        </w:rPr>
        <w:t>We expect that all of the proceeds of any shares sold by a Forward Seller, and in the case of Nomura Securities International, Inc., through its agent, BTIG, LLC, will be paid to the related Forward Purchaser. To the extent such Forward Purchaser or its affiliate receives more than 5% of the net proceeds of this offering, not including commissions, such Forward Seller, including BTIG, LLC, as agent for Nomura Securities International, Inc., would be deemed to have a conflict of interest under FINRA Rule 5121 and would be required to conduct the distribution of shares of our common stock in accordance with FINRA Rule 5121.</w:t>
      </w:r>
    </w:p>
    <w:p>
      <w:pPr>
        <w:spacing w:after="0" w:line="260"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The Managers, the Forward Purchasers and the Forward Sellers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respective businesses, certain of the Managers, the Forward Purchasers, the Forward Sellers and/or their respective affiliates have engaged, and may in the future engage, in commercial banking, investment banking, trust or investment management transactions with us and our affiliates for which they have received, and will in the future receive, customary compensation.</w:t>
      </w:r>
    </w:p>
    <w:p>
      <w:pPr>
        <w:spacing w:after="0" w:line="261"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Certain of the Managers and/or their affiliates may in the future hold a portion of our commercial paper obligations that we intend to repay using the net proceeds of this offering. In such event, it is possible that one or more of the Managers or their affiliates could receive at least 5% of the net proceeds of this offering, and in that case, such Manager would be deemed to have a conflict of interest under FINRA Rule 5121 (Public Offerings of Securities with Conflicts of Interest). In the event of any such conflict of</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spacing w:after="0" w:line="257" w:lineRule="auto"/>
        <w:rPr>
          <w:sz w:val="20"/>
          <w:szCs w:val="20"/>
          <w:color w:val="auto"/>
        </w:rPr>
      </w:pPr>
      <w:r>
        <w:rPr>
          <w:rFonts w:ascii="Times New Roman" w:cs="Times New Roman" w:eastAsia="Times New Roman" w:hAnsi="Times New Roman"/>
          <w:sz w:val="14"/>
          <w:szCs w:val="14"/>
          <w:color w:val="auto"/>
        </w:rPr>
        <w:t>interest, such Manager would be required to conduct the sale of shares of our common stock in accordance with FINRA Rule 5121. If FINRA Rule 5121 is applicable, such Manager would not be permitted to confirm a sale to an account over which it exercises discretionary authority without first receiving specific written approval from the account holder.</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22"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If we enter into a forward sale agreement with any Forward Purchaser, we expect that the affiliated Forward Seller, or in the case of Nomura Securities International, Inc., BTIG, LLC, acting as agent, will attempt to sell borrowed shares of our common stock to hedge such Forward Purchaser’s exposure under such forward sale agreement. All of the net proceeds from the sale of any such borrowed shares of our common stock will be paid to the applicable Forward Purchaser. Such entity will be either a Manager or an affiliate of a Manager. As a result, a Manager or one of its affiliates will receive the net proceeds from any sale of borrowed shares of our common stock made in connection with any forward sale agreement.</w:t>
      </w:r>
    </w:p>
    <w:p>
      <w:pPr>
        <w:spacing w:after="0" w:line="95" w:lineRule="exact"/>
        <w:rPr>
          <w:sz w:val="20"/>
          <w:szCs w:val="20"/>
          <w:color w:val="auto"/>
        </w:rPr>
      </w:pPr>
    </w:p>
    <w:p>
      <w:pPr>
        <w:ind w:left="1340" w:right="1379" w:firstLine="277"/>
        <w:spacing w:after="0" w:line="249"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Managers, the Forward Purchasers and the Forward Sellers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Certain of the Managers, the Forward Purchasers and the Forward Sellers and/or their affiliates have a lending relationship with us, and certain of these Managers, Forward Purchasers and Forward Sellers or their affiliates routinely hedge and certain of these Managers, Forward Purchasers, Forward Sellers or their respective affiliates may hedge their credit exposure to us consistent with their customary risk management policies. Typically, such Managers, Forward Purchasers, Forward Sellers and their respective affiliates would hedge such exposure by entering into transactions which consist of either the purchase of credit default swaps or the creation of short positions in our securities, including potentially shares of our common stock offered hereby. Any credit default swaps or short positions could adversely affect future trading prices of shares of our common stock offered hereby. The Managers, the Forward Purchasers, the Forward Sellers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w:t>
      </w:r>
    </w:p>
    <w:p>
      <w:pPr>
        <w:spacing w:after="0" w:line="90"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color w:val="auto"/>
        </w:rPr>
        <w:t>Each Manager may, to the extent permitted under the Securities Act and the Exchange Act, purchase and sell shares of our common stock for its own account and for the account of its clients. In addition, each Manager’s affiliates may make markets in our common stock or our other securities, in connection with which they may buy and sell, as agent or principal, for long or short account, shares of our common stock or our other securities, at the same time such Manager is acting as agent pursuant to the 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ind w:left="1340" w:right="1359" w:firstLine="277"/>
        <w:spacing w:after="0" w:line="255" w:lineRule="auto"/>
        <w:rPr>
          <w:sz w:val="20"/>
          <w:szCs w:val="20"/>
          <w:color w:val="auto"/>
        </w:rPr>
      </w:pPr>
      <w:r>
        <w:rPr>
          <w:rFonts w:ascii="Times New Roman" w:cs="Times New Roman" w:eastAsia="Times New Roman" w:hAnsi="Times New Roman"/>
          <w:sz w:val="14"/>
          <w:szCs w:val="14"/>
          <w:color w:val="auto"/>
        </w:rPr>
        <w:t>Baker Botts L.L.P., Houston, Texas will pass on the validity of the securities offered in this prospectus supplement. Monica Karuturi, our Executive Vice President and General Counsel, may pass on other legal matters for us. Hunton Andrews Kurth LLP, New York, New York will pass on certain legal matters for the Managers, the Forward Sellers and the Forward Purchasers. From time to time, Hunton Andrews Kurth LLP, acts as counsel to CenterPoint Energy and its affiliates on certain matters.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2" w:lineRule="exact"/>
        <w:rPr>
          <w:sz w:val="20"/>
          <w:szCs w:val="20"/>
          <w:color w:val="auto"/>
        </w:rPr>
      </w:pPr>
    </w:p>
    <w:p>
      <w:pPr>
        <w:ind w:left="1340" w:right="1359" w:firstLine="277"/>
        <w:spacing w:after="0" w:line="252"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of CenterPoint Energy, Inc. as of December 31, 2025 and 2024, and for each of the three years in the period ended December 31, 2025, incorporated by reference in this prospectus </w:t>
      </w:r>
      <w:hyperlink r:id="rId38">
        <w:r>
          <w:rPr>
            <w:rFonts w:ascii="Times New Roman" w:cs="Times New Roman" w:eastAsia="Times New Roman" w:hAnsi="Times New Roman"/>
            <w:sz w:val="14"/>
            <w:szCs w:val="14"/>
            <w:color w:val="auto"/>
          </w:rPr>
          <w:t xml:space="preserve">supplement by reference to CenterPoint Energy, Inc.’s </w:t>
        </w:r>
        <w:r>
          <w:rPr>
            <w:rFonts w:ascii="Times New Roman" w:cs="Times New Roman" w:eastAsia="Times New Roman" w:hAnsi="Times New Roman"/>
            <w:sz w:val="14"/>
            <w:szCs w:val="14"/>
            <w:u w:val="single" w:color="auto"/>
            <w:color w:val="0000EE"/>
          </w:rPr>
          <w:t>Annual Report on Form 10-K for the year ended</w:t>
        </w:r>
      </w:hyperlink>
      <w:r>
        <w:rPr>
          <w:rFonts w:ascii="Times New Roman" w:cs="Times New Roman" w:eastAsia="Times New Roman" w:hAnsi="Times New Roman"/>
          <w:sz w:val="14"/>
          <w:szCs w:val="14"/>
          <w:color w:val="auto"/>
        </w:rPr>
        <w:t xml:space="preserve"> </w:t>
      </w:r>
      <w:hyperlink r:id="rId38">
        <w:r>
          <w:rPr>
            <w:rFonts w:ascii="Times New Roman" w:cs="Times New Roman" w:eastAsia="Times New Roman" w:hAnsi="Times New Roman"/>
            <w:sz w:val="14"/>
            <w:szCs w:val="14"/>
            <w:u w:val="single" w:color="auto"/>
            <w:color w:val="0000EE"/>
          </w:rPr>
          <w:t>December 31, 2025</w:t>
        </w:r>
        <w:r>
          <w:rPr>
            <w:rFonts w:ascii="Times New Roman" w:cs="Times New Roman" w:eastAsia="Times New Roman" w:hAnsi="Times New Roman"/>
            <w:sz w:val="14"/>
            <w:szCs w:val="14"/>
            <w:color w:val="000000"/>
          </w:rPr>
          <w:t>, and the effectiveness of CenterPoint Energy, Inc.’s internal control over financial</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2"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In this prospectus supplement, including the information we incorporate by reference, we make statements concerning our expectations, beliefs, plans, objectives, goals, strategies, future events or performance and underlying assumptions and other statements that are not historical facts. These statements are “forward- 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88"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90"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our forward-looking statements:</w:t>
      </w:r>
    </w:p>
    <w:p>
      <w:pPr>
        <w:spacing w:after="0" w:line="43" w:lineRule="exact"/>
        <w:rPr>
          <w:sz w:val="20"/>
          <w:szCs w:val="20"/>
          <w:color w:val="auto"/>
        </w:rPr>
      </w:pPr>
    </w:p>
    <w:p>
      <w:pPr>
        <w:ind w:left="1760" w:right="1419" w:hanging="137"/>
        <w:spacing w:after="0" w:line="255"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w:t>
      </w:r>
    </w:p>
    <w:p>
      <w:pPr>
        <w:spacing w:after="0" w:line="58" w:lineRule="exact"/>
        <w:rPr>
          <w:rFonts w:ascii="Times New Roman" w:cs="Times New Roman" w:eastAsia="Times New Roman" w:hAnsi="Times New Roman"/>
          <w:sz w:val="14"/>
          <w:szCs w:val="14"/>
          <w:color w:val="auto"/>
        </w:rPr>
      </w:pPr>
    </w:p>
    <w:p>
      <w:pPr>
        <w:ind w:left="1760" w:right="1459" w:hanging="137"/>
        <w:spacing w:after="0" w:line="252"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w:t>
      </w:r>
    </w:p>
    <w:p>
      <w:pPr>
        <w:spacing w:after="0" w:line="60"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w:t>
      </w:r>
    </w:p>
    <w:p>
      <w:pPr>
        <w:spacing w:after="0" w:line="42" w:lineRule="exact"/>
        <w:rPr>
          <w:rFonts w:ascii="Times New Roman" w:cs="Times New Roman" w:eastAsia="Times New Roman" w:hAnsi="Times New Roman"/>
          <w:sz w:val="14"/>
          <w:szCs w:val="14"/>
          <w:color w:val="auto"/>
        </w:rPr>
      </w:pPr>
    </w:p>
    <w:p>
      <w:pPr>
        <w:ind w:left="1760" w:right="1359" w:hanging="137"/>
        <w:spacing w:after="0" w:line="260"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spacing w:after="0" w:line="224"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w:t>
      </w:r>
    </w:p>
    <w:p>
      <w:pPr>
        <w:spacing w:after="0" w:line="58" w:lineRule="exact"/>
        <w:rPr>
          <w:rFonts w:ascii="Times New Roman" w:cs="Times New Roman" w:eastAsia="Times New Roman" w:hAnsi="Times New Roman"/>
          <w:sz w:val="14"/>
          <w:szCs w:val="14"/>
          <w:color w:val="auto"/>
        </w:rPr>
      </w:pPr>
    </w:p>
    <w:p>
      <w:pPr>
        <w:ind w:left="1760" w:right="1359" w:hanging="137"/>
        <w:spacing w:after="0" w:line="255"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w:t>
      </w:r>
    </w:p>
    <w:p>
      <w:pPr>
        <w:spacing w:after="0" w:line="58" w:lineRule="exact"/>
        <w:rPr>
          <w:rFonts w:ascii="Times New Roman" w:cs="Times New Roman" w:eastAsia="Times New Roman" w:hAnsi="Times New Roman"/>
          <w:sz w:val="14"/>
          <w:szCs w:val="14"/>
          <w:color w:val="auto"/>
        </w:rPr>
      </w:pPr>
    </w:p>
    <w:p>
      <w:pPr>
        <w:ind w:left="1760" w:right="1459" w:hanging="137"/>
        <w:spacing w:after="0" w:line="253" w:lineRule="auto"/>
        <w:tabs>
          <w:tab w:leader="none" w:pos="1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99" w:hanging="137"/>
        <w:spacing w:after="0" w:line="26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spacing w:after="0" w:line="54" w:lineRule="exact"/>
        <w:rPr>
          <w:rFonts w:ascii="Times New Roman" w:cs="Times New Roman" w:eastAsia="Times New Roman" w:hAnsi="Times New Roman"/>
          <w:sz w:val="14"/>
          <w:szCs w:val="14"/>
          <w:color w:val="auto"/>
        </w:rPr>
      </w:pPr>
    </w:p>
    <w:p>
      <w:pPr>
        <w:ind w:left="1760" w:right="1439" w:hanging="137"/>
        <w:spacing w:after="0" w:line="25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Houston Electric’s electric delivery system and Hurricane Beryl;</w:t>
      </w:r>
    </w:p>
    <w:p>
      <w:pPr>
        <w:spacing w:after="0" w:line="60" w:lineRule="exact"/>
        <w:rPr>
          <w:rFonts w:ascii="Times New Roman" w:cs="Times New Roman" w:eastAsia="Times New Roman" w:hAnsi="Times New Roman"/>
          <w:sz w:val="14"/>
          <w:szCs w:val="14"/>
          <w:color w:val="auto"/>
        </w:rPr>
      </w:pPr>
    </w:p>
    <w:p>
      <w:pPr>
        <w:ind w:left="1760" w:right="1399" w:hanging="137"/>
        <w:spacing w:after="0" w:line="257"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spacing w:after="0" w:line="48" w:lineRule="exact"/>
        <w:rPr>
          <w:rFonts w:ascii="Times New Roman" w:cs="Times New Roman" w:eastAsia="Times New Roman" w:hAnsi="Times New Roman"/>
          <w:sz w:val="14"/>
          <w:szCs w:val="14"/>
          <w:color w:val="auto"/>
        </w:rPr>
      </w:pPr>
    </w:p>
    <w:p>
      <w:pPr>
        <w:ind w:left="1760" w:right="1539" w:hanging="137"/>
        <w:spacing w:after="0" w:line="26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us, Houston Electric and CERC, and the negative impact on such ability related to adverse economic conditions and severe weather events;</w:t>
      </w:r>
    </w:p>
    <w:p>
      <w:pPr>
        <w:spacing w:after="0" w:line="54" w:lineRule="exact"/>
        <w:rPr>
          <w:rFonts w:ascii="Times New Roman" w:cs="Times New Roman" w:eastAsia="Times New Roman" w:hAnsi="Times New Roman"/>
          <w:sz w:val="14"/>
          <w:szCs w:val="14"/>
          <w:color w:val="auto"/>
        </w:rPr>
      </w:pPr>
    </w:p>
    <w:p>
      <w:pPr>
        <w:ind w:left="1760" w:right="1739" w:hanging="137"/>
        <w:spacing w:after="0" w:line="26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54" w:lineRule="exact"/>
        <w:rPr>
          <w:rFonts w:ascii="Times New Roman" w:cs="Times New Roman" w:eastAsia="Times New Roman" w:hAnsi="Times New Roman"/>
          <w:sz w:val="14"/>
          <w:szCs w:val="14"/>
          <w:color w:val="auto"/>
        </w:rPr>
      </w:pPr>
    </w:p>
    <w:p>
      <w:pPr>
        <w:ind w:left="1760" w:right="1399" w:hanging="137"/>
        <w:spacing w:after="0" w:line="251"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63"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its strategy and 10-year capital plan, and otherwise impact the affordability of our rates for our customers;</w:t>
      </w:r>
    </w:p>
    <w:p>
      <w:pPr>
        <w:spacing w:after="0" w:line="60"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42" w:lineRule="exact"/>
        <w:rPr>
          <w:rFonts w:ascii="Times New Roman" w:cs="Times New Roman" w:eastAsia="Times New Roman" w:hAnsi="Times New Roman"/>
          <w:sz w:val="14"/>
          <w:szCs w:val="14"/>
          <w:color w:val="auto"/>
        </w:rPr>
      </w:pPr>
    </w:p>
    <w:p>
      <w:pPr>
        <w:ind w:left="1760" w:right="1559" w:hanging="137"/>
        <w:spacing w:after="0" w:line="262"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w:t>
      </w:r>
    </w:p>
    <w:p>
      <w:pPr>
        <w:spacing w:after="0" w:line="54" w:lineRule="exact"/>
        <w:rPr>
          <w:rFonts w:ascii="Times New Roman" w:cs="Times New Roman" w:eastAsia="Times New Roman" w:hAnsi="Times New Roman"/>
          <w:sz w:val="14"/>
          <w:szCs w:val="14"/>
          <w:color w:val="auto"/>
        </w:rPr>
      </w:pPr>
    </w:p>
    <w:p>
      <w:pPr>
        <w:ind w:left="1760" w:right="1499" w:hanging="137"/>
        <w:spacing w:after="0" w:line="253"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spacing w:after="0" w:line="217"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539"/>
        <w:spacing w:after="0" w:line="255" w:lineRule="auto"/>
        <w:rPr>
          <w:sz w:val="20"/>
          <w:szCs w:val="20"/>
          <w:color w:val="auto"/>
        </w:rPr>
      </w:pPr>
      <w:r>
        <w:rPr>
          <w:rFonts w:ascii="Times New Roman" w:cs="Times New Roman" w:eastAsia="Times New Roman" w:hAnsi="Times New Roman"/>
          <w:sz w:val="14"/>
          <w:szCs w:val="14"/>
          <w:color w:val="auto"/>
        </w:rPr>
        <w:t>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spacing w:after="0" w:line="48" w:lineRule="exact"/>
        <w:rPr>
          <w:sz w:val="20"/>
          <w:szCs w:val="20"/>
          <w:color w:val="auto"/>
        </w:rPr>
      </w:pPr>
    </w:p>
    <w:p>
      <w:pPr>
        <w:ind w:left="1760" w:right="1439" w:hanging="137"/>
        <w:spacing w:after="0" w:line="262"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53"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w:t>
      </w:r>
    </w:p>
    <w:p>
      <w:pPr>
        <w:spacing w:after="0" w:line="51" w:lineRule="exact"/>
        <w:rPr>
          <w:rFonts w:ascii="Times New Roman" w:cs="Times New Roman" w:eastAsia="Times New Roman" w:hAnsi="Times New Roman"/>
          <w:sz w:val="14"/>
          <w:szCs w:val="14"/>
          <w:color w:val="auto"/>
        </w:rPr>
      </w:pPr>
    </w:p>
    <w:p>
      <w:pPr>
        <w:ind w:left="1760" w:right="2019" w:hanging="137"/>
        <w:spacing w:after="0" w:line="278"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77" w:lineRule="exact"/>
        <w:rPr>
          <w:rFonts w:ascii="Times New Roman" w:cs="Times New Roman" w:eastAsia="Times New Roman" w:hAnsi="Times New Roman"/>
          <w:sz w:val="14"/>
          <w:szCs w:val="14"/>
          <w:color w:val="auto"/>
        </w:rPr>
      </w:pPr>
    </w:p>
    <w:p>
      <w:pPr>
        <w:ind w:left="1760" w:right="1399" w:hanging="137"/>
        <w:spacing w:after="0" w:line="255"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32" w:lineRule="exact"/>
        <w:rPr>
          <w:rFonts w:ascii="Times New Roman" w:cs="Times New Roman" w:eastAsia="Times New Roman" w:hAnsi="Times New Roman"/>
          <w:sz w:val="14"/>
          <w:szCs w:val="14"/>
          <w:color w:val="auto"/>
        </w:rPr>
      </w:pPr>
    </w:p>
    <w:p>
      <w:pPr>
        <w:jc w:val="both"/>
        <w:ind w:left="1760" w:right="1479" w:hanging="137"/>
        <w:spacing w:after="0" w:line="262"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our pension and postretirement benefit plans, such as the investment performance and increases to net periodic costs as a result of plan settlements and changes in assumptions, including discount rates;</w:t>
      </w:r>
    </w:p>
    <w:p>
      <w:pPr>
        <w:spacing w:after="0" w:line="54"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our pension benefit obligation;</w:t>
      </w:r>
    </w:p>
    <w:p>
      <w:pPr>
        <w:spacing w:after="0" w:line="32" w:lineRule="exact"/>
        <w:rPr>
          <w:rFonts w:ascii="Times New Roman" w:cs="Times New Roman" w:eastAsia="Times New Roman" w:hAnsi="Times New Roman"/>
          <w:sz w:val="14"/>
          <w:szCs w:val="14"/>
          <w:color w:val="auto"/>
        </w:rPr>
      </w:pPr>
    </w:p>
    <w:p>
      <w:pPr>
        <w:ind w:left="1760" w:right="1439" w:hanging="137"/>
        <w:spacing w:after="0" w:line="260"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spacing w:after="0" w:line="22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88" w:lineRule="exact"/>
        <w:rPr>
          <w:rFonts w:ascii="Times New Roman" w:cs="Times New Roman" w:eastAsia="Times New Roman" w:hAnsi="Times New Roman"/>
          <w:sz w:val="14"/>
          <w:szCs w:val="14"/>
          <w:color w:val="auto"/>
        </w:rPr>
      </w:pPr>
    </w:p>
    <w:p>
      <w:pPr>
        <w:jc w:val="both"/>
        <w:ind w:left="1760" w:right="1559" w:hanging="137"/>
        <w:spacing w:after="0" w:line="262"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spacing w:after="0" w:line="32"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77"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39" w:hanging="137"/>
        <w:spacing w:after="0" w:line="278" w:lineRule="auto"/>
        <w:tabs>
          <w:tab w:leader="none" w:pos="1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on our strategy, initiatives, targets and goals, including energy transition goals and operations and maintenance expenditure goals;</w:t>
      </w:r>
    </w:p>
    <w:p>
      <w:pPr>
        <w:spacing w:after="0" w:line="42" w:lineRule="exact"/>
        <w:rPr>
          <w:rFonts w:ascii="Times New Roman" w:cs="Times New Roman" w:eastAsia="Times New Roman" w:hAnsi="Times New Roman"/>
          <w:sz w:val="14"/>
          <w:szCs w:val="14"/>
          <w:color w:val="auto"/>
        </w:rPr>
      </w:pPr>
    </w:p>
    <w:p>
      <w:pPr>
        <w:ind w:left="1760" w:right="1519" w:hanging="137"/>
        <w:spacing w:after="0" w:line="278" w:lineRule="auto"/>
        <w:tabs>
          <w:tab w:leader="none" w:pos="1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factors discussed in “Risk Factors” beginning on page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 xml:space="preserve"> of this prospectus supplement.</w:t>
      </w:r>
    </w:p>
    <w:p>
      <w:pPr>
        <w:spacing w:after="0" w:line="120" w:lineRule="exact"/>
        <w:rPr>
          <w:sz w:val="20"/>
          <w:szCs w:val="20"/>
          <w:color w:val="auto"/>
        </w:rPr>
      </w:pPr>
    </w:p>
    <w:p>
      <w:pPr>
        <w:ind w:left="1340" w:right="1539" w:firstLine="277"/>
        <w:spacing w:after="0" w:line="262"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we undertake no obligation to update or revise any forward-looking statements,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2"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and other information with the SEC. The SEC maintains a website that contains information we file electronically with the SEC, which you can access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color w:val="auto"/>
        </w:rPr>
        <w:t xml:space="preserve">Our website is located at </w:t>
      </w:r>
      <w:r>
        <w:rPr>
          <w:rFonts w:ascii="Times New Roman" w:cs="Times New Roman" w:eastAsia="Times New Roman" w:hAnsi="Times New Roman"/>
          <w:sz w:val="14"/>
          <w:szCs w:val="14"/>
          <w:i w:val="1"/>
          <w:iCs w:val="1"/>
          <w:color w:val="auto"/>
        </w:rPr>
        <w:t>http://investors.centerpointenergy.com</w:t>
      </w:r>
      <w:r>
        <w:rPr>
          <w:rFonts w:ascii="Times New Roman" w:cs="Times New Roman" w:eastAsia="Times New Roman" w:hAnsi="Times New Roman"/>
          <w:sz w:val="14"/>
          <w:szCs w:val="14"/>
          <w:color w:val="auto"/>
        </w:rPr>
        <w:t>.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supplement and does not constitute a part of this prospectus supplement.</w:t>
      </w:r>
    </w:p>
    <w:p>
      <w:pPr>
        <w:spacing w:after="0" w:line="81"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This prospectus supplement, which includes information incorporated by reference (see “Incorporation By Reference” below), is part of a registration statement we have filed with the SEC relating to the securities we may offer. As permitted by SEC rules, this prospectus supplement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2"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We are “incorporating by reference” into this prospectus supplement certain information we file with the SEC. This means we are disclosing important information to you by referring you to the documents containing the information. The information we incorporate by reference is considered to be part of this prospectus supplement. Information that we file later with the SEC that is deemed incorporated by reference into this prospectus supplement (but not information deemed to be furnished to and not filed with the SEC) will automatically update and supersede information previously included.</w:t>
      </w:r>
    </w:p>
    <w:p>
      <w:pPr>
        <w:spacing w:after="0" w:line="93" w:lineRule="exact"/>
        <w:rPr>
          <w:sz w:val="20"/>
          <w:szCs w:val="20"/>
          <w:color w:val="auto"/>
        </w:rPr>
      </w:pPr>
    </w:p>
    <w:p>
      <w:pPr>
        <w:ind w:left="1340" w:right="1439" w:firstLine="277"/>
        <w:spacing w:after="0" w:line="257" w:lineRule="auto"/>
        <w:rPr>
          <w:sz w:val="20"/>
          <w:szCs w:val="20"/>
          <w:color w:val="auto"/>
        </w:rPr>
      </w:pPr>
      <w:r>
        <w:rPr>
          <w:rFonts w:ascii="Times New Roman" w:cs="Times New Roman" w:eastAsia="Times New Roman" w:hAnsi="Times New Roman"/>
          <w:sz w:val="14"/>
          <w:szCs w:val="14"/>
          <w:color w:val="auto"/>
        </w:rPr>
        <w:t>We are incorporating by reference into this prospectus supplement the documents listed below and any subsequent filings we make with the SEC under Sections 13(a), 13(c), 14 or 15(d) of the Exchange Act (excluding information deemed to be furnished and not filed with the SEC), until all the shares of our common stock offered hereby are sold:</w:t>
      </w:r>
    </w:p>
    <w:p>
      <w:pPr>
        <w:spacing w:after="0" w:line="58" w:lineRule="exact"/>
        <w:rPr>
          <w:sz w:val="20"/>
          <w:szCs w:val="20"/>
          <w:color w:val="auto"/>
        </w:rPr>
      </w:pPr>
    </w:p>
    <w:p>
      <w:pPr>
        <w:ind w:left="1760" w:right="1359" w:hanging="137"/>
        <w:spacing w:after="0" w:line="262" w:lineRule="auto"/>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38">
        <w:r>
          <w:rPr>
            <w:rFonts w:ascii="Times New Roman" w:cs="Times New Roman" w:eastAsia="Times New Roman" w:hAnsi="Times New Roman"/>
            <w:sz w:val="14"/>
            <w:szCs w:val="14"/>
            <w:u w:val="single" w:color="auto"/>
            <w:color w:val="0000EE"/>
          </w:rPr>
          <w:t>Annual Report on Form 10-K for the fiscal year ended December 31, 2025</w:t>
        </w:r>
      </w:hyperlink>
      <w:r>
        <w:rPr>
          <w:rFonts w:ascii="Times New Roman" w:cs="Times New Roman" w:eastAsia="Times New Roman" w:hAnsi="Times New Roman"/>
          <w:sz w:val="14"/>
          <w:szCs w:val="14"/>
          <w:color w:val="auto"/>
        </w:rPr>
        <w:t xml:space="preserve">, including the portions of our </w:t>
      </w:r>
      <w:hyperlink r:id="rId62">
        <w:r>
          <w:rPr>
            <w:rFonts w:ascii="Times New Roman" w:cs="Times New Roman" w:eastAsia="Times New Roman" w:hAnsi="Times New Roman"/>
            <w:sz w:val="14"/>
            <w:szCs w:val="14"/>
            <w:u w:val="single" w:color="auto"/>
            <w:color w:val="0000EE"/>
          </w:rPr>
          <w:t>definitive proxy statement filed with the SEC on Schedule 14A on March 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that are incorporated by reference therein;</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w:t>
      </w:r>
      <w:hyperlink r:id="rId39">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63">
        <w:r>
          <w:rPr>
            <w:rFonts w:ascii="Times New Roman" w:cs="Times New Roman" w:eastAsia="Times New Roman" w:hAnsi="Times New Roman"/>
            <w:sz w:val="14"/>
            <w:szCs w:val="14"/>
            <w:u w:val="single" w:color="auto"/>
            <w:color w:val="0000EE"/>
          </w:rPr>
          <w:t>February 12, 2026</w:t>
        </w:r>
      </w:hyperlink>
      <w:r>
        <w:rPr>
          <w:rFonts w:ascii="Times New Roman" w:cs="Times New Roman" w:eastAsia="Times New Roman" w:hAnsi="Times New Roman"/>
          <w:sz w:val="14"/>
          <w:szCs w:val="14"/>
          <w:color w:val="auto"/>
        </w:rPr>
        <w:t xml:space="preserve">, </w:t>
      </w:r>
      <w:hyperlink r:id="rId64">
        <w:r>
          <w:rPr>
            <w:rFonts w:ascii="Times New Roman" w:cs="Times New Roman" w:eastAsia="Times New Roman" w:hAnsi="Times New Roman"/>
            <w:sz w:val="14"/>
            <w:szCs w:val="14"/>
            <w:u w:val="single" w:color="auto"/>
            <w:color w:val="0000EE"/>
          </w:rPr>
          <w:t>February 23, 2026</w:t>
        </w:r>
      </w:hyperlink>
      <w:r>
        <w:rPr>
          <w:rFonts w:ascii="Times New Roman" w:cs="Times New Roman" w:eastAsia="Times New Roman" w:hAnsi="Times New Roman"/>
          <w:sz w:val="14"/>
          <w:szCs w:val="14"/>
          <w:color w:val="auto"/>
        </w:rPr>
        <w:t xml:space="preserve">, </w:t>
      </w:r>
      <w:hyperlink r:id="rId65">
        <w:r>
          <w:rPr>
            <w:rFonts w:ascii="Times New Roman" w:cs="Times New Roman" w:eastAsia="Times New Roman" w:hAnsi="Times New Roman"/>
            <w:sz w:val="14"/>
            <w:szCs w:val="14"/>
            <w:u w:val="single" w:color="auto"/>
            <w:color w:val="0000EE"/>
          </w:rPr>
          <w:t>February 26, 2026</w:t>
        </w:r>
      </w:hyperlink>
      <w:r>
        <w:rPr>
          <w:rFonts w:ascii="Times New Roman" w:cs="Times New Roman" w:eastAsia="Times New Roman" w:hAnsi="Times New Roman"/>
          <w:sz w:val="14"/>
          <w:szCs w:val="14"/>
          <w:color w:val="auto"/>
        </w:rPr>
        <w:t xml:space="preserve"> and </w:t>
      </w:r>
      <w:hyperlink r:id="rId66">
        <w:r>
          <w:rPr>
            <w:rFonts w:ascii="Times New Roman" w:cs="Times New Roman" w:eastAsia="Times New Roman" w:hAnsi="Times New Roman"/>
            <w:sz w:val="14"/>
            <w:szCs w:val="14"/>
            <w:u w:val="single" w:color="auto"/>
            <w:color w:val="0000EE"/>
          </w:rPr>
          <w:t>April 17, 2026</w:t>
        </w:r>
      </w:hyperlink>
      <w:r>
        <w:rPr>
          <w:rFonts w:ascii="Times New Roman" w:cs="Times New Roman" w:eastAsia="Times New Roman" w:hAnsi="Times New Roman"/>
          <w:sz w:val="14"/>
          <w:szCs w:val="14"/>
          <w:color w:val="auto"/>
        </w:rPr>
        <w:t>; and</w:t>
      </w:r>
    </w:p>
    <w:p>
      <w:pPr>
        <w:spacing w:after="0" w:line="42" w:lineRule="exact"/>
        <w:rPr>
          <w:rFonts w:ascii="Times New Roman" w:cs="Times New Roman" w:eastAsia="Times New Roman" w:hAnsi="Times New Roman"/>
          <w:sz w:val="14"/>
          <w:szCs w:val="14"/>
          <w:color w:val="auto"/>
        </w:rPr>
      </w:pPr>
    </w:p>
    <w:p>
      <w:pPr>
        <w:ind w:left="1760" w:right="1519" w:hanging="137"/>
        <w:spacing w:after="0" w:line="262" w:lineRule="auto"/>
        <w:tabs>
          <w:tab w:leader="none" w:pos="1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67">
        <w:r>
          <w:rPr>
            <w:rFonts w:ascii="Times New Roman" w:cs="Times New Roman" w:eastAsia="Times New Roman" w:hAnsi="Times New Roman"/>
            <w:sz w:val="14"/>
            <w:szCs w:val="14"/>
            <w:u w:val="single" w:color="auto"/>
            <w:color w:val="0000EE"/>
          </w:rPr>
          <w:t>Exhibit 4(t)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including any amendments or reports filed for the purpose of updating such description.</w:t>
      </w:r>
    </w:p>
    <w:p>
      <w:pPr>
        <w:spacing w:after="0" w:line="75" w:lineRule="exact"/>
        <w:rPr>
          <w:rFonts w:ascii="Times New Roman" w:cs="Times New Roman" w:eastAsia="Times New Roman" w:hAnsi="Times New Roman"/>
          <w:sz w:val="14"/>
          <w:szCs w:val="14"/>
          <w:color w:val="auto"/>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You may also obtain a copy of our filings with the SEC at no cost by writing to or telephoning us at the following address:</w:t>
      </w:r>
    </w:p>
    <w:p>
      <w:pPr>
        <w:spacing w:after="0" w:line="74"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CenterPoint Energy, Inc.</w:t>
      </w:r>
    </w:p>
    <w:p>
      <w:pPr>
        <w:spacing w:after="0" w:line="20"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P.O. Box 4567</w:t>
      </w:r>
    </w:p>
    <w:p>
      <w:pPr>
        <w:spacing w:after="0" w:line="5"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Houston, Texas 77210-4567</w:t>
      </w:r>
    </w:p>
    <w:p>
      <w:pPr>
        <w:spacing w:after="0" w:line="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(713) 207-6500</w:t>
      </w:r>
    </w:p>
    <w:p>
      <w:pPr>
        <w:spacing w:after="0" w:line="33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380"/>
        <w:spacing w:after="0"/>
        <w:rPr>
          <w:sz w:val="20"/>
          <w:szCs w:val="20"/>
          <w:color w:val="auto"/>
        </w:rPr>
      </w:pPr>
      <w:r>
        <w:rPr>
          <w:rFonts w:ascii="Calibri" w:cs="Calibri" w:eastAsia="Calibri" w:hAnsi="Calibri"/>
          <w:sz w:val="11"/>
          <w:szCs w:val="11"/>
          <w:color w:val="003366"/>
        </w:rPr>
        <w:t>TABLE OF CONTENTS</w:t>
      </w:r>
    </w:p>
    <w:p>
      <w:pPr>
        <w:spacing w:after="0" w:line="3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1111 Louisiana Street</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(713) 207-1111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CENTERPOINT ENERGY, INC.</w:t>
      </w:r>
    </w:p>
    <w:p>
      <w:pPr>
        <w:spacing w:after="0" w:line="5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SENIOR DEBT SECURITIES</w:t>
      </w:r>
    </w:p>
    <w:p>
      <w:pPr>
        <w:spacing w:after="0" w:line="2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b w:val="1"/>
          <w:bCs w:val="1"/>
          <w:color w:val="auto"/>
        </w:rPr>
        <w:t>JUNIOR SUBORDINATED DEBT SECURITIES</w:t>
      </w:r>
    </w:p>
    <w:p>
      <w:pPr>
        <w:spacing w:after="0" w:line="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COMMON STOCK</w:t>
      </w:r>
    </w:p>
    <w:p>
      <w:pPr>
        <w:ind w:left="3560"/>
        <w:spacing w:after="0"/>
        <w:rPr>
          <w:sz w:val="20"/>
          <w:szCs w:val="20"/>
          <w:color w:val="auto"/>
        </w:rPr>
      </w:pPr>
      <w:r>
        <w:rPr>
          <w:rFonts w:ascii="Times New Roman" w:cs="Times New Roman" w:eastAsia="Times New Roman" w:hAnsi="Times New Roman"/>
          <w:sz w:val="19"/>
          <w:szCs w:val="19"/>
          <w:b w:val="1"/>
          <w:bCs w:val="1"/>
          <w:color w:val="auto"/>
        </w:rPr>
        <w:t>PREFERRED STOCK</w:t>
      </w:r>
    </w:p>
    <w:p>
      <w:pPr>
        <w:ind w:left="3000"/>
        <w:spacing w:after="0"/>
        <w:rPr>
          <w:sz w:val="20"/>
          <w:szCs w:val="20"/>
          <w:color w:val="auto"/>
        </w:rPr>
      </w:pPr>
      <w:r>
        <w:rPr>
          <w:rFonts w:ascii="Times New Roman" w:cs="Times New Roman" w:eastAsia="Times New Roman" w:hAnsi="Times New Roman"/>
          <w:sz w:val="19"/>
          <w:szCs w:val="19"/>
          <w:b w:val="1"/>
          <w:bCs w:val="1"/>
          <w:color w:val="auto"/>
        </w:rPr>
        <w:t>STOCK PURCHASE CONTRACTS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EQUITY UNITS</w:t>
      </w:r>
    </w:p>
    <w:p>
      <w:pPr>
        <w:ind w:left="3500"/>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95"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We will provide additional terms of our securities in one or more supplements to this prospectus. You should read this prospectus and the related prospectus supplement carefully before you invest in our securities. No person may use this prospectus to offer and sell our securities unless a prospectus supplement accompanies this prospectus.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may offer from time to time:</w:t>
      </w:r>
    </w:p>
    <w:p>
      <w:pPr>
        <w:spacing w:after="0" w:line="88" w:lineRule="exact"/>
        <w:rPr>
          <w:sz w:val="20"/>
          <w:szCs w:val="20"/>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debt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subordinated debt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purchase contracts;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units;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w:t>
      </w:r>
    </w:p>
    <w:p>
      <w:pPr>
        <w:spacing w:after="0" w:line="109" w:lineRule="exact"/>
        <w:rPr>
          <w:sz w:val="20"/>
          <w:szCs w:val="20"/>
          <w:color w:val="auto"/>
        </w:rPr>
      </w:pPr>
    </w:p>
    <w:p>
      <w:pPr>
        <w:ind w:left="1340" w:right="1519" w:firstLine="277"/>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New York Stock Exchange and the NYSE Texas under the symbol “CNP.”</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See “Risk Factors”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179070</wp:posOffset>
            </wp:positionV>
            <wp:extent cx="94996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340" w:right="1539" w:firstLine="277"/>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154940</wp:posOffset>
            </wp:positionV>
            <wp:extent cx="94996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340"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5"/>
        </w:trPr>
        <w:tc>
          <w:tcPr>
            <w:tcW w:w="4960" w:type="dxa"/>
            <w:vAlign w:val="bottom"/>
            <w:gridSpan w:val="14"/>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1360" w:type="dxa"/>
            <w:vAlign w:val="bottom"/>
            <w:tcBorders>
              <w:right w:val="single" w:sz="8" w:color="CCEEFF"/>
            </w:tcBorders>
            <w:gridSpan w:val="2"/>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1</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tcBorders>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gridSpan w:val="14"/>
          </w:tcPr>
          <w:p>
            <w:pPr>
              <w:spacing w:after="0" w:line="156"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2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0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Incorporation By Reference</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CCEEFF"/>
              <w:right w:val="single" w:sz="8" w:color="CCEEFF"/>
            </w:tcBorders>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34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6"/>
        </w:trPr>
        <w:tc>
          <w:tcPr>
            <w:tcW w:w="49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CenterPoint Energy, Inc</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30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34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126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6"/>
        </w:trPr>
        <w:tc>
          <w:tcPr>
            <w:tcW w:w="49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Cautionary Statement Regarding Forward-Looking Information</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00" w:type="dxa"/>
            <w:vAlign w:val="bottom"/>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260" w:type="dxa"/>
            <w:vAlign w:val="bottom"/>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940" w:type="dxa"/>
            <w:vAlign w:val="bottom"/>
            <w:tcBorders>
              <w:bottom w:val="single" w:sz="8" w:color="CCEEFF"/>
            </w:tcBorders>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30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340" w:type="dxa"/>
            <w:vAlign w:val="bottom"/>
            <w:tcBorders>
              <w:bottom w:val="single" w:sz="8" w:color="CCEEFF"/>
            </w:tcBorders>
            <w:gridSpan w:val="2"/>
            <w:shd w:val="clear" w:color="auto" w:fill="CCEEFF"/>
          </w:tcPr>
          <w:p>
            <w:pPr>
              <w:spacing w:after="0" w:line="20" w:lineRule="exact"/>
              <w:rPr>
                <w:sz w:val="1"/>
                <w:szCs w:val="1"/>
                <w:color w:val="auto"/>
              </w:rPr>
            </w:pPr>
          </w:p>
        </w:tc>
        <w:tc>
          <w:tcPr>
            <w:tcW w:w="1580" w:type="dxa"/>
            <w:vAlign w:val="bottom"/>
            <w:tcBorders>
              <w:bottom w:val="single" w:sz="8" w:color="CCEEFF"/>
            </w:tcBorders>
            <w:gridSpan w:val="2"/>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6"/>
        </w:trPr>
        <w:tc>
          <w:tcPr>
            <w:tcW w:w="49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Description of Our Debt Securities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4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3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Capital Stock</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940" w:type="dxa"/>
            <w:vAlign w:val="bottom"/>
            <w:tcBorders>
              <w:bottom w:val="single" w:sz="8" w:color="CCEEFF"/>
              <w:right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440" w:type="dxa"/>
            <w:vAlign w:val="bottom"/>
            <w:tcBorders>
              <w:bottom w:val="single" w:sz="8" w:color="CCEEFF"/>
            </w:tcBorders>
            <w:gridSpan w:val="3"/>
            <w:shd w:val="clear" w:color="auto" w:fill="CCEEFF"/>
          </w:tcPr>
          <w:p>
            <w:pPr>
              <w:spacing w:after="0" w:line="20" w:lineRule="exact"/>
              <w:rPr>
                <w:sz w:val="1"/>
                <w:szCs w:val="1"/>
                <w:color w:val="auto"/>
              </w:rPr>
            </w:pPr>
          </w:p>
        </w:tc>
        <w:tc>
          <w:tcPr>
            <w:tcW w:w="1580" w:type="dxa"/>
            <w:vAlign w:val="bottom"/>
            <w:tcBorders>
              <w:bottom w:val="single" w:sz="8" w:color="CCEEFF"/>
            </w:tcBorders>
            <w:gridSpan w:val="2"/>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6"/>
        </w:trPr>
        <w:tc>
          <w:tcPr>
            <w:tcW w:w="49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Description of Stock Purchase Contracts and Equity Units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38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580" w:type="dxa"/>
            <w:vAlign w:val="bottom"/>
            <w:gridSpan w:val="2"/>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Depositary Shares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940" w:type="dxa"/>
            <w:vAlign w:val="bottom"/>
            <w:tcBorders>
              <w:bottom w:val="single" w:sz="8" w:color="CCEEFF"/>
              <w:right w:val="single" w:sz="8" w:color="0000EE"/>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020" w:type="dxa"/>
            <w:vAlign w:val="bottom"/>
            <w:tcBorders>
              <w:bottom w:val="single" w:sz="8" w:color="CCEEFF"/>
            </w:tcBorders>
            <w:gridSpan w:val="5"/>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6"/>
        </w:trPr>
        <w:tc>
          <w:tcPr>
            <w:tcW w:w="49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Holding Company Structure</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40" w:type="dxa"/>
            <w:vAlign w:val="bottom"/>
            <w:tcBorders>
              <w:right w:val="single" w:sz="8" w:color="0000EE"/>
            </w:tcBorders>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320" w:type="dxa"/>
            <w:vAlign w:val="bottom"/>
            <w:gridSpan w:val="7"/>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6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00" w:type="dxa"/>
            <w:vAlign w:val="bottom"/>
            <w:tcBorders>
              <w:bottom w:val="single" w:sz="8" w:color="CCEEFF"/>
            </w:tcBorders>
            <w:gridSpan w:val="9"/>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6"/>
        </w:trPr>
        <w:tc>
          <w:tcPr>
            <w:tcW w:w="49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140" w:type="dxa"/>
            <w:vAlign w:val="bottom"/>
            <w:gridSpan w:val="11"/>
          </w:tcPr>
          <w:p>
            <w:pPr>
              <w:spacing w:after="0" w:line="20" w:lineRule="exact"/>
              <w:rPr>
                <w:sz w:val="1"/>
                <w:szCs w:val="1"/>
                <w:color w:val="auto"/>
              </w:rPr>
            </w:pPr>
          </w:p>
        </w:tc>
        <w:tc>
          <w:tcPr>
            <w:tcW w:w="1220" w:type="dxa"/>
            <w:vAlign w:val="bottom"/>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4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20" w:type="dxa"/>
            <w:vAlign w:val="bottom"/>
            <w:tcBorders>
              <w:bottom w:val="single" w:sz="8" w:color="CCEEFF"/>
            </w:tcBorders>
            <w:gridSpan w:val="13"/>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100"/>
              <w:spacing w:after="0" w:line="1"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1"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4130040</wp:posOffset>
            </wp:positionV>
            <wp:extent cx="526288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U.S. Securities and Exchange Commission (the “SEC”) using a “shelf” registration process. Using this process, we may offer any combination of the securities described in this prospectus in one or more offerings. This prospectus provides you with a general description of the securities we may offer. Each time we use this prospectus to offer securities, we will file a supplement to this prospectus with the SEC that will describe the specific terms of the offering.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w:t>
      </w:r>
    </w:p>
    <w:p>
      <w:pPr>
        <w:spacing w:after="0" w:line="93"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p>
    <w:p>
      <w:pPr>
        <w:spacing w:after="0" w:line="87"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References in this prospectus to the terms “we,” “us,” “our” or other similar terms mean CenterPoint Energy, Inc. and its subsidiaries, unless the context clearly indicates otherwise.</w:t>
      </w:r>
    </w:p>
    <w:p>
      <w:pPr>
        <w:spacing w:after="0" w:line="74" w:lineRule="exact"/>
        <w:rPr>
          <w:sz w:val="20"/>
          <w:szCs w:val="20"/>
          <w:color w:val="auto"/>
        </w:rPr>
      </w:pPr>
    </w:p>
    <w:p>
      <w:pPr>
        <w:ind w:left="1340" w:right="1479" w:firstLine="277"/>
        <w:spacing w:after="0" w:line="257" w:lineRule="auto"/>
        <w:rPr>
          <w:sz w:val="20"/>
          <w:szCs w:val="20"/>
          <w:color w:val="auto"/>
        </w:rPr>
      </w:pPr>
      <w:r>
        <w:rPr>
          <w:rFonts w:ascii="Times New Roman" w:cs="Times New Roman" w:eastAsia="Times New Roman" w:hAnsi="Times New Roman"/>
          <w:sz w:val="14"/>
          <w:szCs w:val="14"/>
          <w:color w:val="auto"/>
        </w:rPr>
        <w:t>The Bank of New York Mellon Trust Company, National Association, in each of its capacities referenced herein, including, but not limited to, trustee, purchase contract agent, collateral agent, custodial agent, securities intermediary and paying agent, has not participated in the preparation of this prospectus and assumes no responsibility for its content.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2" w:lineRule="exact"/>
        <w:rPr>
          <w:sz w:val="20"/>
          <w:szCs w:val="20"/>
          <w:color w:val="auto"/>
        </w:rPr>
      </w:pPr>
    </w:p>
    <w:p>
      <w:pPr>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 website that contains information we file electronically with the SEC, which you can access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1340" w:right="1379" w:firstLine="277"/>
        <w:spacing w:after="0" w:line="256" w:lineRule="auto"/>
        <w:rPr>
          <w:sz w:val="20"/>
          <w:szCs w:val="20"/>
          <w:color w:val="auto"/>
        </w:rPr>
      </w:pPr>
      <w:r>
        <w:rPr>
          <w:rFonts w:ascii="Times New Roman" w:cs="Times New Roman" w:eastAsia="Times New Roman" w:hAnsi="Times New Roman"/>
          <w:sz w:val="14"/>
          <w:szCs w:val="14"/>
          <w:color w:val="auto"/>
        </w:rPr>
        <w:t xml:space="preserve">Our website is located at </w:t>
      </w:r>
      <w:r>
        <w:rPr>
          <w:rFonts w:ascii="Times New Roman" w:cs="Times New Roman" w:eastAsia="Times New Roman" w:hAnsi="Times New Roman"/>
          <w:sz w:val="14"/>
          <w:szCs w:val="14"/>
          <w:i w:val="1"/>
          <w:iCs w:val="1"/>
          <w:color w:val="auto"/>
        </w:rPr>
        <w:t>http://investors.centerpointenergy.com</w:t>
      </w:r>
      <w:r>
        <w:rPr>
          <w:rFonts w:ascii="Times New Roman" w:cs="Times New Roman" w:eastAsia="Times New Roman" w:hAnsi="Times New Roman"/>
          <w:sz w:val="14"/>
          <w:szCs w:val="14"/>
          <w:color w:val="auto"/>
        </w:rPr>
        <w:t>.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w:t>
      </w:r>
    </w:p>
    <w:p>
      <w:pPr>
        <w:spacing w:after="0" w:line="89" w:lineRule="exact"/>
        <w:rPr>
          <w:sz w:val="20"/>
          <w:szCs w:val="20"/>
          <w:color w:val="auto"/>
        </w:rPr>
      </w:pPr>
    </w:p>
    <w:p>
      <w:pPr>
        <w:ind w:left="1340" w:right="1539" w:firstLine="277"/>
        <w:spacing w:after="0" w:line="253" w:lineRule="auto"/>
        <w:rPr>
          <w:sz w:val="20"/>
          <w:szCs w:val="20"/>
          <w:color w:val="auto"/>
        </w:rPr>
      </w:pPr>
      <w:r>
        <w:rPr>
          <w:rFonts w:ascii="Times New Roman" w:cs="Times New Roman" w:eastAsia="Times New Roman" w:hAnsi="Times New Roman"/>
          <w:sz w:val="14"/>
          <w:szCs w:val="14"/>
          <w:color w:val="auto"/>
        </w:rPr>
        <w:t>This prospectus, which includes information incorporated by reference (see “Incorporation by Reference” below),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2"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39" w:firstLine="277"/>
        <w:spacing w:after="0" w:line="257" w:lineRule="auto"/>
        <w:rPr>
          <w:sz w:val="20"/>
          <w:szCs w:val="20"/>
          <w:color w:val="auto"/>
        </w:rPr>
      </w:pPr>
      <w:r>
        <w:rPr>
          <w:rFonts w:ascii="Times New Roman" w:cs="Times New Roman" w:eastAsia="Times New Roman" w:hAnsi="Times New Roman"/>
          <w:sz w:val="14"/>
          <w:szCs w:val="14"/>
          <w:color w:val="auto"/>
        </w:rPr>
        <w:t>We are incorporating by reference into this prospectus the documents listed below and any subsequent filings we make with the SEC under Sections 13(a), 13(c), 14 or 15(d) of the Securities Exchange Act of 1934, as amended, (excluding information deemed pursuant to the SEC’s rules to be furnished and not filed with the SEC) until all the securities are sold:</w:t>
      </w:r>
    </w:p>
    <w:p>
      <w:pPr>
        <w:spacing w:after="0" w:line="58" w:lineRule="exact"/>
        <w:rPr>
          <w:sz w:val="20"/>
          <w:szCs w:val="20"/>
          <w:color w:val="auto"/>
        </w:rPr>
      </w:pPr>
    </w:p>
    <w:p>
      <w:pPr>
        <w:ind w:left="1760" w:right="1859" w:hanging="137"/>
        <w:spacing w:after="0" w:line="262"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including the portions of our definitive proxy statement filed on </w:t>
      </w:r>
      <w:hyperlink r:id="rId6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on March 4, 2026 that are specifically incorporated by reference therein;</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74">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w:t>
      </w:r>
    </w:p>
    <w:p>
      <w:pPr>
        <w:spacing w:after="0" w:line="88" w:lineRule="exact"/>
        <w:rPr>
          <w:rFonts w:ascii="Times New Roman" w:cs="Times New Roman" w:eastAsia="Times New Roman" w:hAnsi="Times New Roman"/>
          <w:sz w:val="14"/>
          <w:szCs w:val="14"/>
          <w:color w:val="auto"/>
        </w:rPr>
      </w:pPr>
    </w:p>
    <w:p>
      <w:pPr>
        <w:ind w:left="1760" w:right="1739" w:hanging="137"/>
        <w:spacing w:after="0" w:line="278" w:lineRule="auto"/>
        <w:tabs>
          <w:tab w:leader="none" w:pos="1760" w:val="left"/>
        </w:tabs>
        <w:numPr>
          <w:ilvl w:val="0"/>
          <w:numId w:val="1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63">
        <w:r>
          <w:rPr>
            <w:rFonts w:ascii="Times New Roman" w:cs="Times New Roman" w:eastAsia="Times New Roman" w:hAnsi="Times New Roman"/>
            <w:sz w:val="14"/>
            <w:szCs w:val="14"/>
            <w:u w:val="single" w:color="auto"/>
            <w:color w:val="0000EE"/>
          </w:rPr>
          <w:t>February 12, 2026</w:t>
        </w:r>
      </w:hyperlink>
      <w:r>
        <w:rPr>
          <w:rFonts w:ascii="Times New Roman" w:cs="Times New Roman" w:eastAsia="Times New Roman" w:hAnsi="Times New Roman"/>
          <w:sz w:val="14"/>
          <w:szCs w:val="14"/>
          <w:color w:val="auto"/>
        </w:rPr>
        <w:t xml:space="preserve">, </w:t>
      </w:r>
      <w:hyperlink r:id="rId64">
        <w:r>
          <w:rPr>
            <w:rFonts w:ascii="Times New Roman" w:cs="Times New Roman" w:eastAsia="Times New Roman" w:hAnsi="Times New Roman"/>
            <w:sz w:val="14"/>
            <w:szCs w:val="14"/>
            <w:u w:val="single" w:color="auto"/>
            <w:color w:val="0000EE"/>
          </w:rPr>
          <w:t>February 23, 2026</w:t>
        </w:r>
      </w:hyperlink>
      <w:r>
        <w:rPr>
          <w:rFonts w:ascii="Times New Roman" w:cs="Times New Roman" w:eastAsia="Times New Roman" w:hAnsi="Times New Roman"/>
          <w:sz w:val="14"/>
          <w:szCs w:val="14"/>
          <w:color w:val="auto"/>
        </w:rPr>
        <w:t xml:space="preserve">, </w:t>
      </w:r>
      <w:hyperlink r:id="rId65">
        <w:r>
          <w:rPr>
            <w:rFonts w:ascii="Times New Roman" w:cs="Times New Roman" w:eastAsia="Times New Roman" w:hAnsi="Times New Roman"/>
            <w:sz w:val="14"/>
            <w:szCs w:val="14"/>
            <w:u w:val="single" w:color="auto"/>
            <w:color w:val="0000EE"/>
          </w:rPr>
          <w:t>February 26,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66">
        <w:r>
          <w:rPr>
            <w:rFonts w:ascii="Times New Roman" w:cs="Times New Roman" w:eastAsia="Times New Roman" w:hAnsi="Times New Roman"/>
            <w:sz w:val="14"/>
            <w:szCs w:val="14"/>
            <w:u w:val="single" w:color="auto"/>
            <w:color w:val="0000EE"/>
          </w:rPr>
          <w:t>April 17,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2" w:lineRule="exact"/>
        <w:rPr>
          <w:rFonts w:ascii="Times New Roman" w:cs="Times New Roman" w:eastAsia="Times New Roman" w:hAnsi="Times New Roman"/>
          <w:sz w:val="14"/>
          <w:szCs w:val="14"/>
          <w:color w:val="0000EE"/>
        </w:rPr>
      </w:pPr>
    </w:p>
    <w:p>
      <w:pPr>
        <w:ind w:left="1760" w:right="1519" w:hanging="137"/>
        <w:spacing w:after="0" w:line="262"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67">
        <w:r>
          <w:rPr>
            <w:rFonts w:ascii="Times New Roman" w:cs="Times New Roman" w:eastAsia="Times New Roman" w:hAnsi="Times New Roman"/>
            <w:sz w:val="14"/>
            <w:szCs w:val="14"/>
            <w:u w:val="single" w:color="auto"/>
            <w:color w:val="0000EE"/>
          </w:rPr>
          <w:t>Exhibit 4(t)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including any amendments or reports filed for the purpose of updating such description.</w:t>
      </w:r>
    </w:p>
    <w:p>
      <w:pPr>
        <w:spacing w:after="0" w:line="86" w:lineRule="exact"/>
        <w:rPr>
          <w:rFonts w:ascii="Times New Roman" w:cs="Times New Roman" w:eastAsia="Times New Roman" w:hAnsi="Times New Roman"/>
          <w:sz w:val="14"/>
          <w:szCs w:val="14"/>
          <w:color w:val="0000EE"/>
        </w:rPr>
      </w:pPr>
    </w:p>
    <w:p>
      <w:pPr>
        <w:ind w:left="1340" w:right="1399" w:firstLine="277"/>
        <w:spacing w:after="0" w:line="278" w:lineRule="auto"/>
        <w:rPr>
          <w:sz w:val="20"/>
          <w:szCs w:val="20"/>
          <w:color w:val="auto"/>
        </w:rPr>
      </w:pPr>
      <w:r>
        <w:rPr>
          <w:rFonts w:ascii="Times New Roman" w:cs="Times New Roman" w:eastAsia="Times New Roman" w:hAnsi="Times New Roman"/>
          <w:sz w:val="14"/>
          <w:szCs w:val="14"/>
          <w:color w:val="auto"/>
        </w:rPr>
        <w:t>You may also obtain a copy of our filings with the SEC at no cost by writing to or telephoning us at the following address:</w:t>
      </w:r>
    </w:p>
    <w:p>
      <w:pPr>
        <w:spacing w:after="0" w:line="74"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CenterPoint Energy, Inc.</w:t>
      </w:r>
    </w:p>
    <w:p>
      <w:pPr>
        <w:spacing w:after="0" w:line="20"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5"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P.O. Box 4567</w:t>
      </w:r>
    </w:p>
    <w:p>
      <w:pPr>
        <w:spacing w:after="0" w:line="5"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Houston, Texas 77210-4567</w:t>
      </w:r>
    </w:p>
    <w:p>
      <w:pPr>
        <w:spacing w:after="0" w:line="5"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(713) 207-6500</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39"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CENTERPOINT ENERGY, INC.</w:t>
      </w:r>
    </w:p>
    <w:p>
      <w:pPr>
        <w:spacing w:after="0" w:line="122"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We are a public utility holding company. Our operating subsidiaries own and operate electric transmission, distribution and generation facilities and natural gas distribution systems. As of the date of this prospectus, our indirect, wholly-owned operating subsidiaries include:</w:t>
      </w:r>
    </w:p>
    <w:p>
      <w:pPr>
        <w:spacing w:after="0" w:line="55" w:lineRule="exact"/>
        <w:rPr>
          <w:sz w:val="20"/>
          <w:szCs w:val="20"/>
          <w:color w:val="auto"/>
        </w:rPr>
      </w:pPr>
    </w:p>
    <w:p>
      <w:pPr>
        <w:ind w:left="1760" w:right="1359" w:hanging="137"/>
        <w:spacing w:after="0" w:line="250"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 Houston Electric has variable interest entities (“VIEs”), including CenterPoint Energy Transition Bond Company IV, LLC (“Transition Bond Company IV”), Restoration Bond Company II, LLC and Restoration Bond Company III, LLC, which are consolidated. The consolidated VIEs are wholly-owned bankruptcy-remote, special purpose entities that were formed solely for the purpose of securitizing transition property or system restoration property through the issuance of transition bonds or system restoration bonds and conducting activities incidental thereto. On October 15, 2024, Transition Bond Company IV repaid in full its last outstanding transition bonds at maturity.</w:t>
      </w:r>
    </w:p>
    <w:p>
      <w:pPr>
        <w:spacing w:after="0" w:line="234" w:lineRule="exact"/>
        <w:rPr>
          <w:rFonts w:ascii="Times New Roman" w:cs="Times New Roman" w:eastAsia="Times New Roman" w:hAnsi="Times New Roman"/>
          <w:sz w:val="14"/>
          <w:szCs w:val="14"/>
          <w:color w:val="auto"/>
        </w:rPr>
      </w:pPr>
    </w:p>
    <w:p>
      <w:pPr>
        <w:ind w:left="1760" w:right="1399" w:hanging="137"/>
        <w:spacing w:after="0" w:line="251"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Resources Corp. (“CERC Corp.”), which (i) directly owns and operates natural gas distribution systems in Minnesota and Texas; (ii) indirectly, through Indiana Gas Company, Inc. and Vectren Energy Delivery of Ohio, LLC (“CEOH”), owns and operates natural gas distribution systems in Indiana and Ohio, respectively, and (iii) owns and operates permanent pipeline connections through interconnects with various interstate and intrastate pipeline companies through CenterPoint Energy Intrastate Pipelines, LLC. On October 20, 2025, CERC Corp. entered into a purchase agreement to sell all of the issued and outstanding equity interests of CEOH. The transaction is expected to close in the fourth quarter of 2026, subject to the satisfaction of customary closing conditions.</w:t>
      </w:r>
    </w:p>
    <w:p>
      <w:pPr>
        <w:spacing w:after="0" w:line="232" w:lineRule="exact"/>
        <w:rPr>
          <w:rFonts w:ascii="Times New Roman" w:cs="Times New Roman" w:eastAsia="Times New Roman" w:hAnsi="Times New Roman"/>
          <w:sz w:val="14"/>
          <w:szCs w:val="14"/>
          <w:color w:val="auto"/>
        </w:rPr>
      </w:pPr>
    </w:p>
    <w:p>
      <w:pPr>
        <w:ind w:left="1760" w:right="1379" w:hanging="137"/>
        <w:spacing w:after="0" w:line="253"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 SIGECO has a VIE, SIGECO Securitization I, LLC, which is consolidated. This consolidated VIE is a wholly-owned bankruptcy-remote, special purpose entity that was formed solely for the purpose of facilitating the securitization financing of qualified costs.</w:t>
      </w:r>
    </w:p>
    <w:p>
      <w:pPr>
        <w:spacing w:after="0" w:line="93" w:lineRule="exact"/>
        <w:rPr>
          <w:sz w:val="20"/>
          <w:szCs w:val="20"/>
          <w:color w:val="auto"/>
        </w:rPr>
      </w:pPr>
    </w:p>
    <w:p>
      <w:pPr>
        <w:ind w:left="1340" w:right="1459" w:firstLine="277"/>
        <w:spacing w:after="0" w:line="278" w:lineRule="auto"/>
        <w:rPr>
          <w:sz w:val="20"/>
          <w:szCs w:val="20"/>
          <w:color w:val="auto"/>
        </w:rPr>
      </w:pPr>
      <w:r>
        <w:rPr>
          <w:rFonts w:ascii="Times New Roman" w:cs="Times New Roman" w:eastAsia="Times New Roman" w:hAnsi="Times New Roman"/>
          <w:sz w:val="14"/>
          <w:szCs w:val="14"/>
          <w:color w:val="auto"/>
        </w:rPr>
        <w:t>Our principal executive offices are located at 1111 Louisiana Street, Houston, Texas 77002 (telephone number: (713) 207-1111).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40" w:right="1359" w:firstLine="277"/>
        <w:spacing w:after="0" w:line="242" w:lineRule="auto"/>
        <w:rPr>
          <w:sz w:val="20"/>
          <w:szCs w:val="20"/>
          <w:color w:val="auto"/>
        </w:rPr>
      </w:pPr>
      <w:r>
        <w:rPr>
          <w:rFonts w:ascii="Times New Roman" w:cs="Times New Roman" w:eastAsia="Times New Roman" w:hAnsi="Times New Roman"/>
          <w:sz w:val="14"/>
          <w:szCs w:val="14"/>
          <w:color w:val="auto"/>
        </w:rPr>
        <w:t>Our businesses are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2" w:lineRule="exact"/>
        <w:rPr>
          <w:sz w:val="20"/>
          <w:szCs w:val="20"/>
          <w:color w:val="auto"/>
        </w:rPr>
      </w:pPr>
    </w:p>
    <w:p>
      <w:pPr>
        <w:ind w:left="1340" w:right="1519" w:firstLine="277"/>
        <w:spacing w:after="0" w:line="241" w:lineRule="auto"/>
        <w:rPr>
          <w:sz w:val="20"/>
          <w:szCs w:val="20"/>
          <w:color w:val="auto"/>
        </w:rPr>
      </w:pPr>
      <w:r>
        <w:rPr>
          <w:rFonts w:ascii="Times New Roman" w:cs="Times New Roman" w:eastAsia="Times New Roman" w:hAnsi="Times New Roman"/>
          <w:sz w:val="14"/>
          <w:szCs w:val="14"/>
          <w:color w:val="auto"/>
        </w:rPr>
        <w:t>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w:t>
      </w:r>
    </w:p>
    <w:p>
      <w:pPr>
        <w:spacing w:after="0" w:line="88"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6" w:lineRule="exact"/>
        <w:rPr>
          <w:sz w:val="20"/>
          <w:szCs w:val="20"/>
          <w:color w:val="auto"/>
        </w:rPr>
      </w:pPr>
    </w:p>
    <w:p>
      <w:pPr>
        <w:ind w:left="1340" w:right="1499" w:firstLine="277"/>
        <w:spacing w:after="0" w:line="262"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our forward-looking statements:</w:t>
      </w:r>
    </w:p>
    <w:p>
      <w:pPr>
        <w:spacing w:after="0" w:line="43" w:lineRule="exact"/>
        <w:rPr>
          <w:sz w:val="20"/>
          <w:szCs w:val="20"/>
          <w:color w:val="auto"/>
        </w:rPr>
      </w:pPr>
    </w:p>
    <w:p>
      <w:pPr>
        <w:ind w:left="1760" w:right="1419" w:hanging="137"/>
        <w:spacing w:after="0" w:line="255"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w:t>
      </w:r>
    </w:p>
    <w:p>
      <w:pPr>
        <w:spacing w:after="0" w:line="58" w:lineRule="exact"/>
        <w:rPr>
          <w:rFonts w:ascii="Times New Roman" w:cs="Times New Roman" w:eastAsia="Times New Roman" w:hAnsi="Times New Roman"/>
          <w:sz w:val="14"/>
          <w:szCs w:val="14"/>
          <w:color w:val="auto"/>
        </w:rPr>
      </w:pPr>
    </w:p>
    <w:p>
      <w:pPr>
        <w:ind w:left="1760" w:right="1459" w:hanging="137"/>
        <w:spacing w:after="0" w:line="252"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w:t>
      </w:r>
    </w:p>
    <w:p>
      <w:pPr>
        <w:spacing w:after="0" w:line="60"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w:t>
      </w:r>
    </w:p>
    <w:p>
      <w:pPr>
        <w:spacing w:after="0" w:line="42" w:lineRule="exact"/>
        <w:rPr>
          <w:rFonts w:ascii="Times New Roman" w:cs="Times New Roman" w:eastAsia="Times New Roman" w:hAnsi="Times New Roman"/>
          <w:sz w:val="14"/>
          <w:szCs w:val="14"/>
          <w:color w:val="auto"/>
        </w:rPr>
      </w:pPr>
    </w:p>
    <w:p>
      <w:pPr>
        <w:ind w:left="1760" w:right="1359" w:hanging="137"/>
        <w:spacing w:after="0" w:line="260"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spacing w:after="0" w:line="224"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w:t>
      </w:r>
    </w:p>
    <w:p>
      <w:pPr>
        <w:spacing w:after="0" w:line="58" w:lineRule="exact"/>
        <w:rPr>
          <w:rFonts w:ascii="Times New Roman" w:cs="Times New Roman" w:eastAsia="Times New Roman" w:hAnsi="Times New Roman"/>
          <w:sz w:val="14"/>
          <w:szCs w:val="14"/>
          <w:color w:val="auto"/>
        </w:rPr>
      </w:pPr>
    </w:p>
    <w:p>
      <w:pPr>
        <w:ind w:left="1760" w:right="1359" w:hanging="137"/>
        <w:spacing w:after="0" w:line="278"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760" w:right="1419"/>
        <w:spacing w:after="0" w:line="262" w:lineRule="auto"/>
        <w:rPr>
          <w:sz w:val="20"/>
          <w:szCs w:val="20"/>
          <w:color w:val="auto"/>
        </w:rPr>
      </w:pPr>
      <w:r>
        <w:rPr>
          <w:rFonts w:ascii="Times New Roman" w:cs="Times New Roman" w:eastAsia="Times New Roman" w:hAnsi="Times New Roman"/>
          <w:sz w:val="14"/>
          <w:szCs w:val="14"/>
          <w:color w:val="auto"/>
        </w:rPr>
        <w:t>applicable TEEEF leases and restoration costs relating to, among other things, Hurricane Beryl, and requested or favorable adjustments to rates and approval of other requested items as part of base rate proceedings or interim rate mechanisms;</w:t>
      </w:r>
    </w:p>
    <w:p>
      <w:pPr>
        <w:spacing w:after="0" w:line="65" w:lineRule="exact"/>
        <w:rPr>
          <w:sz w:val="20"/>
          <w:szCs w:val="20"/>
          <w:color w:val="auto"/>
        </w:rPr>
      </w:pPr>
    </w:p>
    <w:p>
      <w:pPr>
        <w:ind w:left="1760" w:right="1459" w:hanging="137"/>
        <w:spacing w:after="0" w:line="253"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spacing w:after="0" w:line="62"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spacing w:after="0" w:line="54" w:lineRule="exact"/>
        <w:rPr>
          <w:rFonts w:ascii="Times New Roman" w:cs="Times New Roman" w:eastAsia="Times New Roman" w:hAnsi="Times New Roman"/>
          <w:sz w:val="14"/>
          <w:szCs w:val="14"/>
          <w:color w:val="auto"/>
        </w:rPr>
      </w:pPr>
    </w:p>
    <w:p>
      <w:pPr>
        <w:ind w:left="1760" w:right="1439" w:hanging="137"/>
        <w:spacing w:after="0" w:line="252"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Houston Electric’s electric delivery system and Hurricane Beryl;</w:t>
      </w:r>
    </w:p>
    <w:p>
      <w:pPr>
        <w:spacing w:after="0" w:line="70" w:lineRule="exact"/>
        <w:rPr>
          <w:rFonts w:ascii="Times New Roman" w:cs="Times New Roman" w:eastAsia="Times New Roman" w:hAnsi="Times New Roman"/>
          <w:sz w:val="14"/>
          <w:szCs w:val="14"/>
          <w:color w:val="auto"/>
        </w:rPr>
      </w:pPr>
    </w:p>
    <w:p>
      <w:pPr>
        <w:ind w:left="1760" w:right="1399" w:hanging="137"/>
        <w:spacing w:after="0" w:line="257"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spacing w:after="0" w:line="58" w:lineRule="exact"/>
        <w:rPr>
          <w:rFonts w:ascii="Times New Roman" w:cs="Times New Roman" w:eastAsia="Times New Roman" w:hAnsi="Times New Roman"/>
          <w:sz w:val="14"/>
          <w:szCs w:val="14"/>
          <w:color w:val="auto"/>
        </w:rPr>
      </w:pPr>
    </w:p>
    <w:p>
      <w:pPr>
        <w:ind w:left="1760" w:right="1419" w:hanging="137"/>
        <w:spacing w:after="0" w:line="260"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us, Houston Electric and CERC Corp., and the negative impact on such ability related to adverse economic conditions and severe weather events;</w:t>
      </w:r>
    </w:p>
    <w:p>
      <w:pPr>
        <w:spacing w:after="0" w:line="224" w:lineRule="exact"/>
        <w:rPr>
          <w:rFonts w:ascii="Times New Roman" w:cs="Times New Roman" w:eastAsia="Times New Roman" w:hAnsi="Times New Roman"/>
          <w:sz w:val="14"/>
          <w:szCs w:val="14"/>
          <w:color w:val="auto"/>
        </w:rPr>
      </w:pPr>
    </w:p>
    <w:p>
      <w:pPr>
        <w:ind w:left="1760" w:right="1739" w:hanging="137"/>
        <w:spacing w:after="0" w:line="262"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64" w:lineRule="exact"/>
        <w:rPr>
          <w:rFonts w:ascii="Times New Roman" w:cs="Times New Roman" w:eastAsia="Times New Roman" w:hAnsi="Times New Roman"/>
          <w:sz w:val="14"/>
          <w:szCs w:val="14"/>
          <w:color w:val="auto"/>
        </w:rPr>
      </w:pPr>
    </w:p>
    <w:p>
      <w:pPr>
        <w:ind w:left="1760" w:right="1399" w:hanging="137"/>
        <w:spacing w:after="0" w:line="251"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63" w:lineRule="exact"/>
        <w:rPr>
          <w:rFonts w:ascii="Times New Roman" w:cs="Times New Roman" w:eastAsia="Times New Roman" w:hAnsi="Times New Roman"/>
          <w:sz w:val="14"/>
          <w:szCs w:val="14"/>
          <w:color w:val="auto"/>
        </w:rPr>
      </w:pPr>
    </w:p>
    <w:p>
      <w:pPr>
        <w:ind w:left="1760" w:right="1399" w:hanging="137"/>
        <w:spacing w:after="0" w:line="252"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its strategy and 10-year capital plan, and otherwise impact the affordability of our rates for our customers;</w:t>
      </w:r>
    </w:p>
    <w:p>
      <w:pPr>
        <w:spacing w:after="0" w:line="60"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559" w:hanging="137"/>
        <w:spacing w:after="0" w:line="262"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w:t>
      </w:r>
    </w:p>
    <w:p>
      <w:pPr>
        <w:spacing w:after="0" w:line="54" w:lineRule="exact"/>
        <w:rPr>
          <w:rFonts w:ascii="Times New Roman" w:cs="Times New Roman" w:eastAsia="Times New Roman" w:hAnsi="Times New Roman"/>
          <w:sz w:val="14"/>
          <w:szCs w:val="14"/>
          <w:color w:val="auto"/>
        </w:rPr>
      </w:pPr>
    </w:p>
    <w:p>
      <w:pPr>
        <w:ind w:left="1760" w:right="1499" w:hanging="137"/>
        <w:spacing w:after="0" w:line="253"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spacing w:after="0" w:line="228" w:lineRule="exact"/>
        <w:rPr>
          <w:rFonts w:ascii="Times New Roman" w:cs="Times New Roman" w:eastAsia="Times New Roman" w:hAnsi="Times New Roman"/>
          <w:sz w:val="14"/>
          <w:szCs w:val="14"/>
          <w:color w:val="auto"/>
        </w:rPr>
      </w:pPr>
    </w:p>
    <w:p>
      <w:pPr>
        <w:ind w:left="1760" w:right="1399" w:hanging="137"/>
        <w:spacing w:after="0" w:line="255"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spacing w:after="0" w:line="58" w:lineRule="exact"/>
        <w:rPr>
          <w:rFonts w:ascii="Times New Roman" w:cs="Times New Roman" w:eastAsia="Times New Roman" w:hAnsi="Times New Roman"/>
          <w:sz w:val="14"/>
          <w:szCs w:val="14"/>
          <w:color w:val="auto"/>
        </w:rPr>
      </w:pPr>
    </w:p>
    <w:p>
      <w:pPr>
        <w:ind w:left="1760" w:right="1439" w:hanging="137"/>
        <w:spacing w:after="0" w:line="262"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53"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w:t>
      </w:r>
    </w:p>
    <w:p>
      <w:pPr>
        <w:spacing w:after="0" w:line="62" w:lineRule="exact"/>
        <w:rPr>
          <w:rFonts w:ascii="Times New Roman" w:cs="Times New Roman" w:eastAsia="Times New Roman" w:hAnsi="Times New Roman"/>
          <w:sz w:val="14"/>
          <w:szCs w:val="14"/>
          <w:color w:val="auto"/>
        </w:rPr>
      </w:pPr>
    </w:p>
    <w:p>
      <w:pPr>
        <w:ind w:left="1760" w:right="2019" w:hanging="137"/>
        <w:spacing w:after="0" w:line="278"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8" w:lineRule="exact"/>
        <w:rPr>
          <w:rFonts w:ascii="Times New Roman" w:cs="Times New Roman" w:eastAsia="Times New Roman" w:hAnsi="Times New Roman"/>
          <w:sz w:val="14"/>
          <w:szCs w:val="14"/>
          <w:color w:val="auto"/>
        </w:rPr>
      </w:pPr>
    </w:p>
    <w:p>
      <w:pPr>
        <w:ind w:left="1760" w:right="1399" w:hanging="137"/>
        <w:spacing w:after="0" w:line="255"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42" w:lineRule="exact"/>
        <w:rPr>
          <w:rFonts w:ascii="Times New Roman" w:cs="Times New Roman" w:eastAsia="Times New Roman" w:hAnsi="Times New Roman"/>
          <w:sz w:val="14"/>
          <w:szCs w:val="14"/>
          <w:color w:val="auto"/>
        </w:rPr>
      </w:pPr>
    </w:p>
    <w:p>
      <w:pPr>
        <w:jc w:val="both"/>
        <w:ind w:left="1760" w:right="1479" w:hanging="137"/>
        <w:spacing w:after="0" w:line="262"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our pension and postretirement benefit plans, such as the investment performance and increases to net periodic costs as a result of plan settlements and changes in assumptions, including discount rates;</w:t>
      </w:r>
    </w:p>
    <w:p>
      <w:pPr>
        <w:spacing w:after="0" w:line="54"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our pension benefit obligation;</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60"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spacing w:after="0" w:line="22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88" w:lineRule="exact"/>
        <w:rPr>
          <w:rFonts w:ascii="Times New Roman" w:cs="Times New Roman" w:eastAsia="Times New Roman" w:hAnsi="Times New Roman"/>
          <w:sz w:val="14"/>
          <w:szCs w:val="14"/>
          <w:color w:val="auto"/>
        </w:rPr>
      </w:pPr>
    </w:p>
    <w:p>
      <w:pPr>
        <w:jc w:val="both"/>
        <w:ind w:left="1760" w:right="1559" w:hanging="137"/>
        <w:spacing w:after="0" w:line="262"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19" w:hanging="137"/>
        <w:spacing w:after="0" w:line="278" w:lineRule="auto"/>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on our strategy, initiatives, targets and goals, including energy transition goals and operations and maintenance expenditure goals;</w:t>
      </w:r>
    </w:p>
    <w:p>
      <w:pPr>
        <w:spacing w:after="0" w:line="42" w:lineRule="exact"/>
        <w:rPr>
          <w:rFonts w:ascii="Times New Roman" w:cs="Times New Roman" w:eastAsia="Times New Roman" w:hAnsi="Times New Roman"/>
          <w:sz w:val="14"/>
          <w:szCs w:val="14"/>
          <w:color w:val="auto"/>
        </w:rPr>
      </w:pPr>
    </w:p>
    <w:p>
      <w:pPr>
        <w:ind w:left="1760" w:right="1519" w:hanging="137"/>
        <w:spacing w:after="0" w:line="278" w:lineRule="auto"/>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8" w:lineRule="exact"/>
        <w:rPr>
          <w:rFonts w:ascii="Times New Roman" w:cs="Times New Roman" w:eastAsia="Times New Roman" w:hAnsi="Times New Roman"/>
          <w:sz w:val="14"/>
          <w:szCs w:val="14"/>
          <w:color w:val="auto"/>
        </w:rPr>
      </w:pPr>
    </w:p>
    <w:p>
      <w:pPr>
        <w:ind w:left="1760" w:right="1559" w:hanging="137"/>
        <w:spacing w:after="0" w:line="262" w:lineRule="auto"/>
        <w:tabs>
          <w:tab w:leader="none" w:pos="1760" w:val="left"/>
        </w:tabs>
        <w:numPr>
          <w:ilvl w:val="0"/>
          <w:numId w:val="24"/>
        </w:numPr>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auto"/>
          </w:rPr>
          <w:t xml:space="preserve">other factors discussed in “Risk Factors” in Item 1A of Part I of our </w:t>
        </w:r>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xml:space="preserve"> </w:t>
      </w:r>
      <w:hyperlink r:id="rId80">
        <w:r>
          <w:rPr>
            <w:rFonts w:ascii="Times New Roman" w:cs="Times New Roman" w:eastAsia="Times New Roman" w:hAnsi="Times New Roman"/>
            <w:sz w:val="14"/>
            <w:szCs w:val="14"/>
            <w:u w:val="single" w:color="auto"/>
            <w:color w:val="0000EE"/>
          </w:rPr>
          <w:t>for the fiscal year ended December 31, 2025</w:t>
        </w:r>
        <w:r>
          <w:rPr>
            <w:rFonts w:ascii="Times New Roman" w:cs="Times New Roman" w:eastAsia="Times New Roman" w:hAnsi="Times New Roman"/>
            <w:sz w:val="14"/>
            <w:szCs w:val="14"/>
            <w:color w:val="000000"/>
          </w:rPr>
          <w:t>, which are incorporated herein by reference, and 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reports we file from time to time with the SEC that are incorporated by reference.</w:t>
      </w:r>
    </w:p>
    <w:p>
      <w:pPr>
        <w:spacing w:after="0" w:line="86" w:lineRule="exact"/>
        <w:rPr>
          <w:rFonts w:ascii="Times New Roman" w:cs="Times New Roman" w:eastAsia="Times New Roman" w:hAnsi="Times New Roman"/>
          <w:sz w:val="14"/>
          <w:szCs w:val="14"/>
          <w:color w:val="auto"/>
        </w:rPr>
      </w:pPr>
    </w:p>
    <w:p>
      <w:pPr>
        <w:ind w:left="1340" w:right="1539" w:firstLine="277"/>
        <w:spacing w:after="0" w:line="262"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we undertake no obligation to update or revise any forward-looking statements.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53"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2" w:lineRule="exact"/>
        <w:rPr>
          <w:sz w:val="20"/>
          <w:szCs w:val="20"/>
          <w:color w:val="auto"/>
        </w:rPr>
      </w:pPr>
    </w:p>
    <w:p>
      <w:pPr>
        <w:jc w:val="both"/>
        <w:ind w:left="1340" w:right="1579" w:firstLine="277"/>
        <w:spacing w:after="0" w:line="262"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anticipate using any net proceeds from the sale of our securities offered by this prospectus for general corporate purposes. These purposes may include, but are not limited to:</w:t>
      </w:r>
    </w:p>
    <w:p>
      <w:pPr>
        <w:spacing w:after="0" w:line="55" w:lineRule="exact"/>
        <w:rPr>
          <w:sz w:val="20"/>
          <w:szCs w:val="20"/>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repayment or refinancing of debt,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advances to subsidiaries.</w:t>
      </w:r>
    </w:p>
    <w:p>
      <w:pPr>
        <w:spacing w:after="0" w:line="120" w:lineRule="exact"/>
        <w:rPr>
          <w:sz w:val="20"/>
          <w:szCs w:val="20"/>
          <w:color w:val="auto"/>
        </w:rPr>
      </w:pPr>
    </w:p>
    <w:p>
      <w:pPr>
        <w:ind w:left="1340" w:right="1379" w:firstLine="277"/>
        <w:spacing w:after="0" w:line="278" w:lineRule="auto"/>
        <w:rPr>
          <w:sz w:val="20"/>
          <w:szCs w:val="20"/>
          <w:color w:val="auto"/>
        </w:rPr>
      </w:pPr>
      <w:r>
        <w:rPr>
          <w:rFonts w:ascii="Times New Roman" w:cs="Times New Roman" w:eastAsia="Times New Roman" w:hAnsi="Times New Roman"/>
          <w:sz w:val="14"/>
          <w:szCs w:val="14"/>
          <w:color w:val="auto"/>
        </w:rPr>
        <w:t>Pending any specific application, we may initially invest funds, loan funds to affiliates or apply them to the reduction of short-term indebtedness, commercial paper or debt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2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The debt securities offered by this prospectus will be CenterPoint Energy’s general unsecured obligations. CenterPoint Energy will issue senior debt securities (“senior debt securities”) under an indenture, dated as of May 19, 2003, between CenterPoint Energy and The Bank of New York Mellon Trust Company, National Association (successor in trust to JPMorgan Chase Bank), as trustee (as supplemented from time to time, the “senior indenture”) and junior subordinated debt securities (“junior subordinated debt securities”) under a separate indenture, dated as of August 14, 2024, between CenterPoint Energy and The Bank of New York Mellon Trust Company, National Association, as trustee (as supplemented from time to time, the “junior subordinated indenture”). We will refer to the senior indenture and the junior subordinated indenture together as the “indentures,” and each as an “indenture.” The indentures are substantially identical, except for provisions relating to subordination and covenants. We have filed, through incorporation by reference, the senior indenture and the junior subordinated indenture as exhibits to the registration statement of which this prospectus is a part. We have summarized selected provisions of the indentures and the debt securities below. This summary is not complete and is qualified in its entirety by reference to the indentures. References to section numbers in this description of our debt securities, unless otherwise indicated, are references to section numbers of the senior indenture and the junior subordinated indenture, respectively.</w:t>
      </w:r>
    </w:p>
    <w:p>
      <w:pPr>
        <w:spacing w:after="0" w:line="245"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You should carefully read the summary below, the applicable prospectus supplement and the provisions of the applicable indenture that may be important to you before investing in our senior debt securities or junior subordinated debt securities.</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Provisions Applicable to Each Indenture</w:t>
      </w:r>
    </w:p>
    <w:p>
      <w:pPr>
        <w:spacing w:after="0" w:line="120"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We may issue debt securities from time to time in one or more series under the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indenture. There is no limitation on the amount of debt securities we may issue under either indenture. We will describe the particular terms of each series of debt securities we offer in a supplement to this prospectus. The terms of our debt securities will include those set forth in the applicable indenture and those made a part of such indenture by the Trust Indenture Act of 1939, as amended (the “Trust Indenture Act”).</w:t>
      </w:r>
    </w:p>
    <w:p>
      <w:pPr>
        <w:spacing w:after="0" w:line="87" w:lineRule="exact"/>
        <w:rPr>
          <w:sz w:val="20"/>
          <w:szCs w:val="20"/>
          <w:color w:val="auto"/>
        </w:rPr>
      </w:pPr>
    </w:p>
    <w:p>
      <w:pPr>
        <w:ind w:left="1340" w:right="1539" w:firstLine="277"/>
        <w:spacing w:after="0" w:line="247" w:lineRule="auto"/>
        <w:rPr>
          <w:sz w:val="20"/>
          <w:szCs w:val="20"/>
          <w:color w:val="auto"/>
        </w:rPr>
      </w:pPr>
      <w:r>
        <w:rPr>
          <w:rFonts w:ascii="Times New Roman" w:cs="Times New Roman" w:eastAsia="Times New Roman" w:hAnsi="Times New Roman"/>
          <w:sz w:val="14"/>
          <w:szCs w:val="14"/>
          <w:color w:val="auto"/>
        </w:rPr>
        <w:t>Subject to the exceptions, and subject to compliance with the applicable requirements set forth in the applicable indenture, we may discharge our obligations under the indentures with respect to our debt securities as described below under “— Defeasance.”</w:t>
      </w:r>
    </w:p>
    <w:p>
      <w:pPr>
        <w:spacing w:after="0" w:line="83" w:lineRule="exact"/>
        <w:rPr>
          <w:sz w:val="20"/>
          <w:szCs w:val="20"/>
          <w:color w:val="auto"/>
        </w:rPr>
      </w:pPr>
    </w:p>
    <w:p>
      <w:pPr>
        <w:ind w:left="1340" w:right="201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Terms. </w:t>
      </w:r>
      <w:r>
        <w:rPr>
          <w:rFonts w:ascii="Times New Roman" w:cs="Times New Roman" w:eastAsia="Times New Roman" w:hAnsi="Times New Roman"/>
          <w:sz w:val="14"/>
          <w:szCs w:val="14"/>
          <w:color w:val="auto"/>
        </w:rPr>
        <w:t>We will describe the specific terms of the series of debt securities being offered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 to this prospectus. These terms will include some or all of the following:</w:t>
      </w:r>
    </w:p>
    <w:p>
      <w:pPr>
        <w:spacing w:after="0" w:line="30" w:lineRule="exact"/>
        <w:rPr>
          <w:sz w:val="20"/>
          <w:szCs w:val="20"/>
          <w:color w:val="auto"/>
        </w:rPr>
      </w:pPr>
    </w:p>
    <w:p>
      <w:pPr>
        <w:ind w:left="1760" w:hanging="137"/>
        <w:spacing w:after="0"/>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debt securities or junior subordinated debt securities,</w:t>
      </w:r>
    </w:p>
    <w:p>
      <w:pPr>
        <w:spacing w:after="0" w:line="6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total principal amount of the debt securities,</w:t>
      </w:r>
    </w:p>
    <w:p>
      <w:pPr>
        <w:spacing w:after="0" w:line="77"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will be payable or the method used to determine or extend those dates,</w:t>
      </w:r>
    </w:p>
    <w:p>
      <w:pPr>
        <w:spacing w:after="0" w:line="32"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on the debt securities, any date from which interest will accrue, any interest payment dates and regular record dates for interest payments, or the method used to determine any of the foregoing, the basis for calculating interest if other than a 360-day year of twelve 30-day months and any right to extend or defer interest payments and the duration of such extension or deferral,</w:t>
      </w:r>
    </w:p>
    <w:p>
      <w:pPr>
        <w:spacing w:after="0" w:line="37" w:lineRule="exact"/>
        <w:rPr>
          <w:rFonts w:ascii="Times New Roman" w:cs="Times New Roman" w:eastAsia="Times New Roman" w:hAnsi="Times New Roman"/>
          <w:sz w:val="14"/>
          <w:szCs w:val="14"/>
          <w:color w:val="auto"/>
        </w:rPr>
      </w:pPr>
    </w:p>
    <w:p>
      <w:pPr>
        <w:jc w:val="both"/>
        <w:ind w:left="1760" w:right="1419" w:hanging="137"/>
        <w:spacing w:after="0" w:line="262"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payments on the debt securities will be payable, the debt securities may be presented for registration of transfer or exchange, and notices and demands to or upon us relating to the debt securities may be made,</w:t>
      </w:r>
    </w:p>
    <w:p>
      <w:pPr>
        <w:spacing w:after="0" w:line="44"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allow or obligate us to redeem or purchase the debt securities prior to their maturity,</w:t>
      </w:r>
    </w:p>
    <w:p>
      <w:pPr>
        <w:spacing w:after="0" w:line="21" w:lineRule="exact"/>
        <w:rPr>
          <w:rFonts w:ascii="Times New Roman" w:cs="Times New Roman" w:eastAsia="Times New Roman" w:hAnsi="Times New Roman"/>
          <w:sz w:val="14"/>
          <w:szCs w:val="14"/>
          <w:color w:val="auto"/>
        </w:rPr>
      </w:pPr>
    </w:p>
    <w:p>
      <w:pPr>
        <w:ind w:left="1760" w:right="1759" w:hanging="137"/>
        <w:spacing w:after="0" w:line="278"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debt securities, if other than denominations of an integral multiple of $1,000,</w:t>
      </w:r>
    </w:p>
    <w:p>
      <w:pPr>
        <w:spacing w:after="0" w:line="32" w:lineRule="exact"/>
        <w:rPr>
          <w:rFonts w:ascii="Times New Roman" w:cs="Times New Roman" w:eastAsia="Times New Roman" w:hAnsi="Times New Roman"/>
          <w:sz w:val="14"/>
          <w:szCs w:val="14"/>
          <w:color w:val="auto"/>
        </w:rPr>
      </w:pPr>
    </w:p>
    <w:p>
      <w:pPr>
        <w:ind w:left="1760" w:right="1579" w:hanging="137"/>
        <w:spacing w:after="0" w:line="278"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determine payments on the debt securities by reference to an index or a formula,</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519" w:hanging="137"/>
        <w:spacing w:after="0" w:line="278"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currency, currencies or currency units in which payments on the debt securities will be payable and the manner for determining the equivalent amount in U.S. dollars ($),</w:t>
      </w:r>
    </w:p>
    <w:p>
      <w:pPr>
        <w:spacing w:after="0" w:line="52"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payments on the debt securities in one or more currencies or currency units other than those in which the debt securities are stated to be payable,</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debt securities will be issued and the portion of the principal amount of the debt securities that will be payable if the maturity of the debt securities is accelerated, if other than the entire principal amount,</w:t>
      </w:r>
    </w:p>
    <w:p>
      <w:pPr>
        <w:spacing w:after="0" w:line="54" w:lineRule="exact"/>
        <w:rPr>
          <w:rFonts w:ascii="Times New Roman" w:cs="Times New Roman" w:eastAsia="Times New Roman" w:hAnsi="Times New Roman"/>
          <w:sz w:val="14"/>
          <w:szCs w:val="14"/>
          <w:color w:val="auto"/>
        </w:rPr>
      </w:pPr>
    </w:p>
    <w:p>
      <w:pPr>
        <w:jc w:val="both"/>
        <w:ind w:left="1760" w:right="1499" w:hanging="137"/>
        <w:spacing w:after="0" w:line="262"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to be paid at the stated maturity of the debt securities is not determinable as of one or more dates prior to the stated maturity, the amount that will be deemed to be the principal amount as of any such date for any purpose,</w:t>
      </w:r>
    </w:p>
    <w:p>
      <w:pPr>
        <w:spacing w:after="0" w:line="54"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variation of the defeasance and covenant defeasance sections of the applicable indenture and the manner in which our election to defease the debt securities will be evidenced, if other than by a board resolution,</w:t>
      </w:r>
    </w:p>
    <w:p>
      <w:pPr>
        <w:spacing w:after="0" w:line="54" w:lineRule="exact"/>
        <w:rPr>
          <w:rFonts w:ascii="Times New Roman" w:cs="Times New Roman" w:eastAsia="Times New Roman" w:hAnsi="Times New Roman"/>
          <w:sz w:val="14"/>
          <w:szCs w:val="14"/>
          <w:color w:val="auto"/>
        </w:rPr>
      </w:pPr>
    </w:p>
    <w:p>
      <w:pPr>
        <w:ind w:left="1760" w:right="1399" w:hanging="137"/>
        <w:spacing w:after="0" w:line="270"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the form of temporary or permanent global securities, the depositories for the global securities, and provisions for exchanging or transferring the global securities,</w:t>
      </w:r>
    </w:p>
    <w:p>
      <w:pPr>
        <w:spacing w:after="0" w:line="219"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interest rate of the debt securities may be reset,</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stated maturity of the debt securities may be extended,</w:t>
      </w:r>
    </w:p>
    <w:p>
      <w:pPr>
        <w:spacing w:after="0" w:line="98" w:lineRule="exact"/>
        <w:rPr>
          <w:rFonts w:ascii="Times New Roman" w:cs="Times New Roman" w:eastAsia="Times New Roman" w:hAnsi="Times New Roman"/>
          <w:sz w:val="14"/>
          <w:szCs w:val="14"/>
          <w:color w:val="auto"/>
        </w:rPr>
      </w:pPr>
    </w:p>
    <w:p>
      <w:pPr>
        <w:ind w:left="1760" w:right="1499" w:hanging="137"/>
        <w:spacing w:after="0" w:line="262"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for the debt securities and any change in the right of the trustee or the holders of the debt securities to declare the principal amount of the debt securities due and payable,</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in the applicable indenture,</w:t>
      </w:r>
    </w:p>
    <w:p>
      <w:pPr>
        <w:spacing w:after="0" w:line="88" w:lineRule="exact"/>
        <w:rPr>
          <w:rFonts w:ascii="Times New Roman" w:cs="Times New Roman" w:eastAsia="Times New Roman" w:hAnsi="Times New Roman"/>
          <w:sz w:val="14"/>
          <w:szCs w:val="14"/>
          <w:color w:val="auto"/>
        </w:rPr>
      </w:pPr>
    </w:p>
    <w:p>
      <w:pPr>
        <w:ind w:left="1760" w:right="1519" w:hanging="137"/>
        <w:spacing w:after="0" w:line="278"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to the applicable indenture necessary to issue the debt securities in bearer form, registrable or not registrable as to principal, and with or without interest coupons,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any paying agents for the debt securities, if other than the trustee,</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 to convert or exchange the debt securities into any other securities or property,</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pursuant to which the debt securities are secured,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debt securities,</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junior subordinated indenture, any changes to the subordination provisions for the junior subordinated debt securities, and</w:t>
      </w:r>
    </w:p>
    <w:p>
      <w:pPr>
        <w:spacing w:after="0" w:line="52" w:lineRule="exact"/>
        <w:rPr>
          <w:rFonts w:ascii="Times New Roman" w:cs="Times New Roman" w:eastAsia="Times New Roman" w:hAnsi="Times New Roman"/>
          <w:sz w:val="14"/>
          <w:szCs w:val="14"/>
          <w:color w:val="auto"/>
        </w:rPr>
      </w:pPr>
    </w:p>
    <w:p>
      <w:pPr>
        <w:ind w:left="1760" w:right="1899" w:hanging="137"/>
        <w:spacing w:after="0" w:line="278"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consistent with the applicable indenture. (Section 301; Section 3.01)</w:t>
      </w:r>
    </w:p>
    <w:p>
      <w:pPr>
        <w:spacing w:after="0" w:line="63"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Any limit on the maximum total principal amount for any series of the debt securities may be increased by resolution of our board of directors. We may sell the debt securities, including original issue discount securities, at a substantial discount below their stated principal amount. If there are any special United States federal income tax considerations applicable to debt securities we sell at an original issue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 dollars.</w:t>
      </w:r>
    </w:p>
    <w:p>
      <w:pPr>
        <w:spacing w:after="0" w:line="93" w:lineRule="exact"/>
        <w:rPr>
          <w:sz w:val="20"/>
          <w:szCs w:val="20"/>
          <w:color w:val="auto"/>
        </w:rPr>
      </w:pPr>
    </w:p>
    <w:p>
      <w:pPr>
        <w:ind w:left="1340" w:right="1499" w:firstLine="277"/>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Form, Exchange and Transfer. </w:t>
      </w:r>
      <w:r>
        <w:rPr>
          <w:rFonts w:ascii="Times New Roman" w:cs="Times New Roman" w:eastAsia="Times New Roman" w:hAnsi="Times New Roman"/>
          <w:sz w:val="14"/>
          <w:szCs w:val="14"/>
          <w:color w:val="auto"/>
        </w:rPr>
        <w:t>We will issue the debt securities in registered form, without coupons.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we inform you otherwise in the prospectus supplement, we will only issue debt securities in denominations of integral multiples of $1,000. (Section 302; Section 3.02)</w:t>
      </w:r>
    </w:p>
    <w:p>
      <w:pPr>
        <w:spacing w:after="0" w:line="84" w:lineRule="exact"/>
        <w:rPr>
          <w:sz w:val="20"/>
          <w:szCs w:val="20"/>
          <w:color w:val="auto"/>
        </w:rPr>
      </w:pPr>
    </w:p>
    <w:p>
      <w:pPr>
        <w:ind w:left="1340" w:right="1539" w:firstLine="277"/>
        <w:spacing w:after="0" w:line="262" w:lineRule="auto"/>
        <w:rPr>
          <w:sz w:val="20"/>
          <w:szCs w:val="20"/>
          <w:color w:val="auto"/>
        </w:rPr>
      </w:pPr>
      <w:r>
        <w:rPr>
          <w:rFonts w:ascii="Times New Roman" w:cs="Times New Roman" w:eastAsia="Times New Roman" w:hAnsi="Times New Roman"/>
          <w:sz w:val="14"/>
          <w:szCs w:val="14"/>
          <w:color w:val="auto"/>
        </w:rPr>
        <w:t>Holders generally will be able to exchange debt securities for other debt securities of the same series with the same total principal amount and the same terms but in different authorized denominations. (Section 305; Section 3.05)</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(Section 305; Section 3.05) At any time we may:</w:t>
      </w:r>
    </w:p>
    <w:p>
      <w:pPr>
        <w:spacing w:after="0" w:line="74" w:lineRule="exact"/>
        <w:rPr>
          <w:sz w:val="20"/>
          <w:szCs w:val="20"/>
          <w:color w:val="auto"/>
        </w:rPr>
      </w:pPr>
    </w:p>
    <w:p>
      <w:pPr>
        <w:ind w:left="1760" w:hanging="137"/>
        <w:spacing w:after="0"/>
        <w:tabs>
          <w:tab w:leader="none" w:pos="1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additional transfer agents,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rescind the designation of any transfer agent, or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 change in the office of any transfer agent.</w:t>
      </w:r>
    </w:p>
    <w:p>
      <w:pPr>
        <w:spacing w:after="0" w:line="120" w:lineRule="exact"/>
        <w:rPr>
          <w:sz w:val="20"/>
          <w:szCs w:val="20"/>
          <w:color w:val="auto"/>
        </w:rPr>
      </w:pPr>
    </w:p>
    <w:p>
      <w:pPr>
        <w:ind w:left="1340" w:right="1479" w:firstLine="277"/>
        <w:spacing w:after="0" w:line="278" w:lineRule="auto"/>
        <w:rPr>
          <w:sz w:val="20"/>
          <w:szCs w:val="20"/>
          <w:color w:val="auto"/>
        </w:rPr>
      </w:pPr>
      <w:r>
        <w:rPr>
          <w:rFonts w:ascii="Times New Roman" w:cs="Times New Roman" w:eastAsia="Times New Roman" w:hAnsi="Times New Roman"/>
          <w:sz w:val="14"/>
          <w:szCs w:val="14"/>
          <w:color w:val="auto"/>
        </w:rPr>
        <w:t>However, we are required to maintain a transfer agent in each place of payment for the debt securities at all times. (Sections 305 and 1002; Sections 3.05 and 10.02)</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If we elect to redeem a series of debt securities, neither we nor the trustee will be required:</w:t>
      </w:r>
    </w:p>
    <w:p>
      <w:pPr>
        <w:spacing w:after="0" w:line="88" w:lineRule="exact"/>
        <w:rPr>
          <w:sz w:val="20"/>
          <w:szCs w:val="20"/>
          <w:color w:val="auto"/>
        </w:rPr>
      </w:pPr>
    </w:p>
    <w:p>
      <w:pPr>
        <w:ind w:left="1760" w:right="1399" w:hanging="137"/>
        <w:spacing w:after="0" w:line="262"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register the transfer of or exchange any debt securities of that series during the period beginning at the opening of business 15 days before the day we mail the notice of redemption for the series and ending at the close of business on the day the notice is mailed, or</w:t>
      </w:r>
    </w:p>
    <w:p>
      <w:pPr>
        <w:spacing w:after="0" w:line="64" w:lineRule="exact"/>
        <w:rPr>
          <w:rFonts w:ascii="Times New Roman" w:cs="Times New Roman" w:eastAsia="Times New Roman" w:hAnsi="Times New Roman"/>
          <w:sz w:val="14"/>
          <w:szCs w:val="14"/>
          <w:color w:val="auto"/>
        </w:rPr>
      </w:pPr>
    </w:p>
    <w:p>
      <w:pPr>
        <w:jc w:val="both"/>
        <w:ind w:left="1760" w:right="1539" w:hanging="137"/>
        <w:spacing w:after="0" w:line="262"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register the transfer or exchange of any debt security of that series if we have selected the series for redemption, in whole or in part, except for the unredeemed portion of the series. (Section 305; Section 3.05)</w:t>
      </w:r>
    </w:p>
    <w:p>
      <w:pPr>
        <w:spacing w:after="0" w:line="73" w:lineRule="exact"/>
        <w:rPr>
          <w:sz w:val="20"/>
          <w:szCs w:val="20"/>
          <w:color w:val="auto"/>
        </w:rPr>
      </w:pPr>
    </w:p>
    <w:p>
      <w:pPr>
        <w:ind w:left="1340" w:right="1439" w:firstLine="277"/>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Book-entry. </w:t>
      </w:r>
      <w:r>
        <w:rPr>
          <w:rFonts w:ascii="Times New Roman" w:cs="Times New Roman" w:eastAsia="Times New Roman" w:hAnsi="Times New Roman"/>
          <w:sz w:val="14"/>
          <w:szCs w:val="14"/>
          <w:color w:val="auto"/>
        </w:rPr>
        <w:t>We may issue the debt securities of a series in the form of one or more global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87"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Payment and Paying Agents. </w:t>
      </w:r>
      <w:r>
        <w:rPr>
          <w:rFonts w:ascii="Times New Roman" w:cs="Times New Roman" w:eastAsia="Times New Roman" w:hAnsi="Times New Roman"/>
          <w:sz w:val="14"/>
          <w:szCs w:val="14"/>
          <w:color w:val="auto"/>
        </w:rPr>
        <w:t>Under both indentures, we will pay interest on the debt securities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to whom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(Section 307; Section 3.07)</w:t>
      </w:r>
    </w:p>
    <w:p>
      <w:pPr>
        <w:spacing w:after="0" w:line="92"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pay principal, premium, if any, and interest on the debt securities at the offices of the paying agents we designate. However, except in the case of a global security, we may pay interest by:</w:t>
      </w:r>
    </w:p>
    <w:p>
      <w:pPr>
        <w:spacing w:after="0" w:line="55" w:lineRule="exact"/>
        <w:rPr>
          <w:sz w:val="20"/>
          <w:szCs w:val="20"/>
          <w:color w:val="auto"/>
        </w:rPr>
      </w:pPr>
    </w:p>
    <w:p>
      <w:pPr>
        <w:ind w:left="1760" w:right="185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as it appears in the security register, or</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wire transfer in immediately available funds to the place and account designated in writing by the person entitled to the payment as specified in the security register.</w:t>
      </w:r>
    </w:p>
    <w:p>
      <w:pPr>
        <w:spacing w:after="0" w:line="74"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color w:val="auto"/>
        </w:rPr>
        <w:t>We will designate the trustee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(Sections 307 and 1002; Sections 3.07 and 10.02)</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19" w:firstLine="277"/>
        <w:spacing w:after="0" w:line="247" w:lineRule="auto"/>
        <w:rPr>
          <w:sz w:val="20"/>
          <w:szCs w:val="20"/>
          <w:color w:val="auto"/>
        </w:rPr>
      </w:pPr>
      <w:r>
        <w:rPr>
          <w:rFonts w:ascii="Times New Roman" w:cs="Times New Roman" w:eastAsia="Times New Roman" w:hAnsi="Times New Roman"/>
          <w:sz w:val="14"/>
          <w:szCs w:val="14"/>
          <w:color w:val="auto"/>
        </w:rPr>
        <w:t>Any money deposited with the trustee or any paying agent for the payment of principal, premium, if any, and interest on the debt securities that remains unclaimed for two years after the date the payments became due, may be repaid to us upon our request. After we have been repaid, holders entitled to those payments may only look to us for payment as our unsecured general creditors. The trustee and any paying agents will not be liable for those payments after we have been repaid. (Section 1003; Section 10.03)</w:t>
      </w:r>
    </w:p>
    <w:p>
      <w:pPr>
        <w:spacing w:after="0" w:line="84" w:lineRule="exact"/>
        <w:rPr>
          <w:sz w:val="20"/>
          <w:szCs w:val="20"/>
          <w:color w:val="auto"/>
        </w:rPr>
      </w:pPr>
    </w:p>
    <w:p>
      <w:pPr>
        <w:ind w:left="1340" w:right="1519" w:firstLine="277"/>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Restrictive Covenants. </w:t>
      </w:r>
      <w:r>
        <w:rPr>
          <w:rFonts w:ascii="Times New Roman" w:cs="Times New Roman" w:eastAsia="Times New Roman" w:hAnsi="Times New Roman"/>
          <w:sz w:val="14"/>
          <w:szCs w:val="14"/>
          <w:color w:val="auto"/>
        </w:rPr>
        <w:t>We will describe any restrictive covenants for any series of debt securities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prospectus supplement.</w:t>
      </w:r>
    </w:p>
    <w:p>
      <w:pPr>
        <w:spacing w:after="0" w:line="70" w:lineRule="exact"/>
        <w:rPr>
          <w:sz w:val="20"/>
          <w:szCs w:val="20"/>
          <w:color w:val="auto"/>
        </w:rPr>
      </w:pPr>
    </w:p>
    <w:p>
      <w:pPr>
        <w:ind w:left="1340" w:right="1459" w:firstLine="277"/>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Consolidation, Merger and Sale of Assets. </w:t>
      </w:r>
      <w:r>
        <w:rPr>
          <w:rFonts w:ascii="Times New Roman" w:cs="Times New Roman" w:eastAsia="Times New Roman" w:hAnsi="Times New Roman"/>
          <w:sz w:val="14"/>
          <w:szCs w:val="14"/>
          <w:color w:val="auto"/>
        </w:rPr>
        <w:t>Under both indentures, we may not consolidate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 into, or convey, transfer or lease our properties and assets substantially as an entirety to, any person, referred to as a “successor person” unless:</w:t>
      </w:r>
    </w:p>
    <w:p>
      <w:pPr>
        <w:spacing w:after="0" w:line="48" w:lineRule="exact"/>
        <w:rPr>
          <w:sz w:val="20"/>
          <w:szCs w:val="20"/>
          <w:color w:val="auto"/>
        </w:rPr>
      </w:pPr>
    </w:p>
    <w:p>
      <w:pPr>
        <w:ind w:left="1760" w:right="1399" w:hanging="137"/>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is a corporation, partnership, trust or other entity organized and validly existing under the laws of the United States of America or any state thereof or the District of Columbia,</w:t>
      </w:r>
    </w:p>
    <w:p>
      <w:pPr>
        <w:spacing w:after="0" w:line="32"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expressly assumes our obligations with respect to the debt securities and the applicable indenture,</w:t>
      </w:r>
    </w:p>
    <w:p>
      <w:pPr>
        <w:spacing w:after="0" w:line="32" w:lineRule="exact"/>
        <w:rPr>
          <w:rFonts w:ascii="Times New Roman" w:cs="Times New Roman" w:eastAsia="Times New Roman" w:hAnsi="Times New Roman"/>
          <w:sz w:val="14"/>
          <w:szCs w:val="14"/>
          <w:color w:val="auto"/>
        </w:rPr>
      </w:pPr>
    </w:p>
    <w:p>
      <w:pPr>
        <w:ind w:left="1760" w:right="1559" w:hanging="137"/>
        <w:spacing w:after="0" w:line="262"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and no event which, after notice or lapse of time or both, would become an event of default, would occur and be continuing, and</w:t>
      </w:r>
    </w:p>
    <w:p>
      <w:pPr>
        <w:spacing w:after="0" w:line="44"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the certificates and opinions required under the applicable indenture. (Section 801; Section 8.01)</w:t>
      </w:r>
    </w:p>
    <w:p>
      <w:pPr>
        <w:spacing w:after="0" w:line="63" w:lineRule="exact"/>
        <w:rPr>
          <w:sz w:val="20"/>
          <w:szCs w:val="20"/>
          <w:color w:val="auto"/>
        </w:rPr>
      </w:pPr>
    </w:p>
    <w:p>
      <w:pPr>
        <w:ind w:left="1340" w:right="1579" w:firstLine="277"/>
        <w:spacing w:after="0" w:line="278" w:lineRule="auto"/>
        <w:rPr>
          <w:sz w:val="20"/>
          <w:szCs w:val="20"/>
          <w:color w:val="auto"/>
        </w:rPr>
      </w:pPr>
      <w:r>
        <w:rPr>
          <w:rFonts w:ascii="Times New Roman" w:cs="Times New Roman" w:eastAsia="Times New Roman" w:hAnsi="Times New Roman"/>
          <w:sz w:val="14"/>
          <w:szCs w:val="14"/>
          <w:color w:val="auto"/>
        </w:rPr>
        <w:t>As used in the indenture, the term “corporation” means a corporation, association, company, limited liability company, joint-stock company or business trust.</w:t>
      </w:r>
    </w:p>
    <w:p>
      <w:pPr>
        <w:spacing w:after="0" w:line="61" w:lineRule="exact"/>
        <w:rPr>
          <w:sz w:val="20"/>
          <w:szCs w:val="20"/>
          <w:color w:val="auto"/>
        </w:rPr>
      </w:pPr>
    </w:p>
    <w:p>
      <w:pPr>
        <w:ind w:left="1340" w:right="1919" w:firstLine="277"/>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Events of Default. </w:t>
      </w:r>
      <w:r>
        <w:rPr>
          <w:rFonts w:ascii="Times New Roman" w:cs="Times New Roman" w:eastAsia="Times New Roman" w:hAnsi="Times New Roman"/>
          <w:sz w:val="14"/>
          <w:szCs w:val="14"/>
          <w:color w:val="auto"/>
        </w:rPr>
        <w:t>Unless we inform you otherwise in the prospectus supplement, each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will be an event of default under each indenture for a series of debt securities:</w:t>
      </w:r>
    </w:p>
    <w:p>
      <w:pPr>
        <w:spacing w:after="0" w:line="41" w:lineRule="exact"/>
        <w:rPr>
          <w:sz w:val="20"/>
          <w:szCs w:val="20"/>
          <w:color w:val="auto"/>
        </w:rPr>
      </w:pPr>
    </w:p>
    <w:p>
      <w:pPr>
        <w:ind w:left="1760" w:right="1359" w:hanging="137"/>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principal or premium, if any, on that series when due, including at maturity or upon redemption or acceleration,</w:t>
      </w:r>
    </w:p>
    <w:p>
      <w:pPr>
        <w:spacing w:after="0" w:line="3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any interest on that series for 30 days after the interest becomes due,</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deposit any sinking fund payment, when due, relating to that series,</w:t>
      </w:r>
    </w:p>
    <w:p>
      <w:pPr>
        <w:spacing w:after="0" w:line="77" w:lineRule="exact"/>
        <w:rPr>
          <w:rFonts w:ascii="Times New Roman" w:cs="Times New Roman" w:eastAsia="Times New Roman" w:hAnsi="Times New Roman"/>
          <w:sz w:val="14"/>
          <w:szCs w:val="14"/>
          <w:color w:val="auto"/>
        </w:rPr>
      </w:pPr>
    </w:p>
    <w:p>
      <w:pPr>
        <w:ind w:left="1760" w:right="1379" w:hanging="137"/>
        <w:spacing w:after="0" w:line="255"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perform, or our breach in any material respect of, any other covenant or warranty in the applicable indenture, other than a covenant or warranty included in such indenture solely for the benefit of another series of debt securities, for 90 days after either the trustee or holders of at least 25% in principal amount of the outstanding debt securities of that series have given us written notice of the breach in the manner required by the applicable indenture,</w:t>
      </w:r>
    </w:p>
    <w:p>
      <w:pPr>
        <w:spacing w:after="0" w:line="4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our bankruptcy, insolvency or reorganization, and</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we may provide for that series,</w:t>
      </w:r>
    </w:p>
    <w:p>
      <w:pPr>
        <w:spacing w:after="0" w:line="120" w:lineRule="exact"/>
        <w:rPr>
          <w:sz w:val="20"/>
          <w:szCs w:val="20"/>
          <w:color w:val="auto"/>
        </w:rPr>
      </w:pPr>
    </w:p>
    <w:p>
      <w:pPr>
        <w:ind w:left="1340" w:right="1459"/>
        <w:spacing w:after="0" w:line="247" w:lineRule="auto"/>
        <w:rPr>
          <w:sz w:val="20"/>
          <w:szCs w:val="20"/>
          <w:color w:val="auto"/>
        </w:rPr>
      </w:pPr>
      <w:r>
        <w:rPr>
          <w:rFonts w:ascii="Times New Roman" w:cs="Times New Roman" w:eastAsia="Times New Roman" w:hAnsi="Times New Roman"/>
          <w:sz w:val="14"/>
          <w:szCs w:val="14"/>
          <w:color w:val="auto"/>
        </w:rPr>
        <w:t>provided, however, that no event described in the fourth bullet point above will be an event of default until an officer of the trustee, assigned to and working in the trustee’s corporate trust department, has actual knowledge of the event (in the case of the senior debt securities only) or until the trustee receives written notice of the event at its corporate trust office. (Section 501; Section 5.01)</w:t>
      </w:r>
    </w:p>
    <w:p>
      <w:pPr>
        <w:spacing w:after="0" w:line="85" w:lineRule="exact"/>
        <w:rPr>
          <w:sz w:val="20"/>
          <w:szCs w:val="20"/>
          <w:color w:val="auto"/>
        </w:rPr>
      </w:pPr>
    </w:p>
    <w:p>
      <w:pPr>
        <w:ind w:left="1340" w:right="1459" w:firstLine="277"/>
        <w:spacing w:after="0" w:line="241" w:lineRule="auto"/>
        <w:rPr>
          <w:sz w:val="20"/>
          <w:szCs w:val="20"/>
          <w:color w:val="auto"/>
        </w:rPr>
      </w:pPr>
      <w:r>
        <w:rPr>
          <w:rFonts w:ascii="Times New Roman" w:cs="Times New Roman" w:eastAsia="Times New Roman" w:hAnsi="Times New Roman"/>
          <w:sz w:val="14"/>
          <w:szCs w:val="14"/>
          <w:color w:val="auto"/>
        </w:rPr>
        <w:t>If an event of default for a series of debt securities occurs and is continuing, either the trustee or the holders of at least 25% in principal amount of the outstanding debt securities of that series may declare the principal amount of all the debt securities of that series due and immediately payable. To declare the principal amount of that series of debt securities due and immediately payable, the trustee or the holders must deliver a notice that satisfies the requirements of the applicable indenture. Upon a declaration by the trustee or the holders, we will be obligated to pay the principal amount of the series of debt securities.</w:t>
      </w:r>
    </w:p>
    <w:p>
      <w:pPr>
        <w:spacing w:after="0" w:line="90" w:lineRule="exact"/>
        <w:rPr>
          <w:sz w:val="20"/>
          <w:szCs w:val="20"/>
          <w:color w:val="auto"/>
        </w:rPr>
      </w:pPr>
    </w:p>
    <w:p>
      <w:pPr>
        <w:ind w:left="1340" w:right="1379" w:firstLine="277"/>
        <w:spacing w:after="0" w:line="260" w:lineRule="auto"/>
        <w:rPr>
          <w:sz w:val="20"/>
          <w:szCs w:val="20"/>
          <w:color w:val="auto"/>
        </w:rPr>
      </w:pPr>
      <w:r>
        <w:rPr>
          <w:rFonts w:ascii="Times New Roman" w:cs="Times New Roman" w:eastAsia="Times New Roman" w:hAnsi="Times New Roman"/>
          <w:sz w:val="14"/>
          <w:szCs w:val="14"/>
          <w:color w:val="auto"/>
        </w:rPr>
        <w:t>The right described in the preceding paragraph does not apply if an event of default described in the fifth bullet point above occurs, or an event of default described in the sixth bullet point above that applies to all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spacing w:after="0" w:line="250" w:lineRule="auto"/>
        <w:rPr>
          <w:sz w:val="20"/>
          <w:szCs w:val="20"/>
          <w:color w:val="auto"/>
        </w:rPr>
      </w:pPr>
      <w:r>
        <w:rPr>
          <w:rFonts w:ascii="Times New Roman" w:cs="Times New Roman" w:eastAsia="Times New Roman" w:hAnsi="Times New Roman"/>
          <w:sz w:val="14"/>
          <w:szCs w:val="14"/>
          <w:color w:val="auto"/>
        </w:rPr>
        <w:t>outstanding debt securities under the applicable indenture occurs. If one of the events of default described in the fifth bullet point above occurs with respect to the debt securities of any series, the debt securities of that series then outstanding under the applicable indenture will be due and payable immediately. If any of the events of default described in the sixth bullet point above that apply to all outstanding debt securities under an indenture occurs and is continuing, either the trustee or holders of at least 25% in principal amount of all of the debt securities then outstanding under the applicable indenture, treated as one class, may declare the principal amount of all of the debt securities then outstanding under such indenture to be due and payable immediately. To declare the principal amount of the debt securities due and immediately payable, the trustee or the holders must deliver a notice that satisfies the requirements of the applicable indenture. Upon a declaration by the trustee or the holders, we will be obligated to pay the principal amount of the debt securities.</w:t>
      </w:r>
    </w:p>
    <w:p>
      <w:pPr>
        <w:spacing w:after="0" w:line="266"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However, after any declaration of acceleration of a series of debt securities, but before a judgment or decree for payment has been obtained, the event of default giving rise to the declaration of acceleration will, without further act, be deemed to have been waived, and such declaration and its consequences will, without further act, be deemed to have been rescinded and annulled if:</w:t>
      </w:r>
    </w:p>
    <w:p>
      <w:pPr>
        <w:spacing w:after="0" w:line="58" w:lineRule="exact"/>
        <w:rPr>
          <w:sz w:val="20"/>
          <w:szCs w:val="20"/>
          <w:color w:val="auto"/>
        </w:rPr>
      </w:pPr>
    </w:p>
    <w:p>
      <w:pPr>
        <w:ind w:left="1760" w:hanging="137"/>
        <w:spacing w:after="0"/>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98" w:lineRule="exact"/>
        <w:rPr>
          <w:rFonts w:ascii="Times New Roman" w:cs="Times New Roman" w:eastAsia="Times New Roman" w:hAnsi="Times New Roman"/>
          <w:sz w:val="14"/>
          <w:szCs w:val="14"/>
          <w:color w:val="auto"/>
        </w:rPr>
      </w:pPr>
    </w:p>
    <w:p>
      <w:pPr>
        <w:ind w:left="2040" w:hanging="140"/>
        <w:spacing w:after="0"/>
        <w:tabs>
          <w:tab w:leader="none" w:pos="20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interest,</w:t>
      </w:r>
    </w:p>
    <w:p>
      <w:pPr>
        <w:spacing w:after="0" w:line="98" w:lineRule="exact"/>
        <w:rPr>
          <w:rFonts w:ascii="Times New Roman" w:cs="Times New Roman" w:eastAsia="Times New Roman" w:hAnsi="Times New Roman"/>
          <w:sz w:val="14"/>
          <w:szCs w:val="14"/>
          <w:color w:val="auto"/>
        </w:rPr>
      </w:pPr>
    </w:p>
    <w:p>
      <w:pPr>
        <w:ind w:left="2040" w:right="1419" w:hanging="140"/>
        <w:spacing w:after="0" w:line="278" w:lineRule="auto"/>
        <w:tabs>
          <w:tab w:leader="none" w:pos="20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and premium, if any, due otherwise than by the declaration of acceleration and any interest on such amounts,</w:t>
      </w:r>
    </w:p>
    <w:p>
      <w:pPr>
        <w:spacing w:after="0" w:line="52" w:lineRule="exact"/>
        <w:rPr>
          <w:rFonts w:ascii="Times New Roman" w:cs="Times New Roman" w:eastAsia="Times New Roman" w:hAnsi="Times New Roman"/>
          <w:sz w:val="14"/>
          <w:szCs w:val="14"/>
          <w:color w:val="auto"/>
        </w:rPr>
      </w:pPr>
    </w:p>
    <w:p>
      <w:pPr>
        <w:ind w:left="2040" w:hanging="140"/>
        <w:spacing w:after="0"/>
        <w:tabs>
          <w:tab w:leader="none" w:pos="20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on overdue interest, to the extent legally permitted, and</w:t>
      </w:r>
    </w:p>
    <w:p>
      <w:pPr>
        <w:spacing w:after="0" w:line="98" w:lineRule="exact"/>
        <w:rPr>
          <w:rFonts w:ascii="Times New Roman" w:cs="Times New Roman" w:eastAsia="Times New Roman" w:hAnsi="Times New Roman"/>
          <w:sz w:val="14"/>
          <w:szCs w:val="14"/>
          <w:color w:val="auto"/>
        </w:rPr>
      </w:pPr>
    </w:p>
    <w:p>
      <w:pPr>
        <w:ind w:left="2040" w:hanging="140"/>
        <w:spacing w:after="0"/>
        <w:tabs>
          <w:tab w:leader="none" w:pos="20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due to the trustee under the applicable indenture, and</w:t>
      </w:r>
    </w:p>
    <w:p>
      <w:pPr>
        <w:spacing w:after="0" w:line="109" w:lineRule="exact"/>
        <w:rPr>
          <w:rFonts w:ascii="Times New Roman" w:cs="Times New Roman" w:eastAsia="Times New Roman" w:hAnsi="Times New Roman"/>
          <w:sz w:val="14"/>
          <w:szCs w:val="14"/>
          <w:color w:val="auto"/>
        </w:rPr>
      </w:pPr>
    </w:p>
    <w:p>
      <w:pPr>
        <w:jc w:val="both"/>
        <w:ind w:left="1760" w:right="1559" w:hanging="137"/>
        <w:spacing w:after="0" w:line="262" w:lineRule="auto"/>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that series of debt securities, other than the nonpayment of the principal which became due solely by virtue of the declaration of acceleration, have been cured or waived. (Section 502; Section 5.02)</w:t>
      </w:r>
    </w:p>
    <w:p>
      <w:pPr>
        <w:spacing w:after="0" w:line="75"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will generally have no obligation to exercise any of its rights or powers under the applicable indenture at the request or direction of any of the holders, unless the holders offer reasonable indemnity to the trustee. (Section 603; Section 6.03)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w:t>
      </w:r>
    </w:p>
    <w:p>
      <w:pPr>
        <w:spacing w:after="0" w:line="62" w:lineRule="exact"/>
        <w:rPr>
          <w:sz w:val="20"/>
          <w:szCs w:val="20"/>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is not in conflict with any law or the applicable indenture,</w:t>
      </w:r>
    </w:p>
    <w:p>
      <w:pPr>
        <w:spacing w:after="0" w:line="98" w:lineRule="exact"/>
        <w:rPr>
          <w:rFonts w:ascii="Times New Roman" w:cs="Times New Roman" w:eastAsia="Times New Roman" w:hAnsi="Times New Roman"/>
          <w:sz w:val="14"/>
          <w:szCs w:val="14"/>
          <w:color w:val="auto"/>
        </w:rPr>
      </w:pPr>
    </w:p>
    <w:p>
      <w:pPr>
        <w:ind w:left="1760" w:right="1599" w:hanging="137"/>
        <w:spacing w:after="0" w:line="278"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it deems proper which is not inconsistent with the direction, and</w:t>
      </w:r>
    </w:p>
    <w:p>
      <w:pPr>
        <w:spacing w:after="0" w:line="63"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will have the right to decline to follow the direction if an officer of the trustee determines, in good faith, that the proceeding would involve the trustee in personal liability or would otherwise be contrary to applicable law. (Section 512; Section 5.12)</w:t>
      </w:r>
    </w:p>
    <w:p>
      <w:pPr>
        <w:spacing w:after="0" w:line="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A holder of a debt security of any series may only pursue a remedy under the applicable indenture if:</w:t>
      </w:r>
    </w:p>
    <w:p>
      <w:pPr>
        <w:spacing w:after="0" w:line="88" w:lineRule="exact"/>
        <w:rPr>
          <w:sz w:val="20"/>
          <w:szCs w:val="20"/>
          <w:color w:val="auto"/>
        </w:rPr>
      </w:pPr>
    </w:p>
    <w:p>
      <w:pPr>
        <w:ind w:left="1760" w:hanging="137"/>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that series,</w:t>
      </w:r>
    </w:p>
    <w:p>
      <w:pPr>
        <w:spacing w:after="0" w:line="109"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at least 25% in principal amount of the outstanding debt securities of that series make a written request to the trustee to institute proceedings with respect to the event of default,</w:t>
      </w:r>
    </w:p>
    <w:p>
      <w:pPr>
        <w:spacing w:after="0" w:line="5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reasonable indemnity to the trustee,</w:t>
      </w:r>
    </w:p>
    <w:p>
      <w:pPr>
        <w:spacing w:after="0" w:line="98"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pursue that remedy within 60 days after receipt of the notice, request and offer of indemnity, and</w:t>
      </w:r>
    </w:p>
    <w:p>
      <w:pPr>
        <w:spacing w:after="0" w:line="5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debt securities of that series do not give the trustee a direction inconsistent with the request. (Section 507; Section 5.07)</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6" w:name="page47"/>
    <w:bookmarkEnd w:id="4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firstLine="277"/>
        <w:spacing w:after="0" w:line="255" w:lineRule="auto"/>
        <w:rPr>
          <w:sz w:val="20"/>
          <w:szCs w:val="20"/>
          <w:color w:val="auto"/>
        </w:rPr>
      </w:pPr>
      <w:r>
        <w:rPr>
          <w:rFonts w:ascii="Times New Roman" w:cs="Times New Roman" w:eastAsia="Times New Roman" w:hAnsi="Times New Roman"/>
          <w:sz w:val="14"/>
          <w:szCs w:val="14"/>
          <w:color w:val="auto"/>
        </w:rPr>
        <w:t>However, these limitations do not apply to a suit by a holder of a debt security demanding payment of the principal, premium, if any, or interest on a debt security on or after the date the payment is due. (Section 508; Section 5.08)</w:t>
      </w:r>
    </w:p>
    <w:p>
      <w:pPr>
        <w:spacing w:after="0" w:line="79" w:lineRule="exact"/>
        <w:rPr>
          <w:sz w:val="20"/>
          <w:szCs w:val="20"/>
          <w:color w:val="auto"/>
        </w:rPr>
      </w:pPr>
    </w:p>
    <w:p>
      <w:pPr>
        <w:jc w:val="both"/>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We will be required to furnish to the trustee annually a statement by some of our officers regarding our performance or observance of any of the terms of the applicable indenture and specifying all of our known defaults, if any. (Section 1004; Section 10.04)</w:t>
      </w:r>
    </w:p>
    <w:p>
      <w:pPr>
        <w:spacing w:after="0" w:line="77" w:lineRule="exact"/>
        <w:rPr>
          <w:sz w:val="20"/>
          <w:szCs w:val="20"/>
          <w:color w:val="auto"/>
        </w:rPr>
      </w:pPr>
    </w:p>
    <w:p>
      <w:pPr>
        <w:ind w:left="1340" w:right="1479" w:firstLine="277"/>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Modification and Waiver. </w:t>
      </w:r>
      <w:r>
        <w:rPr>
          <w:rFonts w:ascii="Times New Roman" w:cs="Times New Roman" w:eastAsia="Times New Roman" w:hAnsi="Times New Roman"/>
          <w:sz w:val="14"/>
          <w:szCs w:val="14"/>
          <w:color w:val="auto"/>
        </w:rPr>
        <w:t>We may enter into one or more supplemental indentures to either indenture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trustee without the consent of the holders of the debt securities to:</w:t>
      </w:r>
    </w:p>
    <w:p>
      <w:pPr>
        <w:spacing w:after="0" w:line="41" w:lineRule="exact"/>
        <w:rPr>
          <w:sz w:val="20"/>
          <w:szCs w:val="20"/>
          <w:color w:val="auto"/>
        </w:rPr>
      </w:pPr>
    </w:p>
    <w:p>
      <w:pPr>
        <w:ind w:left="1760" w:right="149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corporation to us, or successive successions and the assumption of our covenants, agreements and obligations by a successor,</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our covenants for the benefit of the holders of any series of debt securities or to surrender any of our rights or powers,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events of default for any series of debt securities,</w:t>
      </w:r>
    </w:p>
    <w:p>
      <w:pPr>
        <w:spacing w:after="0" w:line="88" w:lineRule="exact"/>
        <w:rPr>
          <w:rFonts w:ascii="Times New Roman" w:cs="Times New Roman" w:eastAsia="Times New Roman" w:hAnsi="Times New Roman"/>
          <w:sz w:val="14"/>
          <w:szCs w:val="14"/>
          <w:color w:val="auto"/>
        </w:rPr>
      </w:pPr>
    </w:p>
    <w:p>
      <w:pPr>
        <w:ind w:left="1760" w:right="175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or change any provision of the applicable indenture to the extent necessary to issue debt securities in bearer form,</w:t>
      </w:r>
    </w:p>
    <w:p>
      <w:pPr>
        <w:spacing w:after="0" w:line="42" w:lineRule="exact"/>
        <w:rPr>
          <w:rFonts w:ascii="Times New Roman" w:cs="Times New Roman" w:eastAsia="Times New Roman" w:hAnsi="Times New Roman"/>
          <w:sz w:val="14"/>
          <w:szCs w:val="14"/>
          <w:color w:val="auto"/>
        </w:rPr>
      </w:pPr>
    </w:p>
    <w:p>
      <w:pPr>
        <w:ind w:left="1760" w:right="1359" w:hanging="137"/>
        <w:spacing w:after="0" w:line="255"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provision of the applicable indenture applying to one or more series of debt securities, including, for the junior subordinated indenture, the subordination provisions, provided that if such action adversely affects the interests of any holder of any series of debt securities issued thereunder, the addition, change or elimination will become effective with respect to that series only when no security of that series remains outstanding,</w:t>
      </w:r>
    </w:p>
    <w:p>
      <w:pPr>
        <w:spacing w:after="0" w:line="58" w:lineRule="exact"/>
        <w:rPr>
          <w:rFonts w:ascii="Times New Roman" w:cs="Times New Roman" w:eastAsia="Times New Roman" w:hAnsi="Times New Roman"/>
          <w:sz w:val="14"/>
          <w:szCs w:val="14"/>
          <w:color w:val="auto"/>
        </w:rPr>
      </w:pPr>
    </w:p>
    <w:p>
      <w:pPr>
        <w:ind w:left="1760" w:right="153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convey, transfer, assign, mortgage or pledge any property to or with the trustee or to surrender any right or power conferred upon us by the applicable indenture,</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or terms of any series of debt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securities in addition to certificated securities,</w:t>
      </w:r>
    </w:p>
    <w:p>
      <w:pPr>
        <w:spacing w:after="0" w:line="88" w:lineRule="exact"/>
        <w:rPr>
          <w:rFonts w:ascii="Times New Roman" w:cs="Times New Roman" w:eastAsia="Times New Roman" w:hAnsi="Times New Roman"/>
          <w:sz w:val="14"/>
          <w:szCs w:val="14"/>
          <w:color w:val="auto"/>
        </w:rPr>
      </w:pPr>
    </w:p>
    <w:p>
      <w:pPr>
        <w:ind w:left="1760" w:right="177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successor trustees or to add to or change any provisions to the extent necessary to appoint a separate trustee or trustees for a specific series of debt securities,</w:t>
      </w:r>
    </w:p>
    <w:p>
      <w:pPr>
        <w:spacing w:after="0" w:line="42" w:lineRule="exact"/>
        <w:rPr>
          <w:rFonts w:ascii="Times New Roman" w:cs="Times New Roman" w:eastAsia="Times New Roman" w:hAnsi="Times New Roman"/>
          <w:sz w:val="14"/>
          <w:szCs w:val="14"/>
          <w:color w:val="auto"/>
        </w:rPr>
      </w:pPr>
    </w:p>
    <w:p>
      <w:pPr>
        <w:jc w:val="both"/>
        <w:ind w:left="1760" w:right="1639" w:hanging="137"/>
        <w:spacing w:after="0" w:line="262"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 any ambiguity, defect or inconsistency under the applicable indenture, provided that such action does not adversely affect the interests of the holders of any series of debt securities issued thereunder,</w:t>
      </w:r>
    </w:p>
    <w:p>
      <w:pPr>
        <w:spacing w:after="0" w:line="54" w:lineRule="exact"/>
        <w:rPr>
          <w:rFonts w:ascii="Times New Roman" w:cs="Times New Roman" w:eastAsia="Times New Roman" w:hAnsi="Times New Roman"/>
          <w:sz w:val="14"/>
          <w:szCs w:val="14"/>
          <w:color w:val="auto"/>
        </w:rPr>
      </w:pPr>
    </w:p>
    <w:p>
      <w:pPr>
        <w:ind w:left="1760" w:right="1439" w:hanging="137"/>
        <w:spacing w:after="0" w:line="262"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 any provisions of the applicable indenture necessary to defease and discharge any series of debt securities, provided that such action does not adversely affect the interests of the holders of any series of debt securities issued thereunder,</w:t>
      </w:r>
    </w:p>
    <w:p>
      <w:pPr>
        <w:spacing w:after="0" w:line="54" w:lineRule="exact"/>
        <w:rPr>
          <w:rFonts w:ascii="Times New Roman" w:cs="Times New Roman" w:eastAsia="Times New Roman" w:hAnsi="Times New Roman"/>
          <w:sz w:val="14"/>
          <w:szCs w:val="14"/>
          <w:color w:val="auto"/>
        </w:rPr>
      </w:pPr>
    </w:p>
    <w:p>
      <w:pPr>
        <w:ind w:left="1760" w:right="157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or regulations of any securities exchange or automated quotation system on which any debt securities are listed or traded, or</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62"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change or eliminate any provisions of the applicable indenture in accordance with any amendments to the Trust Indenture Act, provided that the action does not adversely affect the rights or interests of any holder of debt securities issued thereunder. (Section 901; Section 9.01)</w:t>
      </w:r>
    </w:p>
    <w:p>
      <w:pPr>
        <w:spacing w:after="0" w:line="86"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We may enter into one or more supplemental indentures to either indenture with the trustee to add to, change or eliminate provisions of such indenture or to modify the rights of the holders of one or more series of debt securities if we obtain the consent of the holders of a majority in principal amount of the outstanding debt securities of each series affected by the supplemental indenture, treated as one class. However, without the consent of the holders of each outstanding debt security affected by the supplemental indenture, we may not enter into a supplemental indenture that:</w:t>
      </w:r>
    </w:p>
    <w:p>
      <w:pPr>
        <w:spacing w:after="0" w:line="62" w:lineRule="exact"/>
        <w:rPr>
          <w:sz w:val="20"/>
          <w:szCs w:val="20"/>
          <w:color w:val="auto"/>
        </w:rPr>
      </w:pPr>
    </w:p>
    <w:p>
      <w:pPr>
        <w:ind w:left="1760" w:right="1499" w:hanging="137"/>
        <w:spacing w:after="0" w:line="278" w:lineRule="auto"/>
        <w:tabs>
          <w:tab w:leader="none" w:pos="1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stated maturity of the principal of, or any installment of principal of or interest on, any debt security, except to the extent permitted by the applicable indenture,</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or any premium or interest on, any debt security,</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7" w:name="page48"/>
    <w:bookmarkEnd w:id="4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719" w:hanging="137"/>
        <w:spacing w:after="0" w:line="278"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amount of principal of an original issue discount security or any other debt security payable upon acceleration of the maturity thereof,</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place or currency of payment of principal, premium, if any, or interest,</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impairs the right to institute suit for the enforcement of any payment on any debt security,</w:t>
      </w:r>
    </w:p>
    <w:p>
      <w:pPr>
        <w:spacing w:after="0" w:line="88" w:lineRule="exact"/>
        <w:rPr>
          <w:rFonts w:ascii="Times New Roman" w:cs="Times New Roman" w:eastAsia="Times New Roman" w:hAnsi="Times New Roman"/>
          <w:sz w:val="14"/>
          <w:szCs w:val="14"/>
          <w:color w:val="auto"/>
        </w:rPr>
      </w:pPr>
    </w:p>
    <w:p>
      <w:pPr>
        <w:jc w:val="both"/>
        <w:ind w:left="1760" w:right="1499" w:hanging="137"/>
        <w:spacing w:after="0" w:line="262"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percentage in principal amount of outstanding debt securities of any series, the consent of whose holders is required for modification of the applicable indenture, for waiver of compliance with certain provisions of such indenture or for waiver of certain defaults,</w:t>
      </w:r>
    </w:p>
    <w:p>
      <w:pPr>
        <w:spacing w:after="0" w:line="54" w:lineRule="exact"/>
        <w:rPr>
          <w:rFonts w:ascii="Times New Roman" w:cs="Times New Roman" w:eastAsia="Times New Roman" w:hAnsi="Times New Roman"/>
          <w:sz w:val="14"/>
          <w:szCs w:val="14"/>
          <w:color w:val="auto"/>
        </w:rPr>
      </w:pPr>
    </w:p>
    <w:p>
      <w:pPr>
        <w:ind w:left="1760" w:right="1359" w:hanging="137"/>
        <w:spacing w:after="0" w:line="262"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certain modifications to the provisions for modification of the applicable indenture and for certain waivers, except to increase the principal amount of debt securities necessary to consent to any such charge,</w:t>
      </w:r>
    </w:p>
    <w:p>
      <w:pPr>
        <w:spacing w:after="0" w:line="54" w:lineRule="exact"/>
        <w:rPr>
          <w:rFonts w:ascii="Times New Roman" w:cs="Times New Roman" w:eastAsia="Times New Roman" w:hAnsi="Times New Roman"/>
          <w:sz w:val="14"/>
          <w:szCs w:val="14"/>
          <w:color w:val="auto"/>
        </w:rPr>
      </w:pPr>
    </w:p>
    <w:p>
      <w:pPr>
        <w:ind w:left="1760" w:right="1519" w:hanging="137"/>
        <w:spacing w:after="0" w:line="278"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junior subordinated indenture, modifies the subordination provisions in a manner adverse to the holders of the junior subordinated debt securities,</w:t>
      </w:r>
    </w:p>
    <w:p>
      <w:pPr>
        <w:spacing w:after="0" w:line="42" w:lineRule="exact"/>
        <w:rPr>
          <w:rFonts w:ascii="Times New Roman" w:cs="Times New Roman" w:eastAsia="Times New Roman" w:hAnsi="Times New Roman"/>
          <w:sz w:val="14"/>
          <w:szCs w:val="14"/>
          <w:color w:val="auto"/>
        </w:rPr>
      </w:pPr>
    </w:p>
    <w:p>
      <w:pPr>
        <w:ind w:left="1760" w:right="1619" w:hanging="137"/>
        <w:spacing w:after="0" w:line="262"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any change that adversely affects the right to convert or exchange any debt security or decreases the conversion or exchange rate or increases the conversion price of any convertible or exchangeable debt security, or</w:t>
      </w:r>
    </w:p>
    <w:p>
      <w:pPr>
        <w:spacing w:after="0" w:line="54" w:lineRule="exact"/>
        <w:rPr>
          <w:rFonts w:ascii="Times New Roman" w:cs="Times New Roman" w:eastAsia="Times New Roman" w:hAnsi="Times New Roman"/>
          <w:sz w:val="14"/>
          <w:szCs w:val="14"/>
          <w:color w:val="auto"/>
        </w:rPr>
      </w:pPr>
    </w:p>
    <w:p>
      <w:pPr>
        <w:ind w:left="1760" w:right="1739" w:hanging="137"/>
        <w:spacing w:after="0" w:line="278" w:lineRule="auto"/>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terms and conditions pursuant to which any series of debt securities is secured in a manner adverse to the holders of the debt securities. (Section 902; Section 9.02)</w:t>
      </w:r>
    </w:p>
    <w:p>
      <w:pPr>
        <w:spacing w:after="0" w:line="74"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In addition, we may not modify the subordination provisions of any outstanding junior subordinated debt securities without the consent of each holder of our senior indebtedness that would be adversely affected thereby. The term “senior indebtedness” is defined below under “— Provisions Applicable Solely to Junior Subordinated Debt Securities — Subordination.”</w:t>
      </w:r>
    </w:p>
    <w:p>
      <w:pPr>
        <w:spacing w:after="0" w:line="90" w:lineRule="exact"/>
        <w:rPr>
          <w:sz w:val="20"/>
          <w:szCs w:val="20"/>
          <w:color w:val="auto"/>
        </w:rPr>
      </w:pPr>
    </w:p>
    <w:p>
      <w:pPr>
        <w:jc w:val="both"/>
        <w:ind w:left="1340" w:right="1519" w:firstLine="277"/>
        <w:spacing w:after="0" w:line="262" w:lineRule="auto"/>
        <w:rPr>
          <w:sz w:val="20"/>
          <w:szCs w:val="20"/>
          <w:color w:val="auto"/>
        </w:rPr>
      </w:pPr>
      <w:r>
        <w:rPr>
          <w:rFonts w:ascii="Times New Roman" w:cs="Times New Roman" w:eastAsia="Times New Roman" w:hAnsi="Times New Roman"/>
          <w:sz w:val="14"/>
          <w:szCs w:val="14"/>
          <w:color w:val="auto"/>
        </w:rPr>
        <w:t>Holders of a majority in principal amount of the outstanding debt securities of any series may waive past defaults or noncompliance with restrictive provisions of the applicable indenture with respect to such series. However, the consent of holders of each outstanding debt security of a series is required to:</w:t>
      </w:r>
    </w:p>
    <w:p>
      <w:pPr>
        <w:spacing w:after="0" w:line="55" w:lineRule="exact"/>
        <w:rPr>
          <w:sz w:val="20"/>
          <w:szCs w:val="20"/>
          <w:color w:val="auto"/>
        </w:rPr>
      </w:pPr>
    </w:p>
    <w:p>
      <w:pPr>
        <w:ind w:left="1760" w:hanging="137"/>
        <w:spacing w:after="0"/>
        <w:tabs>
          <w:tab w:leader="none" w:pos="1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default in the payment of principal, premium, if any, or interest, or</w:t>
      </w:r>
    </w:p>
    <w:p>
      <w:pPr>
        <w:spacing w:after="0" w:line="88"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covenants and provisions of the applicable indenture that may not be amended without the consent of the holder of each outstanding debt security of the series affected. (Sections 513 and 1006; Sections 5.13 and 10.06)</w:t>
      </w:r>
    </w:p>
    <w:p>
      <w:pPr>
        <w:spacing w:after="0" w:line="75" w:lineRule="exact"/>
        <w:rPr>
          <w:sz w:val="20"/>
          <w:szCs w:val="20"/>
          <w:color w:val="auto"/>
        </w:rPr>
      </w:pPr>
    </w:p>
    <w:p>
      <w:pPr>
        <w:ind w:left="1340" w:right="1559" w:firstLine="277"/>
        <w:spacing w:after="0" w:line="278" w:lineRule="auto"/>
        <w:rPr>
          <w:sz w:val="20"/>
          <w:szCs w:val="20"/>
          <w:color w:val="auto"/>
        </w:rPr>
      </w:pPr>
      <w:r>
        <w:rPr>
          <w:rFonts w:ascii="Times New Roman" w:cs="Times New Roman" w:eastAsia="Times New Roman" w:hAnsi="Times New Roman"/>
          <w:sz w:val="14"/>
          <w:szCs w:val="14"/>
          <w:color w:val="auto"/>
        </w:rPr>
        <w:t>To determine whether the holders of the requisite principal amount of the outstanding debt securities have taken an action under the applicable indenture as of a specified date:</w:t>
      </w:r>
    </w:p>
    <w:p>
      <w:pPr>
        <w:spacing w:after="0" w:line="53" w:lineRule="exact"/>
        <w:rPr>
          <w:sz w:val="20"/>
          <w:szCs w:val="20"/>
          <w:color w:val="auto"/>
        </w:rPr>
      </w:pPr>
    </w:p>
    <w:p>
      <w:pPr>
        <w:ind w:left="1760" w:right="1359" w:hanging="137"/>
        <w:spacing w:after="0" w:line="262"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 “original issue discount security” that will be deemed to be outstanding will be the amount of the principal that would be due and payable as of that date upon acceleration of the maturity to that date,</w:t>
      </w:r>
    </w:p>
    <w:p>
      <w:pPr>
        <w:spacing w:after="0" w:line="54"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of that date, the principal amount payable at the stated maturity of a debt security is not determinable, for example, because it is based on an index, the principal amount of the debt security deemed to be outstanding as of that date will be an amount determined in the manner prescribed for the debt security,</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 debt security denominated in one or more foreign currencies or</w:t>
      </w:r>
    </w:p>
    <w:p>
      <w:pPr>
        <w:spacing w:after="0" w:line="20" w:lineRule="exact"/>
        <w:rPr>
          <w:rFonts w:ascii="Times New Roman" w:cs="Times New Roman" w:eastAsia="Times New Roman" w:hAnsi="Times New Roman"/>
          <w:sz w:val="14"/>
          <w:szCs w:val="14"/>
          <w:color w:val="auto"/>
        </w:rPr>
      </w:pPr>
    </w:p>
    <w:p>
      <w:pPr>
        <w:ind w:left="1760" w:right="135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units that will be deemed to be outstanding will be the U.S. dollar equivalent, determined as of that date in the manner prescribed for the debt security, of the principal amount of the debt security or, in the case of a debt security described in the two preceding bullet points, of the amount described above, and</w:t>
      </w:r>
    </w:p>
    <w:p>
      <w:pPr>
        <w:spacing w:after="0" w:line="62" w:lineRule="exact"/>
        <w:rPr>
          <w:rFonts w:ascii="Times New Roman" w:cs="Times New Roman" w:eastAsia="Times New Roman" w:hAnsi="Times New Roman"/>
          <w:sz w:val="14"/>
          <w:szCs w:val="14"/>
          <w:color w:val="auto"/>
        </w:rPr>
      </w:pPr>
    </w:p>
    <w:p>
      <w:pPr>
        <w:ind w:left="1760" w:right="1779" w:hanging="137"/>
        <w:spacing w:after="0" w:line="278"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owned by us or any other obligor upon the debt securities or any of our or their affiliates will be disregarded and deemed not to be outstanding.</w:t>
      </w:r>
    </w:p>
    <w:p>
      <w:pPr>
        <w:spacing w:after="0" w:line="63" w:lineRule="exact"/>
        <w:rPr>
          <w:sz w:val="20"/>
          <w:szCs w:val="20"/>
          <w:color w:val="auto"/>
        </w:rPr>
      </w:pPr>
    </w:p>
    <w:p>
      <w:pPr>
        <w:ind w:left="1340" w:right="1519" w:firstLine="277"/>
        <w:spacing w:after="0" w:line="278" w:lineRule="auto"/>
        <w:rPr>
          <w:sz w:val="20"/>
          <w:szCs w:val="20"/>
          <w:color w:val="auto"/>
        </w:rPr>
      </w:pPr>
      <w:r>
        <w:rPr>
          <w:rFonts w:ascii="Times New Roman" w:cs="Times New Roman" w:eastAsia="Times New Roman" w:hAnsi="Times New Roman"/>
          <w:sz w:val="14"/>
          <w:szCs w:val="14"/>
          <w:color w:val="auto"/>
        </w:rPr>
        <w:t>An “original issue discount security” means a debt security issued under either indenture which provides for an amount less than the principal amount thereof to be due and payable upon a declaration of</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line="247" w:lineRule="auto"/>
        <w:rPr>
          <w:sz w:val="20"/>
          <w:szCs w:val="20"/>
          <w:color w:val="auto"/>
        </w:rPr>
      </w:pPr>
      <w:r>
        <w:rPr>
          <w:rFonts w:ascii="Times New Roman" w:cs="Times New Roman" w:eastAsia="Times New Roman" w:hAnsi="Times New Roman"/>
          <w:sz w:val="14"/>
          <w:szCs w:val="14"/>
          <w:color w:val="auto"/>
        </w:rPr>
        <w:t>acceleration of maturity. Some debt securities, including those for the payment or redemption of which money has been deposited or set aside in trust for the holders and those that have been fully defeased pursuant to Section 1402 or Section 14.02 of the applicable indenture, will not be deemed to be outstanding. (Section 101; Section 1.01)</w:t>
      </w:r>
    </w:p>
    <w:p>
      <w:pPr>
        <w:spacing w:after="0" w:line="85"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determining the holders of outstanding debt securities of any series entitled to give or take any direction, notice, consent, waiver or other action under the applicable indenture. In limited circumstances, the trustee will be entitled to set a record date for action by holders of outstanding debt securities.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debt securities within a specified period following the record date. For any particular record date, this period will be 180 days or such shorter period as we may specify, or the trustee may specify, if it set the record date. (Section 104; Section 1.04)</w:t>
      </w:r>
    </w:p>
    <w:p>
      <w:pPr>
        <w:spacing w:after="0" w:line="91" w:lineRule="exact"/>
        <w:rPr>
          <w:sz w:val="20"/>
          <w:szCs w:val="20"/>
          <w:color w:val="auto"/>
        </w:rPr>
      </w:pPr>
    </w:p>
    <w:p>
      <w:pPr>
        <w:ind w:left="1340" w:right="1459" w:firstLine="277"/>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Satisfaction and Discharge. </w:t>
      </w:r>
      <w:r>
        <w:rPr>
          <w:rFonts w:ascii="Times New Roman" w:cs="Times New Roman" w:eastAsia="Times New Roman" w:hAnsi="Times New Roman"/>
          <w:sz w:val="14"/>
          <w:szCs w:val="14"/>
          <w:color w:val="auto"/>
        </w:rPr>
        <w:t>We may discharge our obligations under either indenture while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remain outstanding if (1) all outstanding debt securities issued under the applicable indenture have become due and payable, (2) all outstanding debt securities issued under the applicable indenture will become due and payable at their scheduled maturity within one year, or (3) all outstanding debt securities issued under the applicable indenture are scheduled for redemption in one year, and in each case, we have deposited with the trustee an amount sufficient to pay and discharge all outstanding debt securities issued under the applicable indenture on the date of their scheduled maturity or the scheduled date of redemption and we have paid all other sums payable under the applicable indenture.</w:t>
      </w:r>
    </w:p>
    <w:p>
      <w:pPr>
        <w:spacing w:after="0" w:line="88" w:lineRule="exact"/>
        <w:rPr>
          <w:sz w:val="20"/>
          <w:szCs w:val="20"/>
          <w:color w:val="auto"/>
        </w:rPr>
      </w:pPr>
    </w:p>
    <w:p>
      <w:pPr>
        <w:ind w:left="1340" w:right="1359" w:firstLine="277"/>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When we use the term defeasance, we mean discharge from some or all of our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either indenture. Unless we inform you otherwise in the prospectus supplement, if we deposit with the trustee funds or government securities sufficient to make payments on the debt securities of a series on the dates those payments are due and payable, then, at our option, either of the following will occur:</w:t>
      </w:r>
    </w:p>
    <w:p>
      <w:pPr>
        <w:spacing w:after="0" w:line="53" w:lineRule="exact"/>
        <w:rPr>
          <w:sz w:val="20"/>
          <w:szCs w:val="20"/>
          <w:color w:val="auto"/>
        </w:rPr>
      </w:pPr>
    </w:p>
    <w:p>
      <w:pPr>
        <w:ind w:left="1760" w:right="1559" w:hanging="137"/>
        <w:spacing w:after="0" w:line="278" w:lineRule="auto"/>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discharged from our obligations with respect to the debt securities of that series (“legal defeasance”), or</w:t>
      </w:r>
    </w:p>
    <w:p>
      <w:pPr>
        <w:spacing w:after="0" w:line="32" w:lineRule="exact"/>
        <w:rPr>
          <w:rFonts w:ascii="Times New Roman" w:cs="Times New Roman" w:eastAsia="Times New Roman" w:hAnsi="Times New Roman"/>
          <w:sz w:val="14"/>
          <w:szCs w:val="14"/>
          <w:color w:val="auto"/>
        </w:rPr>
      </w:pPr>
    </w:p>
    <w:p>
      <w:pPr>
        <w:ind w:left="1760" w:right="1479" w:hanging="137"/>
        <w:spacing w:after="0" w:line="257" w:lineRule="auto"/>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 longer have any obligation to comply with the restrictive covenants under the applicable indenture, and the related events of default will no longer apply to us, but some of our other obligations under the indenture and the debt securities of that series, including our obligation to make payments on those debt securities, will survive.</w:t>
      </w:r>
    </w:p>
    <w:p>
      <w:pPr>
        <w:spacing w:after="0" w:line="79" w:lineRule="exact"/>
        <w:rPr>
          <w:sz w:val="20"/>
          <w:szCs w:val="20"/>
          <w:color w:val="auto"/>
        </w:rPr>
      </w:pPr>
    </w:p>
    <w:p>
      <w:pPr>
        <w:ind w:left="1340" w:right="1359" w:firstLine="277"/>
        <w:spacing w:after="0" w:line="278" w:lineRule="auto"/>
        <w:rPr>
          <w:sz w:val="20"/>
          <w:szCs w:val="20"/>
          <w:color w:val="auto"/>
        </w:rPr>
      </w:pPr>
      <w:r>
        <w:rPr>
          <w:rFonts w:ascii="Times New Roman" w:cs="Times New Roman" w:eastAsia="Times New Roman" w:hAnsi="Times New Roman"/>
          <w:sz w:val="14"/>
          <w:szCs w:val="14"/>
          <w:color w:val="auto"/>
        </w:rPr>
        <w:t>If we effect legal defeasance of a series of debt securities, the holders of the debt securities of the series affected will not be entitled to the benefits of the applicable indenture, except for our obligations to:</w:t>
      </w:r>
    </w:p>
    <w:p>
      <w:pPr>
        <w:spacing w:after="0" w:line="22" w:lineRule="exact"/>
        <w:rPr>
          <w:sz w:val="20"/>
          <w:szCs w:val="20"/>
          <w:color w:val="auto"/>
        </w:rPr>
      </w:pPr>
    </w:p>
    <w:p>
      <w:pPr>
        <w:ind w:left="1760" w:hanging="137"/>
        <w:spacing w:after="0"/>
        <w:tabs>
          <w:tab w:leader="none" w:pos="1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mutilated, destroyed, lost or stolen debt securities, and</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 and hold moneys for payment in trust.</w:t>
      </w:r>
    </w:p>
    <w:p>
      <w:pPr>
        <w:spacing w:after="0" w:line="120"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be required to deliver to the trustee an opinion of counsel that the deposit and related defeasance would not cause the holders of the debt securities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(Sections 1401, 1402, 1403 and 1404; Sections 14.01, 14.02, 14.03 and 14.04)</w:t>
      </w:r>
    </w:p>
    <w:p>
      <w:pPr>
        <w:spacing w:after="0" w:line="88" w:lineRule="exact"/>
        <w:rPr>
          <w:sz w:val="20"/>
          <w:szCs w:val="20"/>
          <w:color w:val="auto"/>
        </w:rPr>
      </w:pPr>
    </w:p>
    <w:p>
      <w:pPr>
        <w:ind w:left="1340" w:right="1459" w:firstLine="277"/>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Notices. </w:t>
      </w:r>
      <w:r>
        <w:rPr>
          <w:rFonts w:ascii="Times New Roman" w:cs="Times New Roman" w:eastAsia="Times New Roman" w:hAnsi="Times New Roman"/>
          <w:sz w:val="14"/>
          <w:szCs w:val="14"/>
          <w:color w:val="auto"/>
        </w:rPr>
        <w:t>Holders will receive notices by mail at their addresses as they appear in the security register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as otherwise specified in the applicable indenture. (Section 106; Section 1.06)</w:t>
      </w:r>
    </w:p>
    <w:p>
      <w:pPr>
        <w:spacing w:after="0" w:line="70" w:lineRule="exact"/>
        <w:rPr>
          <w:sz w:val="20"/>
          <w:szCs w:val="20"/>
          <w:color w:val="auto"/>
        </w:rPr>
      </w:pPr>
    </w:p>
    <w:p>
      <w:pPr>
        <w:ind w:left="1340" w:right="1619" w:firstLine="277"/>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We may treat the person in whose name a debt security is registered on the applicable record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as the owner of the debt security for all purposes, whether or not it is overdue. (Section 309; Section 3.09)</w:t>
      </w:r>
    </w:p>
    <w:p>
      <w:pPr>
        <w:spacing w:after="0" w:line="77" w:lineRule="exact"/>
        <w:rPr>
          <w:sz w:val="20"/>
          <w:szCs w:val="20"/>
          <w:color w:val="auto"/>
        </w:rPr>
      </w:pPr>
    </w:p>
    <w:p>
      <w:pPr>
        <w:ind w:left="1340" w:right="1699" w:firstLine="277"/>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Governing Law. </w:t>
      </w:r>
      <w:r>
        <w:rPr>
          <w:rFonts w:ascii="Times New Roman" w:cs="Times New Roman" w:eastAsia="Times New Roman" w:hAnsi="Times New Roman"/>
          <w:sz w:val="14"/>
          <w:szCs w:val="14"/>
          <w:color w:val="auto"/>
        </w:rPr>
        <w:t>New York law will govern both indentures and the debt securities. (Section 112;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1.12)</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20"/>
        <w:spacing w:after="0"/>
        <w:tabs>
          <w:tab w:leader="none" w:pos="3020" w:val="left"/>
        </w:tabs>
        <w:rPr>
          <w:sz w:val="20"/>
          <w:szCs w:val="20"/>
          <w:color w:val="auto"/>
        </w:rPr>
      </w:pPr>
      <w:r>
        <w:rPr>
          <w:rFonts w:ascii="Times New Roman" w:cs="Times New Roman" w:eastAsia="Times New Roman" w:hAnsi="Times New Roman"/>
          <w:sz w:val="14"/>
          <w:szCs w:val="14"/>
          <w:i w:val="1"/>
          <w:iCs w:val="1"/>
          <w:color w:val="auto"/>
        </w:rPr>
        <w:t>Regarding the Trustee.</w:t>
      </w:r>
      <w:r>
        <w:rPr>
          <w:sz w:val="20"/>
          <w:szCs w:val="20"/>
          <w:color w:val="auto"/>
        </w:rPr>
        <w:tab/>
      </w:r>
      <w:r>
        <w:rPr>
          <w:rFonts w:ascii="Times New Roman" w:cs="Times New Roman" w:eastAsia="Times New Roman" w:hAnsi="Times New Roman"/>
          <w:sz w:val="14"/>
          <w:szCs w:val="14"/>
          <w:color w:val="auto"/>
        </w:rPr>
        <w:t>As of March 31, 2026, the trustee served as trustee for approximately</w:t>
      </w:r>
    </w:p>
    <w:p>
      <w:pPr>
        <w:spacing w:after="0" w:line="22" w:lineRule="exact"/>
        <w:rPr>
          <w:sz w:val="20"/>
          <w:szCs w:val="20"/>
          <w:color w:val="auto"/>
        </w:rPr>
      </w:pPr>
    </w:p>
    <w:p>
      <w:pPr>
        <w:ind w:left="1340" w:right="1399"/>
        <w:spacing w:after="0" w:line="250" w:lineRule="auto"/>
        <w:rPr>
          <w:sz w:val="20"/>
          <w:szCs w:val="20"/>
          <w:color w:val="auto"/>
        </w:rPr>
      </w:pPr>
      <w:r>
        <w:rPr>
          <w:rFonts w:ascii="Times New Roman" w:cs="Times New Roman" w:eastAsia="Times New Roman" w:hAnsi="Times New Roman"/>
          <w:sz w:val="14"/>
          <w:szCs w:val="14"/>
          <w:color w:val="auto"/>
        </w:rPr>
        <w:t>$7.5 billion aggregate principal amount of our debt securities (on an unconsolidated basis). In addition, the trustee serves as trustee for debt securities issued by or on behalf of our subsidiaries, aggregating approximately $13.9 billion as of March 31, 2026. We maintain brokerage relationships with the trustee and its affiliates, each of whom may maintain other relationships with us or our affiliates in the ordinary course of business.</w:t>
      </w:r>
    </w:p>
    <w:p>
      <w:pPr>
        <w:spacing w:after="0" w:line="259"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If an event of default occurs under either indenture and is continuing, the trustee will be required to use the degree of care and skill of a prudent person in the conduct of that person’s own affairs. The trustee will become obligated to exercise any of its powers under the applicable indenture at the request of any of the holders of any debt securities issued under such indenture only after those holders have offered the trustee indemnity satisfactory to it.</w:t>
      </w:r>
    </w:p>
    <w:p>
      <w:pPr>
        <w:spacing w:after="0" w:line="90"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If the trustee becomes one of our creditors, its rights to obtain payment of claims in specified circumstances, or to realize for its own account on certain property received in respect of any such claim as security or otherwise will be limited under the terms of the applicable indenture. (Section 613; Section 6.13) The trustee may engage in certain other transactions; however, if the trustee acquires any conflicting interest (within the meaning specified under the Trust Indenture Act), it will be required to eliminate the conflict or resign. (Section 608; Section 6.08)</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Provisions Applicable Solely to Senior Debt Securities</w:t>
      </w:r>
    </w:p>
    <w:p>
      <w:pPr>
        <w:spacing w:after="0" w:line="109" w:lineRule="exact"/>
        <w:rPr>
          <w:sz w:val="20"/>
          <w:szCs w:val="20"/>
          <w:color w:val="auto"/>
        </w:rPr>
      </w:pPr>
    </w:p>
    <w:p>
      <w:pPr>
        <w:jc w:val="both"/>
        <w:ind w:left="1340" w:right="139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Ranking. </w:t>
      </w:r>
      <w:r>
        <w:rPr>
          <w:rFonts w:ascii="Times New Roman" w:cs="Times New Roman" w:eastAsia="Times New Roman" w:hAnsi="Times New Roman"/>
          <w:sz w:val="14"/>
          <w:szCs w:val="14"/>
          <w:color w:val="auto"/>
        </w:rPr>
        <w:t>Our senior debt securities will rank equally in right of payment with all of our other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future unsecured and unsubordinated indebtedness.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Provisions Applicable Solely to Junior Subordinated Debt Securities</w:t>
      </w:r>
    </w:p>
    <w:p>
      <w:pPr>
        <w:spacing w:after="0" w:line="120" w:lineRule="exact"/>
        <w:rPr>
          <w:sz w:val="20"/>
          <w:szCs w:val="20"/>
          <w:color w:val="auto"/>
        </w:rPr>
      </w:pPr>
    </w:p>
    <w:p>
      <w:pPr>
        <w:jc w:val="both"/>
        <w:ind w:left="1340" w:right="1399" w:firstLine="277"/>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Subordination. </w:t>
      </w:r>
      <w:r>
        <w:rPr>
          <w:rFonts w:ascii="Times New Roman" w:cs="Times New Roman" w:eastAsia="Times New Roman" w:hAnsi="Times New Roman"/>
          <w:sz w:val="14"/>
          <w:szCs w:val="14"/>
          <w:color w:val="auto"/>
        </w:rPr>
        <w:t>The junior subordinated debt securities are subordinate and junior in right of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extent and in the manner stated in the junior subordinated indenture, to all of our senior indebtedness, as defined in the junior subordinated indenture.</w:t>
      </w:r>
    </w:p>
    <w:p>
      <w:pPr>
        <w:spacing w:after="0" w:line="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Unless we inform you otherwise in a prospectus supplement, “senior indebtedness” means:</w:t>
      </w:r>
    </w:p>
    <w:p>
      <w:pPr>
        <w:spacing w:after="0" w:line="88" w:lineRule="exact"/>
        <w:rPr>
          <w:sz w:val="20"/>
          <w:szCs w:val="20"/>
          <w:color w:val="auto"/>
        </w:rPr>
      </w:pPr>
    </w:p>
    <w:p>
      <w:pPr>
        <w:ind w:left="1760" w:right="1499" w:hanging="137"/>
        <w:spacing w:after="0" w:line="262" w:lineRule="auto"/>
        <w:tabs>
          <w:tab w:leader="none" w:pos="1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and obligations of, or guaranteed or assumed by, us for borrowed money or evidenced by bonds, debentures, notes or other similar instruments, whether existing on the date of the junior subordinated indenture or subsequently created, incurred or assumed, and</w:t>
      </w:r>
    </w:p>
    <w:p>
      <w:pPr>
        <w:spacing w:after="0" w:line="54" w:lineRule="exact"/>
        <w:rPr>
          <w:rFonts w:ascii="Times New Roman" w:cs="Times New Roman" w:eastAsia="Times New Roman" w:hAnsi="Times New Roman"/>
          <w:sz w:val="14"/>
          <w:szCs w:val="14"/>
          <w:color w:val="auto"/>
        </w:rPr>
      </w:pPr>
    </w:p>
    <w:p>
      <w:pPr>
        <w:ind w:left="1760" w:right="1959" w:hanging="137"/>
        <w:spacing w:after="0" w:line="278" w:lineRule="auto"/>
        <w:tabs>
          <w:tab w:leader="none" w:pos="1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amendments, renewals, extensions, modifications and refundings of any indebtedness or obligations of that kind.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Notwithstanding the foregoing, “senior indebtedness” excludes (i) our indebtedness to our subsidiaries,</w:t>
      </w:r>
    </w:p>
    <w:p>
      <w:pPr>
        <w:spacing w:after="0" w:line="20" w:lineRule="exact"/>
        <w:rPr>
          <w:sz w:val="20"/>
          <w:szCs w:val="20"/>
          <w:color w:val="auto"/>
        </w:rPr>
      </w:pPr>
    </w:p>
    <w:p>
      <w:pPr>
        <w:ind w:left="1340" w:right="1539" w:firstLine="6"/>
        <w:spacing w:after="0" w:line="249" w:lineRule="auto"/>
        <w:tabs>
          <w:tab w:leader="none" w:pos="155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accounts payable and accrued liabilities arising in the ordinary course of business and (iii) the junior subordinated debt securities and any other indebtedness or obligations that would otherwise constitute indebtedness if it is specifically designated as being subordinate, or not superior, in right of payment to the junior subordinated debt securities. “Senior indebtedness” includes, as of March 31, 2026, $828 million of our 2.0% Zero-Premium Exchangeable Subordinated Notes due 2029.</w:t>
      </w:r>
    </w:p>
    <w:p>
      <w:pPr>
        <w:spacing w:after="0" w:line="95" w:lineRule="exact"/>
        <w:rPr>
          <w:sz w:val="20"/>
          <w:szCs w:val="20"/>
          <w:color w:val="auto"/>
        </w:rPr>
      </w:pPr>
    </w:p>
    <w:p>
      <w:pPr>
        <w:ind w:left="1340" w:right="1819" w:firstLine="277"/>
        <w:spacing w:after="0" w:line="278" w:lineRule="auto"/>
        <w:rPr>
          <w:sz w:val="20"/>
          <w:szCs w:val="20"/>
          <w:color w:val="auto"/>
        </w:rPr>
      </w:pPr>
      <w:r>
        <w:rPr>
          <w:rFonts w:ascii="Times New Roman" w:cs="Times New Roman" w:eastAsia="Times New Roman" w:hAnsi="Times New Roman"/>
          <w:sz w:val="14"/>
          <w:szCs w:val="14"/>
          <w:color w:val="auto"/>
        </w:rPr>
        <w:t>We will describe additional provisions of our junior subordinated debt securities in a prospectus supplement applicable to the particular series of junior subordinated debt securities.</w:t>
      </w:r>
    </w:p>
    <w:p>
      <w:pPr>
        <w:spacing w:after="0" w:line="72" w:lineRule="exact"/>
        <w:rPr>
          <w:sz w:val="20"/>
          <w:szCs w:val="20"/>
          <w:color w:val="auto"/>
        </w:rPr>
      </w:pPr>
    </w:p>
    <w:p>
      <w:pPr>
        <w:jc w:val="both"/>
        <w:ind w:left="1340" w:right="1439" w:firstLine="277"/>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Upon the effectiveness of any defeasance or covenant defeasance permitted with respect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junior subordinated securities, the junior subordinated debt securities then outstanding shall cease to be subordinated. See “— Provisions Applicable to Each Indenture —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DESCRIPTION OF OUR CAPITAL STOCK</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As of April 15, 2026, our authorized capital stock consisted of:</w:t>
      </w:r>
    </w:p>
    <w:p>
      <w:pPr>
        <w:spacing w:after="0" w:line="99" w:lineRule="exact"/>
        <w:rPr>
          <w:sz w:val="20"/>
          <w:szCs w:val="20"/>
          <w:color w:val="auto"/>
        </w:rPr>
      </w:pPr>
    </w:p>
    <w:p>
      <w:pPr>
        <w:ind w:left="1760" w:right="1379" w:hanging="137"/>
        <w:spacing w:after="0" w:line="278" w:lineRule="auto"/>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common stock, par value $0.01 per share, of which 654,169,480 shares were outstanding, excluding 166 shares held as treasury stock, and</w:t>
      </w:r>
    </w:p>
    <w:p>
      <w:pPr>
        <w:spacing w:after="0" w:line="63"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preferred stock, par value $0.01 per share.</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11"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The following description of our common stock is a summary and does not purport to be complete. It is subject to and qualified in its entirety by reference to our Amended and Restated Certificate of Formation (“Certificate of Formation”) and Fifth Amended and Restated Bylaws (“Bylaws”), each of which is incorporated by reference as an exhibit to the registration statement of which this prospectus is a part. We encourage you to read our Certificate of Formation, our Bylaws and the applicable provisions of the Texas Business Organizations Code (“TBOC”) for additional information.</w:t>
      </w:r>
    </w:p>
    <w:p>
      <w:pPr>
        <w:spacing w:after="0" w:line="91" w:lineRule="exact"/>
        <w:rPr>
          <w:sz w:val="20"/>
          <w:szCs w:val="20"/>
          <w:color w:val="auto"/>
        </w:rPr>
      </w:pPr>
    </w:p>
    <w:p>
      <w:pPr>
        <w:ind w:left="1340" w:right="1419" w:firstLine="277"/>
        <w:spacing w:after="0" w:line="250"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our common stock are entitled to one vote for each share on all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submitted to a vote of shareholders, including the election of directors. There are no cumulative voting rights. Subject to the voting rights expressly conferred to the holders of our preferred stock, the holders of our common stock possess exclusive full voting power for the election of directors and for all other purposes. Our Bylaws provide that, in an uncontested election, director nominees are elected by the vote of a majority of the votes cast with respect to the director by shareholders entitled to vote in the election of directors at a meeting of shareholders at which a quorum is present. An election is contested if, (x) the secretary receives notice that one or more shareholders has proposed to nominate one or more persons for election or re-election to the board of directors, which notice purports to be in compliance with the advance notice requirements for shareholder nominations set forth in our Bylaws, irrespective of whether the board of directors at any time determines that any such notice is not in compliance with such requirements, and</w:t>
      </w:r>
    </w:p>
    <w:p>
      <w:pPr>
        <w:spacing w:after="0" w:line="1" w:lineRule="exact"/>
        <w:rPr>
          <w:sz w:val="20"/>
          <w:szCs w:val="20"/>
          <w:color w:val="auto"/>
        </w:rPr>
      </w:pPr>
    </w:p>
    <w:p>
      <w:pPr>
        <w:ind w:left="1340" w:right="1379" w:firstLine="6"/>
        <w:spacing w:after="0" w:line="250" w:lineRule="auto"/>
        <w:tabs>
          <w:tab w:leader="none" w:pos="154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nomination or nominations have not been formally and irrevocably withdrawn by such shareholder(s) on or prior to the date that is 14 days in advance of the date we file our definitive proxy statement with the SEC, in which case directors will be elected by the vote of a plurality of the votes cast by shareholders entitled to vote in the election of directors at a meeting of shareholders at which a quorum is present.</w:t>
      </w:r>
    </w:p>
    <w:p>
      <w:pPr>
        <w:spacing w:after="0" w:line="257" w:lineRule="exact"/>
        <w:rPr>
          <w:sz w:val="20"/>
          <w:szCs w:val="20"/>
          <w:color w:val="auto"/>
        </w:rPr>
      </w:pPr>
    </w:p>
    <w:p>
      <w:pPr>
        <w:jc w:val="both"/>
        <w:ind w:left="1340" w:right="1359" w:firstLine="277"/>
        <w:spacing w:after="0" w:line="264"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preferences that may be applicable to any of our outstanding preferred stock,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our common stock are entitled to dividends when, as and if declared by the board of directors out of funds legally available for that purpose.</w:t>
      </w:r>
    </w:p>
    <w:p>
      <w:pPr>
        <w:spacing w:after="0" w:line="71"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i w:val="1"/>
          <w:iCs w:val="1"/>
          <w:color w:val="auto"/>
        </w:rPr>
        <w:t>Liquidation Rights</w:t>
      </w:r>
      <w:r>
        <w:rPr>
          <w:rFonts w:ascii="Times New Roman" w:cs="Times New Roman" w:eastAsia="Times New Roman" w:hAnsi="Times New Roman"/>
          <w:sz w:val="14"/>
          <w:szCs w:val="14"/>
          <w:color w:val="auto"/>
        </w:rPr>
        <w:t>. If we are liquidated, terminated or wound up, the holders of our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entitled to a pro rata share in any distribution to shareholders, but only after satisfaction of all of our liabilities and of the prior rights of any outstanding class of our preferred stock, which may include the right to participate further with the holders of our common stock in the distribution of any of our remaining assets.</w:t>
      </w:r>
    </w:p>
    <w:p>
      <w:pPr>
        <w:spacing w:after="0" w:line="256" w:lineRule="exact"/>
        <w:rPr>
          <w:sz w:val="20"/>
          <w:szCs w:val="20"/>
          <w:color w:val="auto"/>
        </w:rPr>
      </w:pPr>
    </w:p>
    <w:p>
      <w:pPr>
        <w:ind w:left="1340" w:right="163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Preemptive Rights</w:t>
      </w:r>
      <w:r>
        <w:rPr>
          <w:rFonts w:ascii="Times New Roman" w:cs="Times New Roman" w:eastAsia="Times New Roman" w:hAnsi="Times New Roman"/>
          <w:sz w:val="14"/>
          <w:szCs w:val="14"/>
          <w:color w:val="auto"/>
        </w:rPr>
        <w:t>. Holders of our common stock are not entitled to any preemptive or conversion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or other subscription rights.</w:t>
      </w:r>
    </w:p>
    <w:p>
      <w:pPr>
        <w:spacing w:after="0" w:line="70" w:lineRule="exact"/>
        <w:rPr>
          <w:sz w:val="20"/>
          <w:szCs w:val="20"/>
          <w:color w:val="auto"/>
        </w:rPr>
      </w:pPr>
    </w:p>
    <w:p>
      <w:pPr>
        <w:ind w:left="1340" w:right="137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Broadridge Corporate Issuer Solutions, Inc. serves as transfer agent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registrar for our common stock.</w:t>
      </w:r>
    </w:p>
    <w:p>
      <w:pPr>
        <w:spacing w:after="0" w:line="59" w:lineRule="exact"/>
        <w:rPr>
          <w:sz w:val="20"/>
          <w:szCs w:val="20"/>
          <w:color w:val="auto"/>
        </w:rPr>
      </w:pPr>
    </w:p>
    <w:p>
      <w:pPr>
        <w:ind w:left="1340" w:right="1399" w:firstLine="277"/>
        <w:spacing w:after="0" w:line="256" w:lineRule="auto"/>
        <w:rPr>
          <w:sz w:val="20"/>
          <w:szCs w:val="20"/>
          <w:color w:val="auto"/>
        </w:rPr>
      </w:pPr>
      <w:r>
        <w:rPr>
          <w:rFonts w:ascii="Times New Roman" w:cs="Times New Roman" w:eastAsia="Times New Roman" w:hAnsi="Times New Roman"/>
          <w:sz w:val="14"/>
          <w:szCs w:val="14"/>
          <w:i w:val="1"/>
          <w:iCs w:val="1"/>
          <w:color w:val="auto"/>
        </w:rPr>
        <w:t>Other Provisions</w:t>
      </w:r>
      <w:r>
        <w:rPr>
          <w:rFonts w:ascii="Times New Roman" w:cs="Times New Roman" w:eastAsia="Times New Roman" w:hAnsi="Times New Roman"/>
          <w:sz w:val="14"/>
          <w:szCs w:val="14"/>
          <w:color w:val="auto"/>
        </w:rPr>
        <w:t>. There are no redemption or sinking fund provisions applicable to our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No personal liability will attach to holders of such shares under the laws of the State of Texas. Subject to the provisions of our Certificate of Formation and Bylaws imposing certain supermajority voting provisions, the rights of the holders of shares of our common stock may not be modified except by a vote of at least a majority of the shares outstanding entitled to vote thereon, voting together as a single class.</w:t>
      </w:r>
    </w:p>
    <w:p>
      <w:pPr>
        <w:spacing w:after="0" w:line="87" w:lineRule="exact"/>
        <w:rPr>
          <w:sz w:val="20"/>
          <w:szCs w:val="20"/>
          <w:color w:val="auto"/>
        </w:rPr>
      </w:pPr>
    </w:p>
    <w:p>
      <w:pPr>
        <w:ind w:left="1340" w:right="147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Listing</w:t>
      </w:r>
      <w:r>
        <w:rPr>
          <w:rFonts w:ascii="Times New Roman" w:cs="Times New Roman" w:eastAsia="Times New Roman" w:hAnsi="Times New Roman"/>
          <w:sz w:val="14"/>
          <w:szCs w:val="14"/>
          <w:color w:val="auto"/>
        </w:rPr>
        <w:t>. Our common stock is traded on the New York Stock Exchange and the NYSE Texas, in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case, under the trading symbol “CNP.”</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2"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Our board of directors may cause us to issue preferred stock from time to time in one or more series and may fix the number of shares and the terms of each series without the approval of our shareholders. Our board of directors may determine the terms of each series, including:</w:t>
      </w:r>
    </w:p>
    <w:p>
      <w:pPr>
        <w:spacing w:after="0" w:line="55" w:lineRule="exact"/>
        <w:rPr>
          <w:sz w:val="20"/>
          <w:szCs w:val="20"/>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rates and payment dates,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non-cumulative or partially cumulative, and related terms,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rights,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rights,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sinking fund provisions,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rights,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20" w:lineRule="exact"/>
        <w:rPr>
          <w:sz w:val="20"/>
          <w:szCs w:val="20"/>
          <w:color w:val="auto"/>
        </w:rPr>
      </w:pPr>
    </w:p>
    <w:p>
      <w:pPr>
        <w:ind w:left="1340" w:right="1479" w:firstLine="277"/>
        <w:spacing w:after="0" w:line="257" w:lineRule="auto"/>
        <w:rPr>
          <w:sz w:val="20"/>
          <w:szCs w:val="20"/>
          <w:color w:val="auto"/>
        </w:rPr>
      </w:pPr>
      <w:r>
        <w:rPr>
          <w:rFonts w:ascii="Times New Roman" w:cs="Times New Roman" w:eastAsia="Times New Roman" w:hAnsi="Times New Roman"/>
          <w:sz w:val="14"/>
          <w:szCs w:val="14"/>
          <w:color w:val="auto"/>
        </w:rPr>
        <w:t>The statement of resolutions establishing any series of preferred stock will include specific terms relating to such series of preferred stock. We will file the statement of resolutions with the Texas Secretary of State before we issue any of it. The statement of resolutions establishing a series of preferred stock will include some or all of the following terms:</w:t>
      </w:r>
    </w:p>
    <w:p>
      <w:pPr>
        <w:spacing w:after="0" w:line="58" w:lineRule="exact"/>
        <w:rPr>
          <w:sz w:val="20"/>
          <w:szCs w:val="20"/>
          <w:color w:val="auto"/>
        </w:rPr>
      </w:pPr>
    </w:p>
    <w:p>
      <w:pPr>
        <w:ind w:left="1760" w:hanging="137"/>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preferred stock,</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the series,</w:t>
      </w:r>
    </w:p>
    <w:p>
      <w:pPr>
        <w:spacing w:after="0" w:line="88" w:lineRule="exact"/>
        <w:rPr>
          <w:rFonts w:ascii="Times New Roman" w:cs="Times New Roman" w:eastAsia="Times New Roman" w:hAnsi="Times New Roman"/>
          <w:sz w:val="14"/>
          <w:szCs w:val="14"/>
          <w:color w:val="auto"/>
        </w:rPr>
      </w:pPr>
    </w:p>
    <w:p>
      <w:pPr>
        <w:ind w:left="1760" w:right="1739" w:hanging="137"/>
        <w:spacing w:after="0" w:line="278" w:lineRule="auto"/>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the method of calculating the dividend, the date from which dividends will accrue and whether dividends will be cumulative,</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liquidation preference,</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88" w:lineRule="exact"/>
        <w:rPr>
          <w:rFonts w:ascii="Times New Roman" w:cs="Times New Roman" w:eastAsia="Times New Roman" w:hAnsi="Times New Roman"/>
          <w:sz w:val="14"/>
          <w:szCs w:val="14"/>
          <w:color w:val="auto"/>
        </w:rPr>
      </w:pPr>
    </w:p>
    <w:p>
      <w:pPr>
        <w:ind w:left="1760" w:right="1719" w:hanging="137"/>
        <w:spacing w:after="0" w:line="278" w:lineRule="auto"/>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redeem or purchase the preferred stock,</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for the conversion or exchange of the preferred stock for other securities of us or any other entity,</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and</w:t>
      </w:r>
    </w:p>
    <w:p>
      <w:pPr>
        <w:spacing w:after="0" w:line="88" w:lineRule="exact"/>
        <w:rPr>
          <w:rFonts w:ascii="Times New Roman" w:cs="Times New Roman" w:eastAsia="Times New Roman" w:hAnsi="Times New Roman"/>
          <w:sz w:val="14"/>
          <w:szCs w:val="14"/>
          <w:color w:val="auto"/>
        </w:rPr>
      </w:pPr>
    </w:p>
    <w:p>
      <w:pPr>
        <w:ind w:left="1760" w:right="2219" w:hanging="137"/>
        <w:spacing w:after="0" w:line="278" w:lineRule="auto"/>
        <w:tabs>
          <w:tab w:leader="none" w:pos="1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preferences and relative, participating, optional or other special rights or any qualifications, limitations or restrictions on the rights of the shares.</w:t>
      </w:r>
    </w:p>
    <w:p>
      <w:pPr>
        <w:spacing w:after="0" w:line="63"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The issuance of preferred stock, while providing desired flexibility in connection with possible acquisitions and other corporate purposes, could adversely affect the voting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a required percentage vote of the shareholders.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Anti-Takeover Effects of Texas Laws and Our Charter and Bylaw Provisions</w:t>
      </w:r>
    </w:p>
    <w:p>
      <w:pPr>
        <w:spacing w:after="0" w:line="122"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Some provisions of Texas law and our Certificate of Formation and Bylaws could make the following actions more difficult:</w:t>
      </w:r>
    </w:p>
    <w:p>
      <w:pPr>
        <w:spacing w:after="0" w:line="43" w:lineRule="exact"/>
        <w:rPr>
          <w:sz w:val="20"/>
          <w:szCs w:val="20"/>
          <w:color w:val="auto"/>
        </w:rPr>
      </w:pPr>
    </w:p>
    <w:p>
      <w:pPr>
        <w:ind w:left="1760" w:hanging="137"/>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us by means of a tender offer,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control of us by means of a proxy contest or otherwise, or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removal of our incumbent officers and directors.</w:t>
      </w:r>
    </w:p>
    <w:p>
      <w:pPr>
        <w:spacing w:after="0" w:line="120" w:lineRule="exact"/>
        <w:rPr>
          <w:sz w:val="20"/>
          <w:szCs w:val="20"/>
          <w:color w:val="auto"/>
        </w:rPr>
      </w:pPr>
    </w:p>
    <w:p>
      <w:pPr>
        <w:ind w:left="1340" w:right="1439" w:firstLine="277"/>
        <w:spacing w:after="0" w:line="253" w:lineRule="auto"/>
        <w:rPr>
          <w:sz w:val="20"/>
          <w:szCs w:val="20"/>
          <w:color w:val="auto"/>
        </w:rPr>
      </w:pPr>
      <w:r>
        <w:rPr>
          <w:rFonts w:ascii="Times New Roman" w:cs="Times New Roman" w:eastAsia="Times New Roman" w:hAnsi="Times New Roman"/>
          <w:sz w:val="14"/>
          <w:szCs w:val="14"/>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this increased protection gives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Charter and Bylaw Provisions</w:t>
      </w:r>
    </w:p>
    <w:p>
      <w:pPr>
        <w:spacing w:after="0" w:line="120" w:lineRule="exact"/>
        <w:rPr>
          <w:sz w:val="20"/>
          <w:szCs w:val="20"/>
          <w:color w:val="auto"/>
        </w:rPr>
      </w:pPr>
    </w:p>
    <w:p>
      <w:pPr>
        <w:ind w:left="1340" w:right="1379" w:firstLine="277"/>
        <w:spacing w:after="0" w:line="256" w:lineRule="auto"/>
        <w:rPr>
          <w:sz w:val="20"/>
          <w:szCs w:val="20"/>
          <w:color w:val="auto"/>
        </w:rPr>
      </w:pPr>
      <w:r>
        <w:rPr>
          <w:rFonts w:ascii="Times New Roman" w:cs="Times New Roman" w:eastAsia="Times New Roman" w:hAnsi="Times New Roman"/>
          <w:sz w:val="14"/>
          <w:szCs w:val="14"/>
          <w:i w:val="1"/>
          <w:iCs w:val="1"/>
          <w:color w:val="auto"/>
        </w:rPr>
        <w:t>Election and Removal of Directors</w:t>
      </w:r>
      <w:r>
        <w:rPr>
          <w:rFonts w:ascii="Times New Roman" w:cs="Times New Roman" w:eastAsia="Times New Roman" w:hAnsi="Times New Roman"/>
          <w:sz w:val="14"/>
          <w:szCs w:val="14"/>
          <w:color w:val="auto"/>
        </w:rPr>
        <w:t>. The number of members of our board of directors will be fixed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time to time by resolution of the board of directors. Except for voting rights as may be provided to holders of preferred stock, at each annual meeting of shareholders, all directors are elected to hold office for a term expiring at the next succeeding annual meeting of shareholders and until their successors have been elected and qualified.</w:t>
      </w:r>
    </w:p>
    <w:p>
      <w:pPr>
        <w:spacing w:after="0" w:line="78"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No director may be removed except for cause, and, subject to the voting rights expressly conferred to the holders of our preferred stock, directors may be removed for cause only by the affirmative vote of the holders of at least a majority of the voting power of all outstanding shares of capital stock entitled to vote at an election of directors, voting together as a single class at a meeting of shareholders expressly called for that purpose. Subject to the voting rights expressly conferred to the holders of our preferred stock, any vacancy occurring on the board of directors and any newly created directorship may be filled by the affirmative vote of a majority of the remaining directors in office or by election by the shareholders at a meeting called for that purpose.</w:t>
      </w:r>
    </w:p>
    <w:p>
      <w:pPr>
        <w:spacing w:after="0" w:line="259" w:lineRule="exact"/>
        <w:rPr>
          <w:sz w:val="20"/>
          <w:szCs w:val="20"/>
          <w:color w:val="auto"/>
        </w:rPr>
      </w:pPr>
    </w:p>
    <w:p>
      <w:pPr>
        <w:ind w:left="1340" w:right="1419" w:firstLine="277"/>
        <w:spacing w:after="0" w:line="258" w:lineRule="auto"/>
        <w:rPr>
          <w:sz w:val="20"/>
          <w:szCs w:val="20"/>
          <w:color w:val="auto"/>
        </w:rPr>
      </w:pPr>
      <w:r>
        <w:rPr>
          <w:rFonts w:ascii="Times New Roman" w:cs="Times New Roman" w:eastAsia="Times New Roman" w:hAnsi="Times New Roman"/>
          <w:sz w:val="14"/>
          <w:szCs w:val="14"/>
          <w:i w:val="1"/>
          <w:iCs w:val="1"/>
          <w:color w:val="auto"/>
        </w:rPr>
        <w:t>Shareholder Meetings</w:t>
      </w:r>
      <w:r>
        <w:rPr>
          <w:rFonts w:ascii="Times New Roman" w:cs="Times New Roman" w:eastAsia="Times New Roman" w:hAnsi="Times New Roman"/>
          <w:sz w:val="14"/>
          <w:szCs w:val="14"/>
          <w:color w:val="auto"/>
        </w:rPr>
        <w:t>. Our Certificate of Formation and Bylaws provide that special meetings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common stock may be called only by the chair of our board of directors, our chief executive officer, the president, the secretary, a majority of our board of directors or the holders of at least 50% of the shares of our capital stock outstanding and entitled to vote at such meeting.</w:t>
      </w:r>
    </w:p>
    <w:p>
      <w:pPr>
        <w:spacing w:after="0" w:line="87" w:lineRule="exact"/>
        <w:rPr>
          <w:sz w:val="20"/>
          <w:szCs w:val="20"/>
          <w:color w:val="auto"/>
        </w:rPr>
      </w:pPr>
    </w:p>
    <w:p>
      <w:pPr>
        <w:ind w:left="1340" w:right="1419" w:firstLine="277"/>
        <w:spacing w:after="0" w:line="241" w:lineRule="auto"/>
        <w:rPr>
          <w:sz w:val="20"/>
          <w:szCs w:val="20"/>
          <w:color w:val="auto"/>
        </w:rPr>
      </w:pPr>
      <w:r>
        <w:rPr>
          <w:rFonts w:ascii="Times New Roman" w:cs="Times New Roman" w:eastAsia="Times New Roman" w:hAnsi="Times New Roman"/>
          <w:sz w:val="14"/>
          <w:szCs w:val="14"/>
          <w:i w:val="1"/>
          <w:iCs w:val="1"/>
          <w:color w:val="auto"/>
        </w:rPr>
        <w:t>Modification of Certificate of Formation</w:t>
      </w:r>
      <w:r>
        <w:rPr>
          <w:rFonts w:ascii="Times New Roman" w:cs="Times New Roman" w:eastAsia="Times New Roman" w:hAnsi="Times New Roman"/>
          <w:sz w:val="14"/>
          <w:szCs w:val="14"/>
          <w:color w:val="auto"/>
        </w:rPr>
        <w:t>. In general, amendments to our Certificate of Formation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recommended by the board of directors require the affirmative vote of holders of at least a majority of the outstanding shares of capital stock entitled to vote thereon. The provisions described above under “— Election and Removal of Directors” and “— Shareholder Meetings” may be amended only by the affirmative vote of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all outstanding shares of capital stock generally entitled to vote in the election of directors, voting together as a single class. The provisions described below under “— Modification of Bylaws” may be amended only by the affirmative vote of holders of at least 80% of the voting power of all outstanding shares of capital stock entitled to vote in the election of directors.</w:t>
      </w:r>
    </w:p>
    <w:p>
      <w:pPr>
        <w:spacing w:after="0" w:line="259"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i w:val="1"/>
          <w:iCs w:val="1"/>
          <w:color w:val="auto"/>
        </w:rPr>
        <w:t>Modification of Bylaws</w:t>
      </w:r>
      <w:r>
        <w:rPr>
          <w:rFonts w:ascii="Times New Roman" w:cs="Times New Roman" w:eastAsia="Times New Roman" w:hAnsi="Times New Roman"/>
          <w:sz w:val="14"/>
          <w:szCs w:val="14"/>
          <w:color w:val="auto"/>
        </w:rPr>
        <w:t>. Our board of directors has the power to alter, amend or repeal our Bylaws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adopt new Bylaws by the affirmative vote of at least 80% of all directors then in office at any regular or special meeting of the board of directors. The shareholders also have the power to alter, amend or repeal our Bylaws or adopt new Bylaws by the affirmative vote of holders of at least 80% of the voting power of all outstanding shares of capital stock entitled to vote in the election of directors, voting together as a single class.</w:t>
      </w:r>
    </w:p>
    <w:p>
      <w:pPr>
        <w:spacing w:after="0" w:line="256" w:lineRule="exact"/>
        <w:rPr>
          <w:sz w:val="20"/>
          <w:szCs w:val="20"/>
          <w:color w:val="auto"/>
        </w:rPr>
      </w:pPr>
    </w:p>
    <w:p>
      <w:pPr>
        <w:ind w:left="1340" w:right="141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Other Limitations on Shareholder Actions</w:t>
      </w:r>
      <w:r>
        <w:rPr>
          <w:rFonts w:ascii="Times New Roman" w:cs="Times New Roman" w:eastAsia="Times New Roman" w:hAnsi="Times New Roman"/>
          <w:sz w:val="14"/>
          <w:szCs w:val="14"/>
          <w:color w:val="auto"/>
        </w:rPr>
        <w:t>. Our Bylaws also impose some procedural requirements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who wish to:</w:t>
      </w:r>
    </w:p>
    <w:p>
      <w:pPr>
        <w:spacing w:after="0" w:line="41" w:lineRule="exact"/>
        <w:rPr>
          <w:sz w:val="20"/>
          <w:szCs w:val="20"/>
          <w:color w:val="auto"/>
        </w:rPr>
      </w:pPr>
    </w:p>
    <w:p>
      <w:pPr>
        <w:ind w:left="4420" w:right="4459" w:hanging="2797"/>
        <w:spacing w:after="0" w:line="483" w:lineRule="auto"/>
        <w:tabs>
          <w:tab w:leader="none" w:pos="176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nominations in the election of directors,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384810</wp:posOffset>
            </wp:positionV>
            <wp:extent cx="526288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hanging="137"/>
        <w:spacing w:after="0"/>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that a director be removed,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any repeal or change in our Bylaws, or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any other business to be brought before an annual or special meeting of shareholders.</w:t>
      </w:r>
    </w:p>
    <w:p>
      <w:pPr>
        <w:spacing w:after="0" w:line="109" w:lineRule="exact"/>
        <w:rPr>
          <w:sz w:val="20"/>
          <w:szCs w:val="20"/>
          <w:color w:val="auto"/>
        </w:rPr>
      </w:pPr>
    </w:p>
    <w:p>
      <w:pPr>
        <w:jc w:val="both"/>
        <w:ind w:left="1340" w:right="1499" w:firstLine="277"/>
        <w:spacing w:after="0" w:line="255" w:lineRule="auto"/>
        <w:rPr>
          <w:sz w:val="20"/>
          <w:szCs w:val="20"/>
          <w:color w:val="auto"/>
        </w:rPr>
      </w:pPr>
      <w:r>
        <w:rPr>
          <w:rFonts w:ascii="Times New Roman" w:cs="Times New Roman" w:eastAsia="Times New Roman" w:hAnsi="Times New Roman"/>
          <w:sz w:val="14"/>
          <w:szCs w:val="14"/>
          <w:color w:val="auto"/>
        </w:rPr>
        <w:t>Under these procedural requirements, a shareholder must deliver timely notice in proper written form (as specified in our Bylaws) to our secretary of the nomination or proposal along with evidence of, among other things:</w:t>
      </w:r>
    </w:p>
    <w:p>
      <w:pPr>
        <w:spacing w:after="0" w:line="48" w:lineRule="exact"/>
        <w:rPr>
          <w:sz w:val="20"/>
          <w:szCs w:val="20"/>
          <w:color w:val="auto"/>
        </w:rPr>
      </w:pPr>
    </w:p>
    <w:p>
      <w:pPr>
        <w:ind w:left="1760" w:hanging="137"/>
        <w:spacing w:after="0"/>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status as a shareholder,</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by the shareholder,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list of the persons with whom the shareholder is acting in concert,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such persons beneficially own.</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To be timely, a shareholder must deliver the notice:</w:t>
      </w:r>
    </w:p>
    <w:p>
      <w:pPr>
        <w:spacing w:after="0" w:line="88" w:lineRule="exact"/>
        <w:rPr>
          <w:sz w:val="20"/>
          <w:szCs w:val="20"/>
          <w:color w:val="auto"/>
        </w:rPr>
      </w:pPr>
    </w:p>
    <w:p>
      <w:pPr>
        <w:ind w:left="1760" w:right="1379" w:hanging="137"/>
        <w:spacing w:after="0" w:line="253" w:lineRule="auto"/>
        <w:tabs>
          <w:tab w:leader="none" w:pos="1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 annual meeting of shareholders, not later than the close of business on the 90th day nor earlier than the close of business on the 180th day prior to the first anniversary of the date on which the immediately preceding year’s annual meeting of shareholders was held; provided that if the date of the annual meeting is advanced by more than 30 days prior to or delayed by more than</w:t>
      </w:r>
    </w:p>
    <w:p>
      <w:pPr>
        <w:spacing w:after="0" w:line="1" w:lineRule="exact"/>
        <w:rPr>
          <w:rFonts w:ascii="Times New Roman" w:cs="Times New Roman" w:eastAsia="Times New Roman" w:hAnsi="Times New Roman"/>
          <w:sz w:val="14"/>
          <w:szCs w:val="14"/>
          <w:color w:val="auto"/>
        </w:rPr>
      </w:pPr>
    </w:p>
    <w:p>
      <w:pPr>
        <w:ind w:left="1760" w:right="141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after the first anniversary of the preceding year’s annual meeting of shareholders, not earlier than the close of business 180 days prior to the annual meeting and not later than the last to occur of the close of business (i) the 90th day prior to the annual meeting or (ii) the 10th day following the day on which we first make public announcement of the date of such meeting, or</w:t>
      </w:r>
    </w:p>
    <w:p>
      <w:pPr>
        <w:spacing w:after="0" w:line="62" w:lineRule="exact"/>
        <w:rPr>
          <w:rFonts w:ascii="Times New Roman" w:cs="Times New Roman" w:eastAsia="Times New Roman" w:hAnsi="Times New Roman"/>
          <w:sz w:val="14"/>
          <w:szCs w:val="14"/>
          <w:color w:val="auto"/>
        </w:rPr>
      </w:pPr>
    </w:p>
    <w:p>
      <w:pPr>
        <w:ind w:left="1760" w:right="1399" w:hanging="137"/>
        <w:spacing w:after="0" w:line="262" w:lineRule="auto"/>
        <w:tabs>
          <w:tab w:leader="none" w:pos="1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nomination of director candidates at a special meeting of shareholders, generally not later than the close of business on the 40th day nor earlier than the close of business on the 60th day prior to the date of the special meeting.</w:t>
      </w:r>
    </w:p>
    <w:p>
      <w:pPr>
        <w:spacing w:after="0" w:line="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To submit a nomination for the board of directors, a shareholder must also submit information with</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respect to the nominee that we would be required to include in a proxy statement, and, with respect to a</w:t>
      </w:r>
    </w:p>
    <w:p>
      <w:pPr>
        <w:ind w:left="1340"/>
        <w:spacing w:after="0"/>
        <w:rPr>
          <w:sz w:val="20"/>
          <w:szCs w:val="20"/>
          <w:color w:val="auto"/>
        </w:rPr>
      </w:pPr>
      <w:r>
        <w:rPr>
          <w:rFonts w:ascii="Times New Roman" w:cs="Times New Roman" w:eastAsia="Times New Roman" w:hAnsi="Times New Roman"/>
          <w:sz w:val="14"/>
          <w:szCs w:val="14"/>
          <w:color w:val="auto"/>
        </w:rPr>
        <w:t>nomination for an annual meeting, reasonable evidence that it has complied with the requirements of</w:t>
      </w:r>
    </w:p>
    <w:p>
      <w:pPr>
        <w:ind w:left="1340"/>
        <w:spacing w:after="0" w:line="232" w:lineRule="auto"/>
        <w:rPr>
          <w:sz w:val="20"/>
          <w:szCs w:val="20"/>
          <w:color w:val="auto"/>
        </w:rPr>
      </w:pPr>
      <w:r>
        <w:rPr>
          <w:rFonts w:ascii="Times New Roman" w:cs="Times New Roman" w:eastAsia="Times New Roman" w:hAnsi="Times New Roman"/>
          <w:sz w:val="14"/>
          <w:szCs w:val="14"/>
          <w:color w:val="auto"/>
        </w:rPr>
        <w:t>Rule 14a-19 of the Securities Exchange Act of 1934, as amended, not later than eight business days prior to</w:t>
      </w:r>
    </w:p>
    <w:p>
      <w:pPr>
        <w:ind w:left="1340"/>
        <w:spacing w:after="0"/>
        <w:rPr>
          <w:sz w:val="20"/>
          <w:szCs w:val="20"/>
          <w:color w:val="auto"/>
        </w:rPr>
      </w:pPr>
      <w:r>
        <w:rPr>
          <w:rFonts w:ascii="Times New Roman" w:cs="Times New Roman" w:eastAsia="Times New Roman" w:hAnsi="Times New Roman"/>
          <w:sz w:val="14"/>
          <w:szCs w:val="14"/>
          <w:color w:val="auto"/>
        </w:rPr>
        <w:t>the date of the meeting, as well as certain other information relating to the candidate’s eligibility, including</w:t>
      </w:r>
    </w:p>
    <w:p>
      <w:pPr>
        <w:ind w:left="1340"/>
        <w:spacing w:after="0"/>
        <w:rPr>
          <w:sz w:val="20"/>
          <w:szCs w:val="20"/>
          <w:color w:val="auto"/>
        </w:rPr>
      </w:pPr>
      <w:r>
        <w:rPr>
          <w:rFonts w:ascii="Times New Roman" w:cs="Times New Roman" w:eastAsia="Times New Roman" w:hAnsi="Times New Roman"/>
          <w:sz w:val="14"/>
          <w:szCs w:val="14"/>
          <w:color w:val="auto"/>
        </w:rPr>
        <w:t>any required updates or supplements to such information as of the record date for the meeting and as of the</w:t>
      </w:r>
    </w:p>
    <w:p>
      <w:pPr>
        <w:ind w:left="1340"/>
        <w:spacing w:after="0" w:line="232" w:lineRule="auto"/>
        <w:rPr>
          <w:sz w:val="20"/>
          <w:szCs w:val="20"/>
          <w:color w:val="auto"/>
        </w:rPr>
      </w:pPr>
      <w:r>
        <w:rPr>
          <w:rFonts w:ascii="Times New Roman" w:cs="Times New Roman" w:eastAsia="Times New Roman" w:hAnsi="Times New Roman"/>
          <w:sz w:val="14"/>
          <w:szCs w:val="14"/>
          <w:color w:val="auto"/>
        </w:rPr>
        <w:t>date that is ten business days prior to the meeting. If a shareholder fails to follow the required procedures,</w:t>
      </w:r>
    </w:p>
    <w:p>
      <w:pPr>
        <w:ind w:left="1340"/>
        <w:spacing w:after="0"/>
        <w:rPr>
          <w:sz w:val="20"/>
          <w:szCs w:val="20"/>
          <w:color w:val="auto"/>
        </w:rPr>
      </w:pPr>
      <w:r>
        <w:rPr>
          <w:rFonts w:ascii="Times New Roman" w:cs="Times New Roman" w:eastAsia="Times New Roman" w:hAnsi="Times New Roman"/>
          <w:sz w:val="14"/>
          <w:szCs w:val="14"/>
          <w:color w:val="auto"/>
        </w:rPr>
        <w:t>the shareholder’s nominee or proposal will be ineligible and will not be voted on by our shareholders.</w:t>
      </w:r>
    </w:p>
    <w:p>
      <w:pPr>
        <w:spacing w:after="0" w:line="93"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In addition to the director nomination provisions described above, our Bylaws contain a “proxy access” provision that provides that any shareholder or group of up to twenty shareholders who have owned 3% or more of our outstanding capital stock continuously for at least three years to nominate and include in our proxy materials for an annual meeting of shareholders, director candidates constituting up to 20% (or, if such amount is not a whole number, the closest whole number below 20%) of our board of directors or two directors, whichever is greater, provided that the shareholder (or group) and each nominee satisfy the eligibility requirements specified in our Bylaws. An eligible shareholder (or group) proposing to nominate a person for election to our board of directors through the proxy access provision must provide us with a notice requesting the inclusion of the director nominee in our proxy materials and other required information not less than 120 days nor more than 150 days prior to the first anniversary of the date on which the immediately preceding year’s annual meeting of shareholders was held. In addition, an eligible shareholder (or group) may include a written statement of not more than 500 words supporting the candidacy of such shareholder nominee. The complete proxy access provision for director nominations is set forth in our Bylaws.</w:t>
      </w:r>
    </w:p>
    <w:p>
      <w:pPr>
        <w:spacing w:after="0" w:line="255" w:lineRule="exact"/>
        <w:rPr>
          <w:sz w:val="20"/>
          <w:szCs w:val="20"/>
          <w:color w:val="auto"/>
        </w:rPr>
      </w:pPr>
    </w:p>
    <w:p>
      <w:pPr>
        <w:ind w:left="1340" w:right="1359" w:firstLine="277"/>
        <w:spacing w:after="0" w:line="244" w:lineRule="auto"/>
        <w:rPr>
          <w:sz w:val="20"/>
          <w:szCs w:val="20"/>
          <w:color w:val="auto"/>
        </w:rPr>
      </w:pPr>
      <w:r>
        <w:rPr>
          <w:rFonts w:ascii="Times New Roman" w:cs="Times New Roman" w:eastAsia="Times New Roman" w:hAnsi="Times New Roman"/>
          <w:sz w:val="14"/>
          <w:szCs w:val="14"/>
          <w:color w:val="auto"/>
        </w:rPr>
        <w:t>In connection with a special meeting of shareholders, the only business that will be conducted is that stated in the notice of special meeting, or otherwise properly brought and made in proper written form before the meeting by or at the direction of the Chair of the Meeting or the board of directors. Shareholders requesting a special meeting are permitted to make proposals for matters to be brought before the meeting in their request.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479" w:firstLine="277"/>
        <w:spacing w:after="0" w:line="257" w:lineRule="auto"/>
        <w:rPr>
          <w:sz w:val="20"/>
          <w:szCs w:val="20"/>
          <w:color w:val="auto"/>
        </w:rPr>
      </w:pPr>
      <w:r>
        <w:rPr>
          <w:rFonts w:ascii="Times New Roman" w:cs="Times New Roman" w:eastAsia="Times New Roman" w:hAnsi="Times New Roman"/>
          <w:sz w:val="14"/>
          <w:szCs w:val="14"/>
          <w:i w:val="1"/>
          <w:iCs w:val="1"/>
          <w:color w:val="auto"/>
        </w:rPr>
        <w:t>Limitation on Liability of Directors and Officers</w:t>
      </w:r>
      <w:r>
        <w:rPr>
          <w:rFonts w:ascii="Times New Roman" w:cs="Times New Roman" w:eastAsia="Times New Roman" w:hAnsi="Times New Roman"/>
          <w:sz w:val="14"/>
          <w:szCs w:val="14"/>
          <w:color w:val="auto"/>
        </w:rPr>
        <w:t>. Our Certificate of Formation provides that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 or officer will be personally liable to us or our shareholders for monetary damages for any act or omission in the director’s capacity as a director or officer’s capacity as an officer, as applicable, except for the liability of (1) a director or officer to the extent the director or officer is found liable under applicable law for:</w:t>
      </w:r>
    </w:p>
    <w:p>
      <w:pPr>
        <w:spacing w:after="0" w:line="227" w:lineRule="exact"/>
        <w:rPr>
          <w:sz w:val="20"/>
          <w:szCs w:val="20"/>
          <w:color w:val="auto"/>
        </w:rPr>
      </w:pPr>
    </w:p>
    <w:p>
      <w:pPr>
        <w:ind w:left="1760" w:hanging="137"/>
        <w:spacing w:after="0"/>
        <w:tabs>
          <w:tab w:leader="none" w:pos="176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director’s or officer’s duty of loyalty to us or our shareholders,</w:t>
      </w:r>
    </w:p>
    <w:p>
      <w:pPr>
        <w:spacing w:after="0" w:line="98" w:lineRule="exact"/>
        <w:rPr>
          <w:rFonts w:ascii="Times New Roman" w:cs="Times New Roman" w:eastAsia="Times New Roman" w:hAnsi="Times New Roman"/>
          <w:sz w:val="14"/>
          <w:szCs w:val="14"/>
          <w:color w:val="auto"/>
        </w:rPr>
      </w:pPr>
    </w:p>
    <w:p>
      <w:pPr>
        <w:ind w:left="1760" w:right="1359" w:hanging="137"/>
        <w:spacing w:after="0" w:line="278" w:lineRule="auto"/>
        <w:tabs>
          <w:tab w:leader="none" w:pos="176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not in good faith that (i) constitutes a breach of duty of the director or officer to us or (ii) involves intentional misconduct or a knowing violation of law,</w:t>
      </w:r>
    </w:p>
    <w:p>
      <w:pPr>
        <w:spacing w:after="0" w:line="42"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from which the director or officer received an improper benefit, regardless of whether the benefit resulted from an action taken within the scope of a director’s or officer’s duties,</w:t>
      </w:r>
    </w:p>
    <w:p>
      <w:pPr>
        <w:spacing w:after="0" w:line="42" w:lineRule="exact"/>
        <w:rPr>
          <w:rFonts w:ascii="Times New Roman" w:cs="Times New Roman" w:eastAsia="Times New Roman" w:hAnsi="Times New Roman"/>
          <w:sz w:val="14"/>
          <w:szCs w:val="14"/>
          <w:color w:val="auto"/>
        </w:rPr>
      </w:pPr>
    </w:p>
    <w:p>
      <w:pPr>
        <w:ind w:left="1760" w:right="1939" w:hanging="137"/>
        <w:spacing w:after="0" w:line="278" w:lineRule="auto"/>
        <w:tabs>
          <w:tab w:leader="none" w:pos="176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for which the liability of a director or officer is expressly provided by an applicable statute; and</w:t>
      </w:r>
    </w:p>
    <w:p>
      <w:pPr>
        <w:spacing w:after="0" w:line="63" w:lineRule="exact"/>
        <w:rPr>
          <w:rFonts w:ascii="Times New Roman" w:cs="Times New Roman" w:eastAsia="Times New Roman" w:hAnsi="Times New Roman"/>
          <w:sz w:val="14"/>
          <w:szCs w:val="14"/>
          <w:color w:val="auto"/>
        </w:rPr>
      </w:pPr>
    </w:p>
    <w:p>
      <w:pPr>
        <w:ind w:left="1560" w:hanging="214"/>
        <w:spacing w:after="0"/>
        <w:tabs>
          <w:tab w:leader="none" w:pos="15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our right.</w:t>
      </w:r>
    </w:p>
    <w:p>
      <w:pPr>
        <w:spacing w:after="0" w:line="120" w:lineRule="exact"/>
        <w:rPr>
          <w:sz w:val="20"/>
          <w:szCs w:val="20"/>
          <w:color w:val="auto"/>
        </w:rPr>
      </w:pPr>
    </w:p>
    <w:p>
      <w:pPr>
        <w:jc w:val="both"/>
        <w:ind w:left="1340" w:right="1519" w:firstLine="277"/>
        <w:spacing w:after="0" w:line="257" w:lineRule="auto"/>
        <w:rPr>
          <w:sz w:val="20"/>
          <w:szCs w:val="20"/>
          <w:color w:val="auto"/>
        </w:rPr>
      </w:pPr>
      <w:r>
        <w:rPr>
          <w:rFonts w:ascii="Times New Roman" w:cs="Times New Roman" w:eastAsia="Times New Roman" w:hAnsi="Times New Roman"/>
          <w:sz w:val="14"/>
          <w:szCs w:val="14"/>
          <w:color w:val="auto"/>
        </w:rPr>
        <w:t>Our Bylaws provide that we will indemnify our current or former officers and directors and advance expenses to them in connection with proceedings and claims, to the fullest extent permitted by the TBOC. Our Bylaws authorize our board of directors to indemnify and advance expenses to people other than our current or former officers and directors in certain circumstances.</w:t>
      </w:r>
    </w:p>
    <w:p>
      <w:pPr>
        <w:spacing w:after="0" w:line="88"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i w:val="1"/>
          <w:iCs w:val="1"/>
          <w:color w:val="auto"/>
        </w:rPr>
        <w:t>Choice of Forum</w:t>
      </w:r>
      <w:r>
        <w:rPr>
          <w:rFonts w:ascii="Times New Roman" w:cs="Times New Roman" w:eastAsia="Times New Roman" w:hAnsi="Times New Roman"/>
          <w:sz w:val="14"/>
          <w:szCs w:val="14"/>
          <w:color w:val="auto"/>
        </w:rPr>
        <w:t>. Our Bylaws provide that, unless we consent to the selection of an alternative forum,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United States District Court for the Southern District of Texas or, if such court lacks jurisdiction, the Eleventh Business Court Division of the Texas Business Court, located in Harris County, Texas, shall be the sole and exclusive forum for certain actions brought on behalf of the company or asserting claims against the company or its directors, officers or employees. Our Bylaws also provide that the federal district courts of the United States will be the sole and exclusive forum for claims arising under the Securities Act of 1933, as amended (the “Securities Act”).</w:t>
      </w:r>
    </w:p>
    <w:p>
      <w:pPr>
        <w:spacing w:after="0" w:line="79" w:lineRule="exact"/>
        <w:rPr>
          <w:sz w:val="20"/>
          <w:szCs w:val="20"/>
          <w:color w:val="auto"/>
        </w:rPr>
      </w:pPr>
    </w:p>
    <w:p>
      <w:pPr>
        <w:ind w:left="1340" w:right="1379" w:firstLine="277"/>
        <w:spacing w:after="0" w:line="254" w:lineRule="auto"/>
        <w:rPr>
          <w:sz w:val="20"/>
          <w:szCs w:val="20"/>
          <w:color w:val="auto"/>
        </w:rPr>
      </w:pPr>
      <w:r>
        <w:rPr>
          <w:rFonts w:ascii="Times New Roman" w:cs="Times New Roman" w:eastAsia="Times New Roman" w:hAnsi="Times New Roman"/>
          <w:sz w:val="14"/>
          <w:szCs w:val="14"/>
          <w:i w:val="1"/>
          <w:iCs w:val="1"/>
          <w:color w:val="auto"/>
        </w:rPr>
        <w:t>Shareholder Derivative Proceedings</w:t>
      </w:r>
      <w:r>
        <w:rPr>
          <w:rFonts w:ascii="Times New Roman" w:cs="Times New Roman" w:eastAsia="Times New Roman" w:hAnsi="Times New Roman"/>
          <w:sz w:val="14"/>
          <w:szCs w:val="14"/>
          <w:color w:val="auto"/>
        </w:rPr>
        <w:t>. As permitted by the TBOC, our Bylaws provide that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 (as defined in Section 21.551(2) of the TBOC) or group of such shareholders may institute or maintain a derivative proceeding brought on behalf of the company against any director and/or officer of the company in such person’s official capacity unless the shareholder or group of shareholders, at the time the derivative proceeding is instituted, beneficially owns a number of shares of our common stock sufficient to meet an ownership threshold of at least 3% of the outstanding shares of our common stock.</w:t>
      </w:r>
    </w:p>
    <w:p>
      <w:pPr>
        <w:spacing w:after="0" w:line="89"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i w:val="1"/>
          <w:iCs w:val="1"/>
          <w:color w:val="auto"/>
        </w:rPr>
        <w:t>Jury Trial Waiver</w:t>
      </w:r>
      <w:r>
        <w:rPr>
          <w:rFonts w:ascii="Times New Roman" w:cs="Times New Roman" w:eastAsia="Times New Roman" w:hAnsi="Times New Roman"/>
          <w:sz w:val="14"/>
          <w:szCs w:val="14"/>
          <w:color w:val="auto"/>
        </w:rPr>
        <w:t>. As permitted by the TBOC, our Bylaws provide that, unless we consent in writing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 jury trial, the company and each shareholder, director, and officer of the company irrevocably and unconditionally waives any right that such person or entity may have to a trial by jury in any claim that such person or entity may have in any legal action, proceeding, cause of action, counterclaim, cross-claim, or third-party claim arising out of or relating to any “internal entity claim” under the TBOC, and each shareholder agrees that their holdings or acquisition of shares of capital stock of the company or, to the extent permitted by law, options or rights to acquire shares of capital stock of the company, constitutes such shareholder’s intentional and knowing waiver of any right to trial by jury with respect to such claim.</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Texas Anti-Takeover Law</w:t>
      </w:r>
    </w:p>
    <w:p>
      <w:pPr>
        <w:spacing w:after="0" w:line="122"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We are subject to Section 21.606 of the TBOC.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 Section 21.606 may deter any potential unfriendly offers or other efforts to obtain control of us that are not approved by our board of directors. This may deprive our shareholders of opportunities to sell shares of our common stock at a premium to the prevailing market price.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STOCK PURCHASE CONTRACTS AND EQUITY UNITS</w:t>
      </w:r>
    </w:p>
    <w:p>
      <w:pPr>
        <w:spacing w:after="0" w:line="122"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We may issue stock purchase contracts, including contracts obligating holders to purchase from us, and obligating us to sell to the holders, a specified number of shares of common stock, preferred stock or other securities at a future date or dates. We may fix the price and number of securities subject to the stock purchase contracts at the time we issue the stock purchase contracts, or we may provide that the price and number of securities will be determined pursuant to a formula set forth in the stock purchase contracts. The stock purchase contracts may be issued separately or as part of units consisting of a stock purchase contract and our debt securities or debt obligations of third parties, including U.S. treasury securities, securing the obligations of the holders of the units to purchase the securities under the stock purchase contracts. We refer to these units as equity units. The stock purchase contracts may require holders to secure their obligations under the stock purchase contracts in a specified manner. The stock purchase contracts also may require us to make periodic payments to the holders of the equity units or vice versa, and those payments may be unsecured on some basis.</w:t>
      </w:r>
    </w:p>
    <w:p>
      <w:pPr>
        <w:spacing w:after="0" w:line="264" w:lineRule="exact"/>
        <w:rPr>
          <w:sz w:val="20"/>
          <w:szCs w:val="20"/>
          <w:color w:val="auto"/>
        </w:rPr>
      </w:pPr>
    </w:p>
    <w:p>
      <w:pPr>
        <w:ind w:left="1340" w:right="1499" w:firstLine="277"/>
        <w:spacing w:after="0" w:line="252"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the stock purchase contracts or equity units offered by such prospectus supplement. The description in the prospectus supplement will not necessarily be complete, and reference will be made to the stock purchase contracts or equity units, and, if applicable, collateral or depositary arrangements, relating to the stock purchase contracts or equity units, which will be filed with the SEC or otherwise incorporated by reference in our previous filings each time we issue stock purchase contracts or equity units. Certain material United States federal income tax considerations applicable to the equity units and the stock purchase contracts will also be discussed in the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11"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We may issue fractional shares of preferred stock, rather than full shares of preferred stock. If we do so, we may issue receipts for depositary shares that each represent a fraction of a share of a particular series of preferred stock. A related prospectus supplement will indicate that fraction. The shares of preferred stock represented by depositary shares will be deposited under a depositary agreement between us and a bank, trust company or other institution that is selected by us, which we refer to as the “depositary.” Each owner of a depositary share will be entitled to all the designations, powers, preferences, rights, qualifications, limitations and restrictions of the preferred stock represented by the depositary share. The depositary share will be evidenced by depositary receipts issued pursuant to the depositary agreement. Depositary receipts will be distributed to those persons purchasing the fractional shares of preferred stock in accordance with the terms of the offering.</w:t>
      </w:r>
    </w:p>
    <w:p>
      <w:pPr>
        <w:spacing w:after="0" w:line="93" w:lineRule="exact"/>
        <w:rPr>
          <w:sz w:val="20"/>
          <w:szCs w:val="20"/>
          <w:color w:val="auto"/>
        </w:rPr>
      </w:pPr>
    </w:p>
    <w:p>
      <w:pPr>
        <w:ind w:left="1340" w:right="1599" w:firstLine="277"/>
        <w:spacing w:after="0" w:line="262" w:lineRule="auto"/>
        <w:rPr>
          <w:sz w:val="20"/>
          <w:szCs w:val="20"/>
          <w:color w:val="auto"/>
        </w:rPr>
      </w:pPr>
      <w:r>
        <w:rPr>
          <w:rFonts w:ascii="Times New Roman" w:cs="Times New Roman" w:eastAsia="Times New Roman" w:hAnsi="Times New Roman"/>
          <w:sz w:val="14"/>
          <w:szCs w:val="14"/>
          <w:color w:val="auto"/>
        </w:rPr>
        <w:t>The forms of the depositary agreement and the depositary receipts relating to any particular issue of depositary shares will be filed with the SEC each time we issue depositary shares, and any prospectus supplement relating to any particular depositary shares will describe, among other things, the following:</w:t>
      </w:r>
    </w:p>
    <w:p>
      <w:pPr>
        <w:spacing w:after="0" w:line="55" w:lineRule="exact"/>
        <w:rPr>
          <w:sz w:val="20"/>
          <w:szCs w:val="20"/>
          <w:color w:val="auto"/>
        </w:rPr>
      </w:pPr>
    </w:p>
    <w:p>
      <w:pPr>
        <w:ind w:left="1760" w:hanging="137"/>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terms of the depositary shares and of the underlying preferred stock,</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depositary and the material terms of the depositary agreement,</w:t>
      </w:r>
    </w:p>
    <w:p>
      <w:pPr>
        <w:spacing w:after="0" w:line="88" w:lineRule="exact"/>
        <w:rPr>
          <w:rFonts w:ascii="Times New Roman" w:cs="Times New Roman" w:eastAsia="Times New Roman" w:hAnsi="Times New Roman"/>
          <w:sz w:val="14"/>
          <w:szCs w:val="14"/>
          <w:color w:val="auto"/>
        </w:rPr>
      </w:pPr>
    </w:p>
    <w:p>
      <w:pPr>
        <w:ind w:left="1760" w:right="1639" w:hanging="137"/>
        <w:spacing w:after="0" w:line="278" w:lineRule="auto"/>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relating to the issuance, payment, settlement, transfer or exchange of the depositary shares, and</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6" w:name="page57"/>
    <w:bookmarkEnd w:id="5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HOLDING COMPANY STRUCTURE</w:t>
      </w:r>
    </w:p>
    <w:p>
      <w:pPr>
        <w:spacing w:after="0" w:line="122" w:lineRule="exact"/>
        <w:rPr>
          <w:sz w:val="20"/>
          <w:szCs w:val="20"/>
          <w:color w:val="auto"/>
        </w:rPr>
      </w:pPr>
    </w:p>
    <w:p>
      <w:pPr>
        <w:ind w:left="1340" w:right="1419" w:firstLine="277"/>
        <w:spacing w:after="0"/>
        <w:rPr>
          <w:sz w:val="20"/>
          <w:szCs w:val="20"/>
          <w:color w:val="auto"/>
        </w:rPr>
      </w:pPr>
      <w:r>
        <w:rPr>
          <w:rFonts w:ascii="Times New Roman" w:cs="Times New Roman" w:eastAsia="Times New Roman" w:hAnsi="Times New Roman"/>
          <w:sz w:val="14"/>
          <w:szCs w:val="14"/>
          <w:color w:val="auto"/>
        </w:rPr>
        <w:t>We are a holding company that derives all of our operating income from, and holds substantially all of our assets through, our subsidiaries. As a result, we depend on the performance of and distributions from our subsidiaries to meet our debt service obligations and to pay dividends on our common stock and any future preferred stock we may issue.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payments or other distributions. Our right to receive assets of any subsidiary, and therefore the right of our creditors to participate in those assets, are structurally subordinated to the claims of our subsidiaries’ creditors, including trade creditors. In addition, even if we were a creditor of any subsidiary, our rights as a creditor would likely be effectively subordinated to any security interest in the assets of that subsidiary and any senior indebtedness of that subsidiary.</w:t>
      </w:r>
    </w:p>
    <w:p>
      <w:pPr>
        <w:spacing w:after="0" w:line="3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may sell the offered securities in and outside the United States:</w:t>
      </w:r>
    </w:p>
    <w:p>
      <w:pPr>
        <w:spacing w:after="0" w:line="78" w:lineRule="exact"/>
        <w:rPr>
          <w:sz w:val="20"/>
          <w:szCs w:val="20"/>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our affiliates,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prospectus supplement will include the following information:</w:t>
      </w:r>
    </w:p>
    <w:p>
      <w:pPr>
        <w:spacing w:after="0" w:line="88" w:lineRule="exact"/>
        <w:rPr>
          <w:sz w:val="20"/>
          <w:szCs w:val="20"/>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from the sale of the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1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22" w:lineRule="exact"/>
        <w:rPr>
          <w:sz w:val="20"/>
          <w:szCs w:val="20"/>
          <w:color w:val="auto"/>
        </w:rPr>
      </w:pPr>
    </w:p>
    <w:p>
      <w:pPr>
        <w:ind w:left="1340" w:right="1359" w:firstLine="277"/>
        <w:spacing w:after="0" w:line="239" w:lineRule="auto"/>
        <w:rPr>
          <w:sz w:val="20"/>
          <w:szCs w:val="20"/>
          <w:color w:val="auto"/>
        </w:rPr>
      </w:pPr>
      <w:r>
        <w:rPr>
          <w:rFonts w:ascii="Times New Roman" w:cs="Times New Roman" w:eastAsia="Times New Roman" w:hAnsi="Times New Roman"/>
          <w:sz w:val="14"/>
          <w:szCs w:val="14"/>
          <w:color w:val="auto"/>
        </w:rPr>
        <w:t>If we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95" w:lineRule="exact"/>
        <w:rPr>
          <w:sz w:val="20"/>
          <w:szCs w:val="20"/>
          <w:color w:val="auto"/>
        </w:rPr>
      </w:pPr>
    </w:p>
    <w:p>
      <w:pPr>
        <w:ind w:left="1340" w:right="1499" w:firstLine="277"/>
        <w:spacing w:after="0" w:line="244" w:lineRule="auto"/>
        <w:rPr>
          <w:sz w:val="20"/>
          <w:szCs w:val="20"/>
          <w:color w:val="auto"/>
        </w:rPr>
      </w:pPr>
      <w:r>
        <w:rPr>
          <w:rFonts w:ascii="Times New Roman" w:cs="Times New Roman" w:eastAsia="Times New Roman" w:hAnsi="Times New Roman"/>
          <w:sz w:val="14"/>
          <w:szCs w:val="14"/>
          <w:color w:val="auto"/>
        </w:rPr>
        <w:t>Underwriters may sell shares of our common stock under this prospectus by any method permitted by law deemed to be an “at the market” offering as defined in Rule 415 under the Securities Act, which includes sales made directly on the New York Stock Exchange, the NYSE Texas, on any other existing trading market for our common stock or to or through a market maker, or in privately negotiated transactions,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7" w:name="page58"/>
    <w:bookmarkEnd w:id="5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spacing w:after="0" w:line="247" w:lineRule="auto"/>
        <w:rPr>
          <w:sz w:val="20"/>
          <w:szCs w:val="20"/>
          <w:color w:val="auto"/>
        </w:rPr>
      </w:pPr>
      <w:r>
        <w:rPr>
          <w:rFonts w:ascii="Times New Roman" w:cs="Times New Roman" w:eastAsia="Times New Roman" w:hAnsi="Times New Roman"/>
          <w:sz w:val="14"/>
          <w:szCs w:val="14"/>
          <w:color w:val="auto"/>
        </w:rPr>
        <w:t>including block trades. Unless we inform you otherwise in the applicable prospectus supplement, the sales agent with respect to any such at- the-market offering will make all sales using commercially reasonable efforts consistent with its normal trading and sales practices, on mutually agreeable terms between the sales agent and us. We will include in the applicable prospectus supplement the amount of any compensation to be received by the sales agent.</w:t>
      </w:r>
    </w:p>
    <w:p>
      <w:pPr>
        <w:spacing w:after="0" w:line="86"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 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95"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If we use dealers in the sale of securities, we may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of 1933, with respect to any sale of these securities. We will include in the prospectus supplement the names of the dealers and the terms of the transaction.</w:t>
      </w:r>
    </w:p>
    <w:p>
      <w:pPr>
        <w:spacing w:after="0" w:line="86" w:lineRule="exact"/>
        <w:rPr>
          <w:sz w:val="20"/>
          <w:szCs w:val="20"/>
          <w:color w:val="auto"/>
        </w:rPr>
      </w:pPr>
    </w:p>
    <w:p>
      <w:pPr>
        <w:ind w:left="1340" w:right="1379" w:firstLine="277"/>
        <w:spacing w:after="0" w:line="238" w:lineRule="auto"/>
        <w:rPr>
          <w:sz w:val="20"/>
          <w:szCs w:val="20"/>
          <w:color w:val="auto"/>
        </w:rPr>
      </w:pPr>
      <w:r>
        <w:rPr>
          <w:rFonts w:ascii="Times New Roman" w:cs="Times New Roman" w:eastAsia="Times New Roman" w:hAnsi="Times New Roman"/>
          <w:sz w:val="14"/>
          <w:szCs w:val="14"/>
          <w:color w:val="auto"/>
        </w:rPr>
        <w:t>To the extent that we make sales through one or more underwriters or agents in at-the-market offerings, we will do so pursuant to the terms of a sales agency agreement or other at-the -market offering arrangement between us and the underwriters or agents. If we engage in at-the-market sales pursuant to any such agreement, we will issue and sell common stock through one or more underwriters or agents, which may act on an agency basis or on a principal basis. During the term of any such agreement, we may sell common stock on a daily basis in exchange transactions or otherwise as we agree with the underwriters or agents. The agreement will provide that any common stock sold will be sold at prices related to the then prevailing market prices for such securities. Therefore, exact figures regarding proceeds that will be raised or commissions to be paid cannot be determined at this time. Pursuant to the terms of the agreement, we also may agree to sell, and the relevant underwriters or agents may agree to solicit offers to purchase, blocks of common stock.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common stock. We will describe any such activities in the prospectus supplement or any related free writing prospectus relating to the transaction.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22" w:lineRule="exact"/>
        <w:rPr>
          <w:sz w:val="20"/>
          <w:szCs w:val="20"/>
          <w:color w:val="auto"/>
        </w:rPr>
      </w:pPr>
    </w:p>
    <w:p>
      <w:pPr>
        <w:ind w:left="1340" w:right="1379" w:firstLine="277"/>
        <w:spacing w:after="0" w:line="243" w:lineRule="auto"/>
        <w:rPr>
          <w:sz w:val="20"/>
          <w:szCs w:val="20"/>
          <w:color w:val="auto"/>
        </w:rPr>
      </w:pPr>
      <w:r>
        <w:rPr>
          <w:rFonts w:ascii="Times New Roman" w:cs="Times New Roman" w:eastAsia="Times New Roman" w:hAnsi="Times New Roman"/>
          <w:sz w:val="14"/>
          <w:szCs w:val="14"/>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89" w:lineRule="exact"/>
        <w:rPr>
          <w:sz w:val="20"/>
          <w:szCs w:val="20"/>
          <w:color w:val="auto"/>
        </w:rPr>
      </w:pPr>
    </w:p>
    <w:p>
      <w:pPr>
        <w:ind w:left="1340" w:right="1539" w:firstLine="277"/>
        <w:spacing w:after="0" w:line="255"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22" w:lineRule="exact"/>
        <w:rPr>
          <w:sz w:val="20"/>
          <w:szCs w:val="20"/>
          <w:color w:val="auto"/>
        </w:rPr>
      </w:pPr>
    </w:p>
    <w:p>
      <w:pPr>
        <w:ind w:left="1340" w:right="1579" w:firstLine="277"/>
        <w:spacing w:after="0" w:line="244" w:lineRule="auto"/>
        <w:rPr>
          <w:sz w:val="20"/>
          <w:szCs w:val="20"/>
          <w:color w:val="auto"/>
        </w:rPr>
      </w:pPr>
      <w:r>
        <w:rPr>
          <w:rFonts w:ascii="Times New Roman" w:cs="Times New Roman" w:eastAsia="Times New Roman" w:hAnsi="Times New Roman"/>
          <w:sz w:val="14"/>
          <w:szCs w:val="14"/>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8" w:name="page59"/>
    <w:bookmarkEnd w:id="5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Remarketing</w:t>
      </w:r>
    </w:p>
    <w:p>
      <w:pPr>
        <w:spacing w:after="0" w:line="122" w:lineRule="exact"/>
        <w:rPr>
          <w:sz w:val="20"/>
          <w:szCs w:val="20"/>
          <w:color w:val="auto"/>
        </w:rPr>
      </w:pPr>
    </w:p>
    <w:p>
      <w:pPr>
        <w:ind w:left="1340" w:right="1499" w:firstLine="277"/>
        <w:spacing w:after="0" w:line="244" w:lineRule="auto"/>
        <w:rPr>
          <w:sz w:val="20"/>
          <w:szCs w:val="20"/>
          <w:color w:val="auto"/>
        </w:rPr>
      </w:pPr>
      <w:r>
        <w:rPr>
          <w:rFonts w:ascii="Times New Roman" w:cs="Times New Roman" w:eastAsia="Times New Roman" w:hAnsi="Times New Roman"/>
          <w:sz w:val="14"/>
          <w:szCs w:val="14"/>
          <w:color w:val="auto"/>
        </w:rPr>
        <w:t>We may offer and sell any of the offered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3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Derivative Transactions</w:t>
      </w:r>
    </w:p>
    <w:p>
      <w:pPr>
        <w:spacing w:after="0" w:line="122" w:lineRule="exact"/>
        <w:rPr>
          <w:sz w:val="20"/>
          <w:szCs w:val="20"/>
          <w:color w:val="auto"/>
        </w:rPr>
      </w:pPr>
    </w:p>
    <w:p>
      <w:pPr>
        <w:ind w:left="1340" w:right="1379" w:firstLine="277"/>
        <w:spacing w:after="0"/>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w:t>
      </w:r>
    </w:p>
    <w:p>
      <w:pPr>
        <w:spacing w:after="0" w:line="3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22" w:lineRule="exact"/>
        <w:rPr>
          <w:sz w:val="20"/>
          <w:szCs w:val="20"/>
          <w:color w:val="auto"/>
        </w:rPr>
      </w:pPr>
    </w:p>
    <w:p>
      <w:pPr>
        <w:ind w:left="1340" w:right="1439" w:firstLine="277"/>
        <w:spacing w:after="0" w:line="243" w:lineRule="auto"/>
        <w:rPr>
          <w:sz w:val="20"/>
          <w:szCs w:val="20"/>
          <w:color w:val="auto"/>
        </w:rPr>
      </w:pPr>
      <w:r>
        <w:rPr>
          <w:rFonts w:ascii="Times New Roman" w:cs="Times New Roman" w:eastAsia="Times New Roman" w:hAnsi="Times New Roman"/>
          <w:sz w:val="14"/>
          <w:szCs w:val="14"/>
          <w:color w:val="auto"/>
        </w:rPr>
        <w:t>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w:t>
      </w:r>
    </w:p>
    <w:p>
      <w:pPr>
        <w:spacing w:after="0" w:line="89"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particular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left="1340" w:right="1379" w:firstLine="277"/>
        <w:spacing w:after="0" w:line="244" w:lineRule="auto"/>
        <w:rPr>
          <w:sz w:val="20"/>
          <w:szCs w:val="20"/>
          <w:color w:val="auto"/>
        </w:rPr>
      </w:pPr>
      <w:r>
        <w:rPr>
          <w:rFonts w:ascii="Times New Roman" w:cs="Times New Roman" w:eastAsia="Times New Roman" w:hAnsi="Times New Roman"/>
          <w:sz w:val="14"/>
          <w:szCs w:val="14"/>
          <w:color w:val="auto"/>
        </w:rPr>
        <w:t>Each series of offered securities will be a new issue, and other than the common stock, which is listed on the New York Stock Exchange and the NYSE Texas, will have no established trading market. We may elect to list any series of offered securities on an exchange, but we are not obligated to do so. It is possible that one or more underwriters may make a market in a series of offered securities. However, they will not be obligated to do so and may discontinue market making at any time without notice. We cannot assure you that a liquid trading market for any of our offered securities will develop.</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The validity of the securities described in this prospectus will be passed upon for us by Baker Botts L.L.P., Houston, Texas. Monica Karuturi, Esq., our Executive Vice President and General Counsel, may pass on other legal matters for us. Ms. Karuturi is the beneficial owner of less than 1% of our common stock. Any underwriters will be advised regarding issues relating to any offering by Hunton Andrews Kurth LLP, New York, New York. From time to time, Hunton Andrews Kurth LLP acts as counsel to us and our affiliates on certain matters.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2" w:lineRule="exact"/>
        <w:rPr>
          <w:sz w:val="20"/>
          <w:szCs w:val="20"/>
          <w:color w:val="auto"/>
        </w:rPr>
      </w:pPr>
    </w:p>
    <w:p>
      <w:pPr>
        <w:jc w:val="both"/>
        <w:ind w:left="1340" w:right="1439" w:firstLine="277"/>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of CenterPoint Energy, Inc. as of December 31, 2025 and 2024, and for each of the three years in the period ended December 31, 2025, incorporated by reference in this Prospectus by reference to CenterPoint Energy, Inc.’s </w:t>
      </w:r>
      <w:hyperlink r:id="rId80">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1340" w:right="1599"/>
        <w:spacing w:after="0" w:line="250" w:lineRule="auto"/>
        <w:rPr>
          <w:sz w:val="20"/>
          <w:szCs w:val="20"/>
          <w:color w:val="auto"/>
        </w:rPr>
      </w:pPr>
      <w:r>
        <w:rPr>
          <w:rFonts w:ascii="Times New Roman" w:cs="Times New Roman" w:eastAsia="Times New Roman" w:hAnsi="Times New Roman"/>
          <w:sz w:val="14"/>
          <w:szCs w:val="14"/>
          <w:color w:val="auto"/>
        </w:rPr>
        <w:t>and the effectiveness of CenterPoint Energy,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ind w:left="380"/>
        <w:spacing w:after="0"/>
        <w:rPr>
          <w:sz w:val="20"/>
          <w:szCs w:val="20"/>
          <w:color w:val="auto"/>
        </w:rPr>
      </w:pPr>
      <w:r>
        <w:rPr>
          <w:rFonts w:ascii="Calibri" w:cs="Calibri" w:eastAsia="Calibri" w:hAnsi="Calibri"/>
          <w:sz w:val="11"/>
          <w:szCs w:val="11"/>
          <w:color w:val="003366"/>
        </w:rPr>
        <w:t>TABLE OF CONTENTS</w:t>
      </w:r>
    </w:p>
    <w:p>
      <w:pPr>
        <w:spacing w:after="0" w:line="3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-4445</wp:posOffset>
            </wp:positionV>
            <wp:extent cx="401066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4010660" cy="1333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34290</wp:posOffset>
            </wp:positionV>
            <wp:extent cx="401066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40106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CENTERPOINT ENERGY, INC.</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Shares of Common Stock</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Having an Aggregate Gross Sales Price of up to $1,000,000,000</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181610</wp:posOffset>
            </wp:positionV>
            <wp:extent cx="94996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auto"/>
        </w:rPr>
        <w:t>Barclays</w:t>
      </w:r>
    </w:p>
    <w:p>
      <w:pPr>
        <w:ind w:left="3320"/>
        <w:spacing w:after="0" w:line="237" w:lineRule="auto"/>
        <w:rPr>
          <w:sz w:val="20"/>
          <w:szCs w:val="20"/>
          <w:color w:val="auto"/>
        </w:rPr>
      </w:pPr>
      <w:r>
        <w:rPr>
          <w:rFonts w:ascii="Times New Roman" w:cs="Times New Roman" w:eastAsia="Times New Roman" w:hAnsi="Times New Roman"/>
          <w:sz w:val="25"/>
          <w:szCs w:val="25"/>
          <w:b w:val="1"/>
          <w:bCs w:val="1"/>
          <w:color w:val="auto"/>
        </w:rPr>
        <w:t>BMO Capital Markets</w:t>
      </w:r>
    </w:p>
    <w:p>
      <w:pPr>
        <w:ind w:left="3680"/>
        <w:spacing w:after="0" w:line="226" w:lineRule="auto"/>
        <w:rPr>
          <w:sz w:val="20"/>
          <w:szCs w:val="20"/>
          <w:color w:val="auto"/>
        </w:rPr>
      </w:pPr>
      <w:r>
        <w:rPr>
          <w:rFonts w:ascii="Times New Roman" w:cs="Times New Roman" w:eastAsia="Times New Roman" w:hAnsi="Times New Roman"/>
          <w:sz w:val="25"/>
          <w:szCs w:val="25"/>
          <w:b w:val="1"/>
          <w:bCs w:val="1"/>
          <w:color w:val="auto"/>
        </w:rPr>
        <w:t>BNP PARIBAS</w:t>
      </w:r>
    </w:p>
    <w:p>
      <w:pPr>
        <w:ind w:left="3680"/>
        <w:spacing w:after="0" w:line="225" w:lineRule="auto"/>
        <w:rPr>
          <w:sz w:val="20"/>
          <w:szCs w:val="20"/>
          <w:color w:val="auto"/>
        </w:rPr>
      </w:pPr>
      <w:r>
        <w:rPr>
          <w:rFonts w:ascii="Times New Roman" w:cs="Times New Roman" w:eastAsia="Times New Roman" w:hAnsi="Times New Roman"/>
          <w:sz w:val="25"/>
          <w:szCs w:val="25"/>
          <w:b w:val="1"/>
          <w:bCs w:val="1"/>
          <w:color w:val="auto"/>
        </w:rPr>
        <w:t>BofA Securities</w:t>
      </w:r>
    </w:p>
    <w:p>
      <w:pPr>
        <w:ind w:left="4180"/>
        <w:spacing w:after="0" w:line="226" w:lineRule="auto"/>
        <w:rPr>
          <w:sz w:val="20"/>
          <w:szCs w:val="20"/>
          <w:color w:val="auto"/>
        </w:rPr>
      </w:pPr>
      <w:r>
        <w:rPr>
          <w:rFonts w:ascii="Times New Roman" w:cs="Times New Roman" w:eastAsia="Times New Roman" w:hAnsi="Times New Roman"/>
          <w:sz w:val="25"/>
          <w:szCs w:val="25"/>
          <w:b w:val="1"/>
          <w:bCs w:val="1"/>
          <w:color w:val="auto"/>
        </w:rPr>
        <w:t>BTIG</w:t>
      </w:r>
    </w:p>
    <w:p>
      <w:pPr>
        <w:ind w:left="3980"/>
        <w:spacing w:after="0" w:line="225" w:lineRule="auto"/>
        <w:rPr>
          <w:sz w:val="20"/>
          <w:szCs w:val="20"/>
          <w:color w:val="auto"/>
        </w:rPr>
      </w:pPr>
      <w:r>
        <w:rPr>
          <w:rFonts w:ascii="Times New Roman" w:cs="Times New Roman" w:eastAsia="Times New Roman" w:hAnsi="Times New Roman"/>
          <w:sz w:val="25"/>
          <w:szCs w:val="25"/>
          <w:b w:val="1"/>
          <w:bCs w:val="1"/>
          <w:color w:val="auto"/>
        </w:rPr>
        <w:t>Citigroup</w:t>
      </w:r>
    </w:p>
    <w:p>
      <w:pPr>
        <w:ind w:left="3060"/>
        <w:spacing w:after="0" w:line="226" w:lineRule="auto"/>
        <w:rPr>
          <w:sz w:val="20"/>
          <w:szCs w:val="20"/>
          <w:color w:val="auto"/>
        </w:rPr>
      </w:pPr>
      <w:r>
        <w:rPr>
          <w:rFonts w:ascii="Times New Roman" w:cs="Times New Roman" w:eastAsia="Times New Roman" w:hAnsi="Times New Roman"/>
          <w:sz w:val="25"/>
          <w:szCs w:val="25"/>
          <w:b w:val="1"/>
          <w:bCs w:val="1"/>
          <w:color w:val="auto"/>
        </w:rPr>
        <w:t>Goldman Sachs &amp; Co. LLC</w:t>
      </w:r>
    </w:p>
    <w:p>
      <w:pPr>
        <w:ind w:left="3860"/>
        <w:spacing w:after="0" w:line="225" w:lineRule="auto"/>
        <w:rPr>
          <w:sz w:val="20"/>
          <w:szCs w:val="20"/>
          <w:color w:val="auto"/>
        </w:rPr>
      </w:pPr>
      <w:r>
        <w:rPr>
          <w:rFonts w:ascii="Times New Roman" w:cs="Times New Roman" w:eastAsia="Times New Roman" w:hAnsi="Times New Roman"/>
          <w:sz w:val="25"/>
          <w:szCs w:val="25"/>
          <w:b w:val="1"/>
          <w:bCs w:val="1"/>
          <w:color w:val="auto"/>
        </w:rPr>
        <w:t>J.P. Morgan</w:t>
      </w:r>
    </w:p>
    <w:p>
      <w:pPr>
        <w:ind w:left="4080"/>
        <w:spacing w:after="0" w:line="226" w:lineRule="auto"/>
        <w:rPr>
          <w:sz w:val="20"/>
          <w:szCs w:val="20"/>
          <w:color w:val="auto"/>
        </w:rPr>
      </w:pPr>
      <w:r>
        <w:rPr>
          <w:rFonts w:ascii="Times New Roman" w:cs="Times New Roman" w:eastAsia="Times New Roman" w:hAnsi="Times New Roman"/>
          <w:sz w:val="25"/>
          <w:szCs w:val="25"/>
          <w:b w:val="1"/>
          <w:bCs w:val="1"/>
          <w:color w:val="auto"/>
        </w:rPr>
        <w:t>Mizuho</w:t>
      </w:r>
    </w:p>
    <w:p>
      <w:pPr>
        <w:ind w:left="3660"/>
        <w:spacing w:after="0" w:line="225" w:lineRule="auto"/>
        <w:rPr>
          <w:sz w:val="20"/>
          <w:szCs w:val="20"/>
          <w:color w:val="auto"/>
        </w:rPr>
      </w:pPr>
      <w:r>
        <w:rPr>
          <w:rFonts w:ascii="Times New Roman" w:cs="Times New Roman" w:eastAsia="Times New Roman" w:hAnsi="Times New Roman"/>
          <w:sz w:val="25"/>
          <w:szCs w:val="25"/>
          <w:b w:val="1"/>
          <w:bCs w:val="1"/>
          <w:color w:val="auto"/>
        </w:rPr>
        <w:t>Morgan Stanley</w:t>
      </w:r>
    </w:p>
    <w:p>
      <w:pPr>
        <w:ind w:left="4100"/>
        <w:spacing w:after="0" w:line="226" w:lineRule="auto"/>
        <w:rPr>
          <w:sz w:val="20"/>
          <w:szCs w:val="20"/>
          <w:color w:val="auto"/>
        </w:rPr>
      </w:pPr>
      <w:r>
        <w:rPr>
          <w:rFonts w:ascii="Times New Roman" w:cs="Times New Roman" w:eastAsia="Times New Roman" w:hAnsi="Times New Roman"/>
          <w:sz w:val="25"/>
          <w:szCs w:val="25"/>
          <w:b w:val="1"/>
          <w:bCs w:val="1"/>
          <w:color w:val="auto"/>
        </w:rPr>
        <w:t>MUFG</w:t>
      </w:r>
    </w:p>
    <w:p>
      <w:pPr>
        <w:ind w:left="3360"/>
        <w:spacing w:after="0" w:line="225" w:lineRule="auto"/>
        <w:rPr>
          <w:sz w:val="20"/>
          <w:szCs w:val="20"/>
          <w:color w:val="auto"/>
        </w:rPr>
      </w:pPr>
      <w:r>
        <w:rPr>
          <w:rFonts w:ascii="Times New Roman" w:cs="Times New Roman" w:eastAsia="Times New Roman" w:hAnsi="Times New Roman"/>
          <w:sz w:val="25"/>
          <w:szCs w:val="25"/>
          <w:b w:val="1"/>
          <w:bCs w:val="1"/>
          <w:color w:val="auto"/>
        </w:rPr>
        <w:t>RBC Capital Markets</w:t>
      </w:r>
    </w:p>
    <w:p>
      <w:pPr>
        <w:ind w:left="3900"/>
        <w:spacing w:after="0" w:line="226" w:lineRule="auto"/>
        <w:rPr>
          <w:sz w:val="20"/>
          <w:szCs w:val="20"/>
          <w:color w:val="auto"/>
        </w:rPr>
      </w:pPr>
      <w:r>
        <w:rPr>
          <w:rFonts w:ascii="Times New Roman" w:cs="Times New Roman" w:eastAsia="Times New Roman" w:hAnsi="Times New Roman"/>
          <w:sz w:val="25"/>
          <w:szCs w:val="25"/>
          <w:b w:val="1"/>
          <w:bCs w:val="1"/>
          <w:color w:val="auto"/>
        </w:rPr>
        <w:t>Scotiabank</w:t>
      </w:r>
    </w:p>
    <w:p>
      <w:pPr>
        <w:ind w:left="3780"/>
        <w:spacing w:after="0" w:line="225" w:lineRule="auto"/>
        <w:rPr>
          <w:sz w:val="20"/>
          <w:szCs w:val="20"/>
          <w:color w:val="auto"/>
        </w:rPr>
      </w:pPr>
      <w:r>
        <w:rPr>
          <w:rFonts w:ascii="Times New Roman" w:cs="Times New Roman" w:eastAsia="Times New Roman" w:hAnsi="Times New Roman"/>
          <w:sz w:val="25"/>
          <w:szCs w:val="25"/>
          <w:b w:val="1"/>
          <w:bCs w:val="1"/>
          <w:color w:val="auto"/>
        </w:rPr>
        <w:t>TD Securities</w:t>
      </w:r>
    </w:p>
    <w:p>
      <w:pPr>
        <w:ind w:left="3640"/>
        <w:spacing w:after="0" w:line="225" w:lineRule="auto"/>
        <w:rPr>
          <w:sz w:val="20"/>
          <w:szCs w:val="20"/>
          <w:color w:val="auto"/>
        </w:rPr>
      </w:pPr>
      <w:r>
        <w:rPr>
          <w:rFonts w:ascii="Times New Roman" w:cs="Times New Roman" w:eastAsia="Times New Roman" w:hAnsi="Times New Roman"/>
          <w:sz w:val="25"/>
          <w:szCs w:val="25"/>
          <w:b w:val="1"/>
          <w:bCs w:val="1"/>
          <w:color w:val="auto"/>
        </w:rPr>
        <w:t>Truist Securities</w:t>
      </w:r>
    </w:p>
    <w:p>
      <w:pPr>
        <w:spacing w:after="0" w:line="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561340</wp:posOffset>
            </wp:positionV>
            <wp:extent cx="401066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40106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1905</wp:posOffset>
            </wp:positionV>
            <wp:extent cx="401066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4010660" cy="133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193675</wp:posOffset>
            </wp:positionV>
            <wp:extent cx="526288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spacing w:after="0" w:line="49"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CENTERPOINT ENERGY INC</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68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6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920" w:type="dxa"/>
            <w:vAlign w:val="bottom"/>
            <w:shd w:val="clear" w:color="auto" w:fill="E7E7E2"/>
          </w:tcPr>
          <w:p>
            <w:pPr>
              <w:jc w:val="center"/>
              <w:spacing w:after="0" w:line="167" w:lineRule="exact"/>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6"/>
              </w:rPr>
              <w:t>$ 138,100.00</w:t>
            </w: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8"/>
              </w:rPr>
              <w:t>1,000,000,000.00</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$ 138,100.00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1,000,000,000.00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$ 12,529.75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$ 125,570.25</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jc w:val="both"/>
        <w:ind w:left="220" w:right="380"/>
        <w:spacing w:after="0" w:line="243" w:lineRule="auto"/>
        <w:rPr>
          <w:sz w:val="20"/>
          <w:szCs w:val="20"/>
          <w:color w:val="auto"/>
        </w:rPr>
      </w:pPr>
      <w:r>
        <w:rPr>
          <w:rFonts w:ascii="Arial" w:cs="Arial" w:eastAsia="Arial" w:hAnsi="Arial"/>
          <w:sz w:val="17"/>
          <w:szCs w:val="17"/>
          <w:color w:val="auto"/>
        </w:rPr>
        <w:t>This registration fee table shall be deemed to update the "Calculation of Registration Fee" in CenterPoint Energy, Inc.'s Registration Statement on Form S-3ASR (File No. 333-295924) (the "Current Registration Statement") in accordance with Rules 456(b) and 457(r)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177800</wp:posOffset>
            </wp:positionV>
            <wp:extent cx="71494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280" w:type="dxa"/>
            <w:vAlign w:val="bottom"/>
            <w:tcBorders>
              <w:bottom w:val="single" w:sz="8" w:color="auto"/>
            </w:tcBorders>
            <w:gridSpan w:val="8"/>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4"/>
          </w:tcPr>
          <w:p>
            <w:pPr>
              <w:ind w:left="58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1"/>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10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8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9ADAF6"/>
          </w:tcPr>
          <w:p>
            <w:pPr>
              <w:ind w:left="220"/>
              <w:spacing w:after="0" w:line="114" w:lineRule="exact"/>
              <w:rPr>
                <w:sz w:val="20"/>
                <w:szCs w:val="20"/>
                <w:color w:val="auto"/>
              </w:rPr>
            </w:pPr>
            <w:r>
              <w:rPr>
                <w:rFonts w:ascii="Arial" w:cs="Arial" w:eastAsia="Arial" w:hAnsi="Arial"/>
                <w:sz w:val="12"/>
                <w:szCs w:val="12"/>
                <w:b w:val="1"/>
                <w:bCs w:val="1"/>
                <w:color w:val="auto"/>
              </w:rPr>
              <w:t>Filer Name</w:t>
            </w:r>
          </w:p>
        </w:tc>
        <w:tc>
          <w:tcPr>
            <w:tcW w:w="20" w:type="dxa"/>
            <w:vAlign w:val="bottom"/>
          </w:tcPr>
          <w:p>
            <w:pPr>
              <w:spacing w:after="0"/>
              <w:rPr>
                <w:sz w:val="9"/>
                <w:szCs w:val="9"/>
                <w:color w:val="auto"/>
              </w:rPr>
            </w:pPr>
          </w:p>
        </w:tc>
        <w:tc>
          <w:tcPr>
            <w:tcW w:w="5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7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10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Associated</w:t>
            </w: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10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1"/>
                <w:szCs w:val="11"/>
                <w:color w:val="auto"/>
              </w:rPr>
            </w:pPr>
          </w:p>
        </w:tc>
        <w:tc>
          <w:tcPr>
            <w:tcW w:w="7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ind w:left="56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3"/>
          </w:tcPr>
          <w:p>
            <w:pPr>
              <w:jc w:val="right"/>
              <w:ind w:right="337"/>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480" w:type="dxa"/>
            <w:vAlign w:val="bottom"/>
            <w:vMerge w:val="restart"/>
            <w:shd w:val="clear" w:color="auto" w:fill="E7E7E2"/>
          </w:tcPr>
          <w:p>
            <w:pPr>
              <w:jc w:val="right"/>
              <w:ind w:right="117"/>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13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CenterPoint</w:t>
            </w: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7" w:lineRule="exact"/>
              <w:rPr>
                <w:sz w:val="20"/>
                <w:szCs w:val="20"/>
                <w:color w:val="auto"/>
              </w:rPr>
            </w:pPr>
            <w:r>
              <w:rPr>
                <w:rFonts w:ascii="Arial" w:cs="Arial" w:eastAsia="Arial" w:hAnsi="Arial"/>
                <w:sz w:val="17"/>
                <w:szCs w:val="17"/>
                <w:color w:val="auto"/>
                <w:w w:val="93"/>
              </w:rPr>
              <w:t>333-</w:t>
            </w: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01/11/2024</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9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Claims</w:t>
            </w:r>
          </w:p>
        </w:tc>
        <w:tc>
          <w:tcPr>
            <w:tcW w:w="20" w:type="dxa"/>
            <w:vAlign w:val="bottom"/>
          </w:tcPr>
          <w:p>
            <w:pPr>
              <w:spacing w:after="0"/>
              <w:rPr>
                <w:sz w:val="16"/>
                <w:szCs w:val="16"/>
                <w:color w:val="auto"/>
              </w:rPr>
            </w:pPr>
          </w:p>
        </w:tc>
        <w:tc>
          <w:tcPr>
            <w:tcW w:w="4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Energy, Inc.</w:t>
            </w:r>
          </w:p>
        </w:tc>
        <w:tc>
          <w:tcPr>
            <w:tcW w:w="20" w:type="dxa"/>
            <w:vAlign w:val="bottom"/>
          </w:tcPr>
          <w:p>
            <w:pPr>
              <w:spacing w:after="0"/>
              <w:rPr>
                <w:sz w:val="16"/>
                <w:szCs w:val="16"/>
                <w:color w:val="auto"/>
              </w:rPr>
            </w:pPr>
          </w:p>
        </w:tc>
        <w:tc>
          <w:tcPr>
            <w:tcW w:w="5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87" w:lineRule="exact"/>
              <w:rPr>
                <w:sz w:val="20"/>
                <w:szCs w:val="20"/>
                <w:color w:val="auto"/>
              </w:rPr>
            </w:pPr>
            <w:r>
              <w:rPr>
                <w:rFonts w:ascii="Arial" w:cs="Arial" w:eastAsia="Arial" w:hAnsi="Arial"/>
                <w:sz w:val="17"/>
                <w:szCs w:val="17"/>
                <w:color w:val="auto"/>
                <w:w w:val="98"/>
              </w:rPr>
              <w:t>272025</w:t>
            </w:r>
          </w:p>
        </w:tc>
        <w:tc>
          <w:tcPr>
            <w:tcW w:w="20" w:type="dxa"/>
            <w:vAlign w:val="bottom"/>
          </w:tcPr>
          <w:p>
            <w:pPr>
              <w:spacing w:after="0"/>
              <w:rPr>
                <w:sz w:val="16"/>
                <w:szCs w:val="16"/>
                <w:color w:val="auto"/>
              </w:rPr>
            </w:pPr>
          </w:p>
        </w:tc>
        <w:tc>
          <w:tcPr>
            <w:tcW w:w="8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7"/>
              </w:rPr>
              <w:t>12,529.75</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jc w:val="center"/>
              <w:spacing w:after="0" w:line="187" w:lineRule="exact"/>
              <w:rPr>
                <w:sz w:val="20"/>
                <w:szCs w:val="20"/>
                <w:color w:val="auto"/>
              </w:rPr>
            </w:pPr>
            <w:r>
              <w:rPr>
                <w:rFonts w:ascii="Arial" w:cs="Arial" w:eastAsia="Arial" w:hAnsi="Arial"/>
                <w:sz w:val="17"/>
                <w:szCs w:val="17"/>
                <w:color w:val="auto"/>
                <w:w w:val="97"/>
              </w:rPr>
              <w:t>value $0.01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7"/>
              </w:rPr>
              <w:t>84,889,912.32</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480" w:type="dxa"/>
            <w:vAlign w:val="bottom"/>
            <w:vMerge w:val="restart"/>
            <w:shd w:val="clear" w:color="auto" w:fill="E7E7E2"/>
          </w:tcPr>
          <w:p>
            <w:pPr>
              <w:jc w:val="right"/>
              <w:ind w:right="117"/>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5"/>
                <w:szCs w:val="15"/>
                <w:color w:val="auto"/>
              </w:rPr>
            </w:pPr>
          </w:p>
        </w:tc>
        <w:tc>
          <w:tcPr>
            <w:tcW w:w="13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CenterPoint</w:t>
            </w:r>
          </w:p>
        </w:tc>
        <w:tc>
          <w:tcPr>
            <w:tcW w:w="20" w:type="dxa"/>
            <w:vAlign w:val="bottom"/>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vMerge w:val="continue"/>
          </w:tcPr>
          <w:p>
            <w:pPr>
              <w:spacing w:after="0"/>
              <w:rPr>
                <w:sz w:val="15"/>
                <w:szCs w:val="15"/>
                <w:color w:val="auto"/>
              </w:rPr>
            </w:pPr>
          </w:p>
        </w:tc>
        <w:tc>
          <w:tcPr>
            <w:tcW w:w="720" w:type="dxa"/>
            <w:vAlign w:val="bottom"/>
            <w:shd w:val="clear" w:color="auto" w:fill="E7E7E2"/>
          </w:tcPr>
          <w:p>
            <w:pPr>
              <w:jc w:val="center"/>
              <w:spacing w:after="0" w:line="176" w:lineRule="exact"/>
              <w:rPr>
                <w:sz w:val="20"/>
                <w:szCs w:val="20"/>
                <w:color w:val="auto"/>
              </w:rPr>
            </w:pPr>
            <w:r>
              <w:rPr>
                <w:rFonts w:ascii="Arial" w:cs="Arial" w:eastAsia="Arial" w:hAnsi="Arial"/>
                <w:sz w:val="17"/>
                <w:szCs w:val="17"/>
                <w:color w:val="auto"/>
                <w:w w:val="93"/>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01/11/2024</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shd w:val="clear" w:color="auto" w:fill="E7E7E2"/>
          </w:tcPr>
          <w:p>
            <w:pPr>
              <w:jc w:val="right"/>
              <w:spacing w:after="0" w:line="176" w:lineRule="exact"/>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4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Energy, Inc</w:t>
            </w:r>
          </w:p>
        </w:tc>
        <w:tc>
          <w:tcPr>
            <w:tcW w:w="20" w:type="dxa"/>
            <w:vAlign w:val="bottom"/>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272025</w:t>
            </w: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73,800.00</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CenterPoint Energy, Inc. (the "Company") is registering shares of common stock having a proposed maximum aggregate offering price of up to</w:t>
      </w:r>
    </w:p>
    <w:p>
      <w:pPr>
        <w:spacing w:after="0" w:line="8" w:lineRule="exact"/>
        <w:rPr>
          <w:sz w:val="20"/>
          <w:szCs w:val="20"/>
          <w:color w:val="auto"/>
        </w:rPr>
      </w:pPr>
    </w:p>
    <w:p>
      <w:pPr>
        <w:ind w:left="220" w:right="120"/>
        <w:spacing w:after="0" w:line="246" w:lineRule="auto"/>
        <w:rPr>
          <w:sz w:val="20"/>
          <w:szCs w:val="20"/>
          <w:color w:val="auto"/>
        </w:rPr>
      </w:pPr>
      <w:r>
        <w:rPr>
          <w:rFonts w:ascii="Arial" w:cs="Arial" w:eastAsia="Arial" w:hAnsi="Arial"/>
          <w:sz w:val="16"/>
          <w:szCs w:val="16"/>
          <w:color w:val="auto"/>
        </w:rPr>
        <w:t>$1,000,000,000 pursuant to the prospectus supplement to which this Exhibit 107 relates (the "Current Prospectus Supplement"). The Company has previously registered shares of common stock having an aggregate offering price of up to $500,000,000, offered by means of a prospectus supplement dated January 11, 2024 (the "Prior Prospectus Supplement") and an accompanying prospectus dated May 17, 2023 pursuant to the Company's registration statement on Form S-3ASR (File No. 333-272025) filed with the Securities and Exchange Commission on May 17, 2023 (the "Prior Registration Statement"). In connection with the filing of the Prior Prospectus Supplement, the Company made a contemporaneous fee payment in the amount of $73,800.00, reflecting the fee due with respect to shares of common stock to be offered and sold pursuant to the Prior Prospectus Supplement. The Prior Registration Statement terminated effective upon the filing of the Current Registration Statement. Shares of common stock having a proposed maximum offering price of $84,889,912.32 that are being registered pursuant to the Current Prospectus Supplement represent unsold securities previously registered pursuant to the Prior Prospectus Supplement. Pursuant to Rule 457(p) under the Securities Act, $12,529.75 of</w:t>
      </w:r>
    </w:p>
    <w:p>
      <w:pPr>
        <w:sectPr>
          <w:pgSz w:w="11900" w:h="16888" w:orient="portrait"/>
          <w:cols w:equalWidth="0" w:num="1">
            <w:col w:w="11360"/>
          </w:cols>
          <w:pgMar w:left="300" w:top="141" w:right="239" w:bottom="0" w:gutter="0" w:footer="0" w:header="0"/>
        </w:sectPr>
      </w:pPr>
    </w:p>
    <w:bookmarkStart w:id="61" w:name="page62"/>
    <w:bookmarkEnd w:id="61"/>
    <w:p>
      <w:pPr>
        <w:ind w:left="220" w:right="120"/>
        <w:spacing w:after="0" w:line="238" w:lineRule="auto"/>
        <w:rPr>
          <w:sz w:val="20"/>
          <w:szCs w:val="20"/>
          <w:color w:val="auto"/>
        </w:rPr>
      </w:pPr>
      <w:r>
        <w:rPr>
          <w:rFonts w:ascii="Arial" w:cs="Arial" w:eastAsia="Arial" w:hAnsi="Arial"/>
          <w:sz w:val="17"/>
          <w:szCs w:val="17"/>
          <w:color w:val="auto"/>
        </w:rPr>
        <w:t>the registration fee that was paid with respect to securities that were previously registered pursuant to the Prior Prospectus Supplement and were not sold thereunder is offset against the registration fee of $138,100.00 due for this offering. The remaining balance of the registration fee, $125,570.25, has been paid in connection with the filing of the Current Prospectus Supplement. The Company has terminated the offering that included the unsold securities under the Prior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494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Offset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CenterPoint Energy, Inc. (the "Company") is registering shares of common stock having a proposed maximum aggregate offering price of up to</w:t>
      </w:r>
    </w:p>
    <w:p>
      <w:pPr>
        <w:spacing w:after="0" w:line="8" w:lineRule="exact"/>
        <w:rPr>
          <w:sz w:val="20"/>
          <w:szCs w:val="20"/>
          <w:color w:val="auto"/>
        </w:rPr>
      </w:pPr>
    </w:p>
    <w:p>
      <w:pPr>
        <w:ind w:left="220" w:right="40"/>
        <w:spacing w:after="0" w:line="231" w:lineRule="auto"/>
        <w:rPr>
          <w:sz w:val="20"/>
          <w:szCs w:val="20"/>
          <w:color w:val="auto"/>
        </w:rPr>
      </w:pPr>
      <w:r>
        <w:rPr>
          <w:rFonts w:ascii="Arial" w:cs="Arial" w:eastAsia="Arial" w:hAnsi="Arial"/>
          <w:sz w:val="17"/>
          <w:szCs w:val="17"/>
          <w:color w:val="auto"/>
        </w:rPr>
        <w:t>$1,000,000,000 pursuant to the prospectus supplement to which this Exhibit 107 relates (the "Current Prospectus Supplement"). The Company has previously registered shares of common stock having an aggregate offering price of up to $500,000,000, offered by means of a prospectus supplement dated January 11, 2024 (the "Prior Prospectus Supplement") and an accompanying prospectus dated May 17, 2023 pursuant to the Company's registration statement on Form S-3ASR (File No. 333-272025) filed with the Securities and Exchange Commission on May 17, 2023 (the "Prior Registration Statement"). In connection with the filing of the Prior Prospectus Supplement, the Company made a contemporaneous fee payment in the amount of $73,800.00, reflecting the fee due with respect to shares of common stock to be offered and sold pursuant to the Prior Prospectus Supplement. The Prior Registration Statement terminated effective upon the filing of the Current Registration Statement. Shares of common stock having a proposed maximum offering price of $84,889,912.32 that are being registered pursuant to the Current Prospectus Supplement represent unsold securities previously registered pursuant to the Prior Prospectus Supplement. Pursuant to Rule 457(p) under the Securities Act, $12,529.75 of the registration fee that was paid with respect to securities that were previously registered pursuant to the Prior Prospectus Supplement and were not sold thereunder is offset against the registration fee of $138,100.00 due for this offering. The remaining balance of the registration fee, $125,570.25, has been paid in connection with the filing of the Current Prospectus Supplement. The Company has terminated the offering that included the unsold securities under the Prior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maximum aggregate offering price of the securities to which the prospectus relates is $1,000,000,000.00. The prospectus is a final prospectus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Roman"/>
      <w:start w:val="2"/>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lowerRoman"/>
      <w:start w:val="2"/>
    </w:lvl>
  </w:abstractNum>
  <w:abstractNum w:abstractNumId="9">
    <w:nsid w:val="3006C83E"/>
    <w:multiLevelType w:val="hybridMultilevel"/>
    <w:lvl w:ilvl="0">
      <w:lvlJc w:val="left"/>
      <w:lvlText w:val="(%1)"/>
      <w:numFmt w:val="decimal"/>
      <w:start w:val="2"/>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lvl w:ilvl="1">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lowerRoman"/>
      <w:start w:val="2"/>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Letter"/>
      <w:start w:val="25"/>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38" Type="http://schemas.openxmlformats.org/officeDocument/2006/relationships/hyperlink" Target="https://www.sec.gov/ix?doc=/Archives/edgar/data/48732/000113031026000008/cnp-20251231.htm" TargetMode="External"/><Relationship Id="rId39" Type="http://schemas.openxmlformats.org/officeDocument/2006/relationships/hyperlink" Target="https://www.sec.gov/ix?doc=/Archives/edgar/data/48732/000113031026000028/cnp-20260331.htm" TargetMode="External"/><Relationship Id="rId62" Type="http://schemas.openxmlformats.org/officeDocument/2006/relationships/hyperlink" Target="https://www.sec.gov/ix?doc=/Archives/edgar/data/1130310/000110465926023457/tm261341-3_def14a.htm" TargetMode="External"/><Relationship Id="rId63" Type="http://schemas.openxmlformats.org/officeDocument/2006/relationships/hyperlink" Target="https://www.sec.gov/ix?doc=/Archives/edgar/data/1042773/000110465926014406/tm265560d1_8k.htm" TargetMode="External"/><Relationship Id="rId64" Type="http://schemas.openxmlformats.org/officeDocument/2006/relationships/hyperlink" Target="https://www.sec.gov/ix?doc=/Archives/edgar/data/48732/000113031026000013/cnp-20260218.htm" TargetMode="External"/><Relationship Id="rId65" Type="http://schemas.openxmlformats.org/officeDocument/2006/relationships/hyperlink" Target="https://www.sec.gov/ix?doc=/Archives/edgar/data/1130310/000110465926020626/tm267410d1_8k.htm" TargetMode="External"/><Relationship Id="rId66" Type="http://schemas.openxmlformats.org/officeDocument/2006/relationships/hyperlink" Target="https://www.sec.gov/ix?doc=/Archives/edgar/data/1130310/000110465926044889/tm2612010d1_8k.htm" TargetMode="External"/><Relationship Id="rId67" Type="http://schemas.openxmlformats.org/officeDocument/2006/relationships/hyperlink" Target="https://www.sec.gov/Archives/edgar/data/48732/000113031026000008/cnp_exhibit4tx12312025.htm" TargetMode="External"/><Relationship Id="rId74" Type="http://schemas.openxmlformats.org/officeDocument/2006/relationships/hyperlink" Target="https://www.sec.gov/ix?doc=/Archives/edgar/data/1130310/000113031026000028/cnp-20260331.htm" TargetMode="External"/><Relationship Id="rId80" Type="http://schemas.openxmlformats.org/officeDocument/2006/relationships/hyperlink" Target="https://www.sec.gov/ix?doc=/Archives/edgar/data/0000048732/000113031026000008/cnp-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2026-05-15T15:57:12Z</dcterms:created>
  <dcterms:modified xsi:type="dcterms:W3CDTF">2026-05-15T15:57:12Z</dcterms:modified>
</cp:coreProperties>
</file>