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600710</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0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8"/>
          <w:szCs w:val="8"/>
          <w:b w:val="1"/>
          <w:bCs w:val="1"/>
          <w:color w:val="auto"/>
        </w:rPr>
        <w:t>(Mark One)</w:t>
      </w:r>
    </w:p>
    <w:p>
      <w:pPr>
        <w:spacing w:after="0" w:line="49" w:lineRule="exact"/>
        <w:rPr>
          <w:sz w:val="24"/>
          <w:szCs w:val="24"/>
          <w:color w:val="auto"/>
        </w:rPr>
      </w:pPr>
    </w:p>
    <w:p>
      <w:pPr>
        <w:ind w:left="540" w:hanging="339"/>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7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1"/>
          <w:szCs w:val="11"/>
          <w:b w:val="1"/>
          <w:bCs w:val="1"/>
          <w:color w:val="auto"/>
        </w:rPr>
        <w:t>For the quarterly period ended March 31, 2026</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17" w:lineRule="exact"/>
        <w:rPr>
          <w:sz w:val="24"/>
          <w:szCs w:val="24"/>
          <w:color w:val="auto"/>
        </w:rPr>
      </w:pPr>
    </w:p>
    <w:p>
      <w:pPr>
        <w:ind w:left="540" w:right="4980" w:hanging="339"/>
        <w:spacing w:after="0" w:line="310" w:lineRule="auto"/>
        <w:tabs>
          <w:tab w:leader="none" w:pos="5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 FOR THE TRANSITION PERIOD FROM __________________ TO __________________</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1-31447</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CenterPoint Energy,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26" w:lineRule="exact"/>
        <w:rPr>
          <w:sz w:val="24"/>
          <w:szCs w:val="24"/>
          <w:color w:val="auto"/>
        </w:rPr>
      </w:pPr>
    </w:p>
    <w:tbl>
      <w:tblPr>
        <w:tblLayout w:type="fixed"/>
        <w:tblInd w:w="820" w:type="dxa"/>
        <w:tblCellMar>
          <w:top w:w="0" w:type="dxa"/>
          <w:left w:w="0" w:type="dxa"/>
          <w:bottom w:w="0" w:type="dxa"/>
          <w:right w:w="0" w:type="dxa"/>
        </w:tblCellMar>
      </w:tblPr>
      <w:tr>
        <w:trPr>
          <w:trHeight w:val="16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Texas</w:t>
            </w:r>
          </w:p>
        </w:tc>
        <w:tc>
          <w:tcPr>
            <w:tcW w:w="16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w w:val="98"/>
              </w:rPr>
              <w:t>74-0694415</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1111 Louisiana</w:t>
            </w:r>
          </w:p>
        </w:tc>
        <w:tc>
          <w:tcPr>
            <w:tcW w:w="164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27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3"/>
                <w:szCs w:val="13"/>
                <w:b w:val="1"/>
                <w:bCs w:val="1"/>
                <w:color w:val="auto"/>
                <w:w w:val="98"/>
              </w:rPr>
              <w:t>77002</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1"/>
                <w:szCs w:val="11"/>
                <w:color w:val="auto"/>
              </w:rPr>
              <w:t>(Zip Code)</w:t>
            </w:r>
          </w:p>
        </w:tc>
      </w:tr>
      <w:tr>
        <w:trPr>
          <w:trHeight w:val="256"/>
        </w:trPr>
        <w:tc>
          <w:tcPr>
            <w:tcW w:w="27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720" w:type="dxa"/>
            <w:vAlign w:val="bottom"/>
          </w:tcPr>
          <w:p>
            <w:pPr>
              <w:jc w:val="center"/>
              <w:ind w:right="1676"/>
              <w:spacing w:after="0"/>
              <w:rPr>
                <w:sz w:val="20"/>
                <w:szCs w:val="20"/>
                <w:color w:val="auto"/>
              </w:rPr>
            </w:pPr>
            <w:r>
              <w:rPr>
                <w:rFonts w:ascii="Times New Roman" w:cs="Times New Roman" w:eastAsia="Times New Roman" w:hAnsi="Times New Roman"/>
                <w:sz w:val="13"/>
                <w:szCs w:val="13"/>
                <w:b w:val="1"/>
                <w:bCs w:val="1"/>
                <w:color w:val="auto"/>
                <w:w w:val="95"/>
              </w:rPr>
              <w:t>(713) 207-1111</w:t>
            </w:r>
          </w:p>
        </w:tc>
        <w:tc>
          <w:tcPr>
            <w:tcW w:w="1800" w:type="dxa"/>
            <w:vAlign w:val="bottom"/>
          </w:tcPr>
          <w:p>
            <w:pPr>
              <w:spacing w:after="0"/>
              <w:rPr>
                <w:sz w:val="22"/>
                <w:szCs w:val="22"/>
                <w:color w:val="auto"/>
              </w:rPr>
            </w:pPr>
          </w:p>
        </w:tc>
      </w:tr>
      <w:tr>
        <w:trPr>
          <w:trHeight w:val="147"/>
        </w:trPr>
        <w:tc>
          <w:tcPr>
            <w:tcW w:w="2700" w:type="dxa"/>
            <w:vAlign w:val="bottom"/>
          </w:tcPr>
          <w:p>
            <w:pPr>
              <w:spacing w:after="0"/>
              <w:rPr>
                <w:sz w:val="12"/>
                <w:szCs w:val="12"/>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1800" w:type="dxa"/>
            <w:vAlign w:val="bottom"/>
          </w:tcPr>
          <w:p>
            <w:pPr>
              <w:spacing w:after="0"/>
              <w:rPr>
                <w:sz w:val="12"/>
                <w:szCs w:val="12"/>
                <w:color w:val="auto"/>
              </w:rPr>
            </w:pPr>
          </w:p>
        </w:tc>
      </w:tr>
      <w:tr>
        <w:trPr>
          <w:trHeight w:val="354"/>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Commission file number 1-3187</w:t>
            </w:r>
          </w:p>
        </w:tc>
        <w:tc>
          <w:tcPr>
            <w:tcW w:w="1800" w:type="dxa"/>
            <w:vAlign w:val="bottom"/>
          </w:tcPr>
          <w:p>
            <w:pPr>
              <w:spacing w:after="0"/>
              <w:rPr>
                <w:sz w:val="24"/>
                <w:szCs w:val="24"/>
                <w:color w:val="auto"/>
              </w:rPr>
            </w:pPr>
          </w:p>
        </w:tc>
      </w:tr>
      <w:tr>
        <w:trPr>
          <w:trHeight w:val="316"/>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23"/>
                <w:szCs w:val="23"/>
                <w:b w:val="1"/>
                <w:bCs w:val="1"/>
                <w:color w:val="auto"/>
                <w:w w:val="98"/>
              </w:rPr>
              <w:t>CenterPoint Energy Houston Electric, LLC</w:t>
            </w:r>
          </w:p>
        </w:tc>
        <w:tc>
          <w:tcPr>
            <w:tcW w:w="1800" w:type="dxa"/>
            <w:vAlign w:val="bottom"/>
          </w:tcPr>
          <w:p>
            <w:pPr>
              <w:spacing w:after="0"/>
              <w:rPr>
                <w:sz w:val="24"/>
                <w:szCs w:val="24"/>
                <w:color w:val="auto"/>
              </w:rPr>
            </w:pPr>
          </w:p>
        </w:tc>
      </w:tr>
      <w:tr>
        <w:trPr>
          <w:trHeight w:val="193"/>
        </w:trPr>
        <w:tc>
          <w:tcPr>
            <w:tcW w:w="2700" w:type="dxa"/>
            <w:vAlign w:val="bottom"/>
          </w:tcPr>
          <w:p>
            <w:pPr>
              <w:spacing w:after="0"/>
              <w:rPr>
                <w:sz w:val="16"/>
                <w:szCs w:val="16"/>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c>
          <w:tcPr>
            <w:tcW w:w="1800" w:type="dxa"/>
            <w:vAlign w:val="bottom"/>
          </w:tcPr>
          <w:p>
            <w:pPr>
              <w:spacing w:after="0"/>
              <w:rPr>
                <w:sz w:val="16"/>
                <w:szCs w:val="16"/>
                <w:color w:val="auto"/>
              </w:rPr>
            </w:pPr>
          </w:p>
        </w:tc>
      </w:tr>
      <w:tr>
        <w:trPr>
          <w:trHeight w:val="276"/>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Texas</w:t>
            </w:r>
          </w:p>
        </w:tc>
        <w:tc>
          <w:tcPr>
            <w:tcW w:w="16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w w:val="98"/>
              </w:rPr>
              <w:t>22-3865106</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1111 Louisiana</w:t>
            </w:r>
          </w:p>
        </w:tc>
        <w:tc>
          <w:tcPr>
            <w:tcW w:w="164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27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3"/>
                <w:szCs w:val="13"/>
                <w:b w:val="1"/>
                <w:bCs w:val="1"/>
                <w:color w:val="auto"/>
                <w:w w:val="98"/>
              </w:rPr>
              <w:t>77002</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1"/>
                <w:szCs w:val="11"/>
                <w:color w:val="auto"/>
              </w:rPr>
              <w:t>(Zip Code)</w:t>
            </w:r>
          </w:p>
        </w:tc>
      </w:tr>
      <w:tr>
        <w:trPr>
          <w:trHeight w:val="267"/>
        </w:trPr>
        <w:tc>
          <w:tcPr>
            <w:tcW w:w="27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720" w:type="dxa"/>
            <w:vAlign w:val="bottom"/>
          </w:tcPr>
          <w:p>
            <w:pPr>
              <w:jc w:val="center"/>
              <w:ind w:right="1676"/>
              <w:spacing w:after="0"/>
              <w:rPr>
                <w:sz w:val="20"/>
                <w:szCs w:val="20"/>
                <w:color w:val="auto"/>
              </w:rPr>
            </w:pPr>
            <w:r>
              <w:rPr>
                <w:rFonts w:ascii="Times New Roman" w:cs="Times New Roman" w:eastAsia="Times New Roman" w:hAnsi="Times New Roman"/>
                <w:sz w:val="13"/>
                <w:szCs w:val="13"/>
                <w:b w:val="1"/>
                <w:bCs w:val="1"/>
                <w:color w:val="auto"/>
                <w:w w:val="95"/>
              </w:rPr>
              <w:t>(713) 207-1111</w:t>
            </w:r>
          </w:p>
        </w:tc>
        <w:tc>
          <w:tcPr>
            <w:tcW w:w="1800" w:type="dxa"/>
            <w:vAlign w:val="bottom"/>
          </w:tcPr>
          <w:p>
            <w:pPr>
              <w:spacing w:after="0"/>
              <w:rPr>
                <w:sz w:val="23"/>
                <w:szCs w:val="23"/>
                <w:color w:val="auto"/>
              </w:rPr>
            </w:pPr>
          </w:p>
        </w:tc>
      </w:tr>
      <w:tr>
        <w:trPr>
          <w:trHeight w:val="147"/>
        </w:trPr>
        <w:tc>
          <w:tcPr>
            <w:tcW w:w="2700" w:type="dxa"/>
            <w:vAlign w:val="bottom"/>
          </w:tcPr>
          <w:p>
            <w:pPr>
              <w:spacing w:after="0"/>
              <w:rPr>
                <w:sz w:val="12"/>
                <w:szCs w:val="12"/>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1800" w:type="dxa"/>
            <w:vAlign w:val="bottom"/>
          </w:tcPr>
          <w:p>
            <w:pPr>
              <w:spacing w:after="0"/>
              <w:rPr>
                <w:sz w:val="12"/>
                <w:szCs w:val="12"/>
                <w:color w:val="auto"/>
              </w:rPr>
            </w:pPr>
          </w:p>
        </w:tc>
      </w:tr>
      <w:tr>
        <w:trPr>
          <w:trHeight w:val="354"/>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Commission file number 1-13265</w:t>
            </w:r>
          </w:p>
        </w:tc>
        <w:tc>
          <w:tcPr>
            <w:tcW w:w="1800" w:type="dxa"/>
            <w:vAlign w:val="bottom"/>
          </w:tcPr>
          <w:p>
            <w:pPr>
              <w:spacing w:after="0"/>
              <w:rPr>
                <w:sz w:val="24"/>
                <w:szCs w:val="24"/>
                <w:color w:val="auto"/>
              </w:rPr>
            </w:pPr>
          </w:p>
        </w:tc>
      </w:tr>
      <w:tr>
        <w:trPr>
          <w:trHeight w:val="316"/>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23"/>
                <w:szCs w:val="23"/>
                <w:b w:val="1"/>
                <w:bCs w:val="1"/>
                <w:color w:val="auto"/>
                <w:w w:val="98"/>
              </w:rPr>
              <w:t>CenterPoint Energy Resources Corp.</w:t>
            </w:r>
          </w:p>
        </w:tc>
        <w:tc>
          <w:tcPr>
            <w:tcW w:w="1800" w:type="dxa"/>
            <w:vAlign w:val="bottom"/>
          </w:tcPr>
          <w:p>
            <w:pPr>
              <w:spacing w:after="0"/>
              <w:rPr>
                <w:sz w:val="24"/>
                <w:szCs w:val="24"/>
                <w:color w:val="auto"/>
              </w:rPr>
            </w:pPr>
          </w:p>
        </w:tc>
      </w:tr>
      <w:tr>
        <w:trPr>
          <w:trHeight w:val="193"/>
        </w:trPr>
        <w:tc>
          <w:tcPr>
            <w:tcW w:w="2700" w:type="dxa"/>
            <w:vAlign w:val="bottom"/>
          </w:tcPr>
          <w:p>
            <w:pPr>
              <w:spacing w:after="0"/>
              <w:rPr>
                <w:sz w:val="16"/>
                <w:szCs w:val="16"/>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c>
          <w:tcPr>
            <w:tcW w:w="1800" w:type="dxa"/>
            <w:vAlign w:val="bottom"/>
          </w:tcPr>
          <w:p>
            <w:pPr>
              <w:spacing w:after="0"/>
              <w:rPr>
                <w:sz w:val="16"/>
                <w:szCs w:val="16"/>
                <w:color w:val="auto"/>
              </w:rPr>
            </w:pPr>
          </w:p>
        </w:tc>
      </w:tr>
      <w:tr>
        <w:trPr>
          <w:trHeight w:val="276"/>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16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w w:val="98"/>
              </w:rPr>
              <w:t>76-0511406</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1111 Louisiana</w:t>
            </w:r>
          </w:p>
        </w:tc>
        <w:tc>
          <w:tcPr>
            <w:tcW w:w="164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27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3"/>
                <w:szCs w:val="13"/>
                <w:b w:val="1"/>
                <w:bCs w:val="1"/>
                <w:color w:val="auto"/>
                <w:w w:val="98"/>
              </w:rPr>
              <w:t>77002</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1"/>
                <w:szCs w:val="11"/>
                <w:color w:val="auto"/>
              </w:rPr>
              <w:t>(Zip Code)</w:t>
            </w:r>
          </w:p>
        </w:tc>
      </w:tr>
      <w:tr>
        <w:trPr>
          <w:trHeight w:val="259"/>
        </w:trPr>
        <w:tc>
          <w:tcPr>
            <w:tcW w:w="27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720" w:type="dxa"/>
            <w:vAlign w:val="bottom"/>
          </w:tcPr>
          <w:p>
            <w:pPr>
              <w:jc w:val="center"/>
              <w:ind w:right="1676"/>
              <w:spacing w:after="0"/>
              <w:rPr>
                <w:sz w:val="20"/>
                <w:szCs w:val="20"/>
                <w:color w:val="auto"/>
              </w:rPr>
            </w:pPr>
            <w:r>
              <w:rPr>
                <w:rFonts w:ascii="Times New Roman" w:cs="Times New Roman" w:eastAsia="Times New Roman" w:hAnsi="Times New Roman"/>
                <w:sz w:val="13"/>
                <w:szCs w:val="13"/>
                <w:b w:val="1"/>
                <w:bCs w:val="1"/>
                <w:color w:val="auto"/>
                <w:w w:val="95"/>
              </w:rPr>
              <w:t>(713) 207-1111</w:t>
            </w:r>
          </w:p>
        </w:tc>
        <w:tc>
          <w:tcPr>
            <w:tcW w:w="1800" w:type="dxa"/>
            <w:vAlign w:val="bottom"/>
          </w:tcPr>
          <w:p>
            <w:pPr>
              <w:spacing w:after="0"/>
              <w:rPr>
                <w:sz w:val="22"/>
                <w:szCs w:val="22"/>
                <w:color w:val="auto"/>
              </w:rPr>
            </w:pPr>
          </w:p>
        </w:tc>
      </w:tr>
      <w:tr>
        <w:trPr>
          <w:trHeight w:val="155"/>
        </w:trPr>
        <w:tc>
          <w:tcPr>
            <w:tcW w:w="2700" w:type="dxa"/>
            <w:vAlign w:val="bottom"/>
          </w:tcPr>
          <w:p>
            <w:pPr>
              <w:spacing w:after="0"/>
              <w:rPr>
                <w:sz w:val="13"/>
                <w:szCs w:val="13"/>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1800" w:type="dxa"/>
            <w:vAlign w:val="bottom"/>
          </w:tcPr>
          <w:p>
            <w:pPr>
              <w:spacing w:after="0"/>
              <w:rPr>
                <w:sz w:val="13"/>
                <w:szCs w:val="13"/>
                <w:color w:val="auto"/>
              </w:rPr>
            </w:pPr>
          </w:p>
        </w:tc>
      </w:tr>
      <w:tr>
        <w:trPr>
          <w:trHeight w:val="365"/>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1800" w:type="dxa"/>
            <w:vAlign w:val="bottom"/>
          </w:tcPr>
          <w:p>
            <w:pPr>
              <w:spacing w:after="0"/>
              <w:rPr>
                <w:sz w:val="24"/>
                <w:szCs w:val="24"/>
                <w:color w:val="auto"/>
              </w:rPr>
            </w:pPr>
          </w:p>
        </w:tc>
      </w:tr>
    </w:tbl>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96"/>
        </w:trPr>
        <w:tc>
          <w:tcPr>
            <w:tcW w:w="1540" w:type="dxa"/>
            <w:vAlign w:val="bottom"/>
          </w:tcPr>
          <w:p>
            <w:pPr>
              <w:spacing w:after="0"/>
              <w:rPr>
                <w:sz w:val="8"/>
                <w:szCs w:val="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Registrant</w:t>
            </w:r>
          </w:p>
        </w:tc>
        <w:tc>
          <w:tcPr>
            <w:tcW w:w="1620" w:type="dxa"/>
            <w:vAlign w:val="bottom"/>
          </w:tcPr>
          <w:p>
            <w:pPr>
              <w:spacing w:after="0"/>
              <w:rPr>
                <w:sz w:val="8"/>
                <w:szCs w:val="8"/>
                <w:color w:val="auto"/>
              </w:rPr>
            </w:pPr>
          </w:p>
        </w:tc>
        <w:tc>
          <w:tcPr>
            <w:tcW w:w="3440" w:type="dxa"/>
            <w:vAlign w:val="bottom"/>
            <w:gridSpan w:val="3"/>
          </w:tcPr>
          <w:p>
            <w:pPr>
              <w:jc w:val="center"/>
              <w:ind w:left="107"/>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1740" w:type="dxa"/>
            <w:vAlign w:val="bottom"/>
            <w:gridSpan w:val="3"/>
          </w:tcPr>
          <w:p>
            <w:pPr>
              <w:jc w:val="center"/>
              <w:ind w:left="158"/>
              <w:spacing w:after="0"/>
              <w:rPr>
                <w:sz w:val="20"/>
                <w:szCs w:val="20"/>
                <w:color w:val="auto"/>
              </w:rPr>
            </w:pPr>
            <w:r>
              <w:rPr>
                <w:rFonts w:ascii="Times New Roman" w:cs="Times New Roman" w:eastAsia="Times New Roman" w:hAnsi="Times New Roman"/>
                <w:sz w:val="8"/>
                <w:szCs w:val="8"/>
                <w:b w:val="1"/>
                <w:bCs w:val="1"/>
                <w:color w:val="auto"/>
              </w:rPr>
              <w:t>Trading Symbol</w:t>
            </w:r>
          </w:p>
        </w:tc>
        <w:tc>
          <w:tcPr>
            <w:tcW w:w="2540" w:type="dxa"/>
            <w:vAlign w:val="bottom"/>
            <w:gridSpan w:val="3"/>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2"/>
        </w:trPr>
        <w:tc>
          <w:tcPr>
            <w:tcW w:w="3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CenterPoint Energy, Inc.</w:t>
            </w:r>
          </w:p>
        </w:tc>
        <w:tc>
          <w:tcPr>
            <w:tcW w:w="3440" w:type="dxa"/>
            <w:vAlign w:val="bottom"/>
            <w:gridSpan w:val="3"/>
          </w:tcPr>
          <w:p>
            <w:pPr>
              <w:jc w:val="center"/>
              <w:ind w:left="87"/>
              <w:spacing w:after="0"/>
              <w:rPr>
                <w:sz w:val="20"/>
                <w:szCs w:val="20"/>
                <w:color w:val="auto"/>
              </w:rPr>
            </w:pPr>
            <w:r>
              <w:rPr>
                <w:rFonts w:ascii="Times New Roman" w:cs="Times New Roman" w:eastAsia="Times New Roman" w:hAnsi="Times New Roman"/>
                <w:sz w:val="11"/>
                <w:szCs w:val="11"/>
                <w:color w:val="auto"/>
              </w:rPr>
              <w:t>Common Stock, $0.01 par value</w:t>
            </w:r>
          </w:p>
        </w:tc>
        <w:tc>
          <w:tcPr>
            <w:tcW w:w="680" w:type="dxa"/>
            <w:vAlign w:val="bottom"/>
          </w:tcPr>
          <w:p>
            <w:pPr>
              <w:spacing w:after="0"/>
              <w:rPr>
                <w:sz w:val="13"/>
                <w:szCs w:val="13"/>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CNP</w:t>
            </w: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159"/>
        </w:trPr>
        <w:tc>
          <w:tcPr>
            <w:tcW w:w="1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NYSE Texas</w:t>
            </w:r>
          </w:p>
        </w:tc>
      </w:tr>
      <w:tr>
        <w:trPr>
          <w:trHeight w:val="159"/>
        </w:trPr>
        <w:tc>
          <w:tcPr>
            <w:tcW w:w="3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3440" w:type="dxa"/>
            <w:vAlign w:val="bottom"/>
            <w:gridSpan w:val="3"/>
          </w:tcPr>
          <w:p>
            <w:pPr>
              <w:jc w:val="center"/>
              <w:ind w:left="87"/>
              <w:spacing w:after="0"/>
              <w:rPr>
                <w:sz w:val="20"/>
                <w:szCs w:val="20"/>
                <w:color w:val="auto"/>
              </w:rPr>
            </w:pPr>
            <w:r>
              <w:rPr>
                <w:rFonts w:ascii="Times New Roman" w:cs="Times New Roman" w:eastAsia="Times New Roman" w:hAnsi="Times New Roman"/>
                <w:sz w:val="11"/>
                <w:szCs w:val="11"/>
                <w:color w:val="auto"/>
              </w:rPr>
              <w:t>6.95% General Mortgage Bonds due 2033</w:t>
            </w:r>
          </w:p>
        </w:tc>
        <w:tc>
          <w:tcPr>
            <w:tcW w:w="680" w:type="dxa"/>
            <w:vAlign w:val="bottom"/>
          </w:tcPr>
          <w:p>
            <w:pPr>
              <w:spacing w:after="0"/>
              <w:rPr>
                <w:sz w:val="13"/>
                <w:szCs w:val="13"/>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n/a</w:t>
            </w: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159"/>
        </w:trPr>
        <w:tc>
          <w:tcPr>
            <w:tcW w:w="3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3440" w:type="dxa"/>
            <w:vAlign w:val="bottom"/>
            <w:gridSpan w:val="3"/>
          </w:tcPr>
          <w:p>
            <w:pPr>
              <w:jc w:val="center"/>
              <w:ind w:left="87"/>
              <w:spacing w:after="0"/>
              <w:rPr>
                <w:sz w:val="20"/>
                <w:szCs w:val="20"/>
                <w:color w:val="auto"/>
              </w:rPr>
            </w:pPr>
            <w:r>
              <w:rPr>
                <w:rFonts w:ascii="Times New Roman" w:cs="Times New Roman" w:eastAsia="Times New Roman" w:hAnsi="Times New Roman"/>
                <w:sz w:val="11"/>
                <w:szCs w:val="11"/>
                <w:color w:val="auto"/>
              </w:rPr>
              <w:t>6.625% Senior Notes due 2037</w:t>
            </w:r>
          </w:p>
        </w:tc>
        <w:tc>
          <w:tcPr>
            <w:tcW w:w="680" w:type="dxa"/>
            <w:vAlign w:val="bottom"/>
          </w:tcPr>
          <w:p>
            <w:pPr>
              <w:spacing w:after="0"/>
              <w:rPr>
                <w:sz w:val="13"/>
                <w:szCs w:val="13"/>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n/a</w:t>
            </w: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880"/>
        </w:trPr>
        <w:tc>
          <w:tcPr>
            <w:tcW w:w="1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3" w:right="319" w:bottom="1440" w:gutter="0" w:footer="0" w:header="0"/>
        </w:sectPr>
      </w:pPr>
    </w:p>
    <w:bookmarkStart w:id="1" w:name="page2"/>
    <w:bookmarkEnd w:id="1"/>
    <w:p>
      <w:pPr>
        <w:ind w:right="4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3" w:lineRule="exact"/>
        <w:rPr>
          <w:sz w:val="20"/>
          <w:szCs w:val="20"/>
          <w:color w:val="auto"/>
        </w:rPr>
      </w:pPr>
    </w:p>
    <w:tbl>
      <w:tblPr>
        <w:tblLayout w:type="fixed"/>
        <w:tblInd w:w="184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02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02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91"/>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02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bl>
    <w:p>
      <w:pPr>
        <w:spacing w:after="0" w:line="2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91"/>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bl>
    <w:p>
      <w:pPr>
        <w:spacing w:after="0" w:line="2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520" w:type="dxa"/>
            <w:vAlign w:val="bottom"/>
          </w:tcPr>
          <w:p>
            <w:pPr>
              <w:spacing w:after="0"/>
              <w:rPr>
                <w:sz w:val="11"/>
                <w:szCs w:val="11"/>
                <w:color w:val="auto"/>
              </w:rPr>
            </w:pPr>
          </w:p>
        </w:tc>
        <w:tc>
          <w:tcPr>
            <w:tcW w:w="2800" w:type="dxa"/>
            <w:vAlign w:val="bottom"/>
            <w:vMerge w:val="restart"/>
          </w:tcPr>
          <w:p>
            <w:pPr>
              <w:jc w:val="center"/>
              <w:ind w:left="1363"/>
              <w:spacing w:after="0"/>
              <w:rPr>
                <w:sz w:val="20"/>
                <w:szCs w:val="20"/>
                <w:color w:val="auto"/>
              </w:rPr>
            </w:pPr>
            <w:r>
              <w:rPr>
                <w:rFonts w:ascii="Times New Roman" w:cs="Times New Roman" w:eastAsia="Times New Roman" w:hAnsi="Times New Roman"/>
                <w:sz w:val="11"/>
                <w:szCs w:val="11"/>
                <w:b w:val="1"/>
                <w:bCs w:val="1"/>
                <w:color w:val="auto"/>
              </w:rPr>
              <w:t>Large accelerated filer</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Accelerated filer</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Non-accelerated filer</w:t>
            </w: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Smaller reporting</w:t>
            </w:r>
          </w:p>
        </w:tc>
        <w:tc>
          <w:tcPr>
            <w:tcW w:w="104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Emerging growth</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2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04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800" w:type="dxa"/>
            <w:vAlign w:val="bottom"/>
          </w:tcPr>
          <w:p>
            <w:pPr>
              <w:jc w:val="center"/>
              <w:ind w:left="1363"/>
              <w:spacing w:after="0" w:line="111" w:lineRule="exact"/>
              <w:rPr>
                <w:sz w:val="20"/>
                <w:szCs w:val="20"/>
                <w:color w:val="auto"/>
              </w:rPr>
            </w:pPr>
            <w:r>
              <w:rPr>
                <w:rFonts w:ascii="MS PGothic" w:cs="MS PGothic" w:eastAsia="MS PGothic" w:hAnsi="MS PGothic"/>
                <w:sz w:val="11"/>
                <w:szCs w:val="11"/>
                <w:color w:val="auto"/>
                <w:w w:val="90"/>
              </w:rPr>
              <w:t>☑</w:t>
            </w:r>
          </w:p>
        </w:tc>
        <w:tc>
          <w:tcPr>
            <w:tcW w:w="11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3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2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800" w:type="dxa"/>
            <w:vAlign w:val="bottom"/>
          </w:tcPr>
          <w:p>
            <w:pPr>
              <w:jc w:val="center"/>
              <w:ind w:left="1363"/>
              <w:spacing w:after="0"/>
              <w:rPr>
                <w:sz w:val="20"/>
                <w:szCs w:val="20"/>
                <w:color w:val="auto"/>
              </w:rPr>
            </w:pPr>
            <w:r>
              <w:rPr>
                <w:rFonts w:ascii="Wingdings" w:cs="Wingdings" w:eastAsia="Wingdings" w:hAnsi="Wingdings"/>
                <w:sz w:val="11"/>
                <w:szCs w:val="11"/>
                <w:b w:val="1"/>
                <w:bCs w:val="1"/>
                <w:color w:val="auto"/>
              </w:rPr>
              <w:t>o</w:t>
            </w:r>
          </w:p>
        </w:tc>
        <w:tc>
          <w:tcPr>
            <w:tcW w:w="11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2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800" w:type="dxa"/>
            <w:vAlign w:val="bottom"/>
          </w:tcPr>
          <w:p>
            <w:pPr>
              <w:jc w:val="center"/>
              <w:ind w:left="1363"/>
              <w:spacing w:after="0"/>
              <w:rPr>
                <w:sz w:val="20"/>
                <w:szCs w:val="20"/>
                <w:color w:val="auto"/>
              </w:rPr>
            </w:pPr>
            <w:r>
              <w:rPr>
                <w:rFonts w:ascii="Wingdings" w:cs="Wingdings" w:eastAsia="Wingdings" w:hAnsi="Wingdings"/>
                <w:sz w:val="11"/>
                <w:szCs w:val="11"/>
                <w:b w:val="1"/>
                <w:bCs w:val="1"/>
                <w:color w:val="auto"/>
              </w:rPr>
              <w:t>o</w:t>
            </w:r>
          </w:p>
        </w:tc>
        <w:tc>
          <w:tcPr>
            <w:tcW w:w="11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2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issuers’ classes of common stock as of April 15, 2026:</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1800" w:type="dxa"/>
            <w:vAlign w:val="bottom"/>
          </w:tcPr>
          <w:p>
            <w:pPr>
              <w:jc w:val="center"/>
              <w:ind w:left="743"/>
              <w:spacing w:after="0"/>
              <w:rPr>
                <w:sz w:val="20"/>
                <w:szCs w:val="20"/>
                <w:color w:val="auto"/>
              </w:rPr>
            </w:pPr>
            <w:r>
              <w:rPr>
                <w:rFonts w:ascii="Times New Roman" w:cs="Times New Roman" w:eastAsia="Times New Roman" w:hAnsi="Times New Roman"/>
                <w:sz w:val="11"/>
                <w:szCs w:val="11"/>
                <w:color w:val="auto"/>
              </w:rPr>
              <w:t>654,169,480</w:t>
            </w:r>
          </w:p>
        </w:tc>
        <w:tc>
          <w:tcPr>
            <w:tcW w:w="5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shares of common stock outstanding, excluding 166 shares held as treasury stock</w:t>
            </w:r>
          </w:p>
        </w:tc>
      </w:tr>
      <w:tr>
        <w:trPr>
          <w:trHeight w:val="159"/>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1800" w:type="dxa"/>
            <w:vAlign w:val="bottom"/>
          </w:tcPr>
          <w:p>
            <w:pPr>
              <w:jc w:val="center"/>
              <w:ind w:left="723"/>
              <w:spacing w:after="0"/>
              <w:rPr>
                <w:sz w:val="20"/>
                <w:szCs w:val="20"/>
                <w:color w:val="auto"/>
              </w:rPr>
            </w:pPr>
            <w:r>
              <w:rPr>
                <w:rFonts w:ascii="Times New Roman" w:cs="Times New Roman" w:eastAsia="Times New Roman" w:hAnsi="Times New Roman"/>
                <w:sz w:val="11"/>
                <w:szCs w:val="11"/>
                <w:color w:val="auto"/>
              </w:rPr>
              <w:t>1,000</w:t>
            </w:r>
          </w:p>
        </w:tc>
        <w:tc>
          <w:tcPr>
            <w:tcW w:w="5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common shares outstanding, all held by Utility Holding, LLC, a wholly-owned subsidiary of CenterPoint Energy, Inc.</w:t>
            </w:r>
          </w:p>
        </w:tc>
      </w:tr>
      <w:tr>
        <w:trPr>
          <w:trHeight w:val="159"/>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1800" w:type="dxa"/>
            <w:vAlign w:val="bottom"/>
          </w:tcPr>
          <w:p>
            <w:pPr>
              <w:jc w:val="center"/>
              <w:ind w:left="723"/>
              <w:spacing w:after="0"/>
              <w:rPr>
                <w:sz w:val="20"/>
                <w:szCs w:val="20"/>
                <w:color w:val="auto"/>
              </w:rPr>
            </w:pPr>
            <w:r>
              <w:rPr>
                <w:rFonts w:ascii="Times New Roman" w:cs="Times New Roman" w:eastAsia="Times New Roman" w:hAnsi="Times New Roman"/>
                <w:sz w:val="11"/>
                <w:szCs w:val="11"/>
                <w:color w:val="auto"/>
              </w:rPr>
              <w:t>1,000</w:t>
            </w:r>
          </w:p>
        </w:tc>
        <w:tc>
          <w:tcPr>
            <w:tcW w:w="5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shares of common stock outstanding, all held by Utility Holding, LLC, a wholly-owned subsidiary of CenterPoint Energy, Inc.</w:t>
            </w:r>
          </w:p>
        </w:tc>
      </w:tr>
    </w:tbl>
    <w:p>
      <w:pPr>
        <w:spacing w:after="0" w:line="200" w:lineRule="exact"/>
        <w:rPr>
          <w:sz w:val="20"/>
          <w:szCs w:val="20"/>
          <w:color w:val="auto"/>
        </w:rPr>
      </w:pPr>
    </w:p>
    <w:p>
      <w:pPr>
        <w:spacing w:after="0" w:line="22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3"/>
          <w:szCs w:val="13"/>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445770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638"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1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0020" w:type="dxa"/>
            <w:vAlign w:val="bottom"/>
            <w:gridSpan w:val="26"/>
          </w:tcPr>
          <w:p>
            <w:pPr>
              <w:ind w:left="240"/>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49"/>
        </w:trPr>
        <w:tc>
          <w:tcPr>
            <w:tcW w:w="9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240" w:type="dxa"/>
            <w:vAlign w:val="bottom"/>
            <w:shd w:val="clear" w:color="auto" w:fill="CCEEFF"/>
          </w:tcPr>
          <w:p>
            <w:pPr>
              <w:spacing w:after="0"/>
              <w:rPr>
                <w:sz w:val="12"/>
                <w:szCs w:val="12"/>
                <w:color w:val="auto"/>
              </w:rPr>
            </w:pPr>
          </w:p>
        </w:tc>
        <w:tc>
          <w:tcPr>
            <w:tcW w:w="9780" w:type="dxa"/>
            <w:vAlign w:val="bottom"/>
            <w:tcBorders>
              <w:right w:val="single" w:sz="8" w:color="CCEEFF"/>
            </w:tcBorders>
            <w:gridSpan w:val="2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Financial Statements</w:t>
            </w:r>
          </w:p>
        </w:tc>
        <w:tc>
          <w:tcPr>
            <w:tcW w:w="100" w:type="dxa"/>
            <w:vAlign w:val="bottom"/>
            <w:tcBorders>
              <w:left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w:t>
            </w:r>
          </w:p>
        </w:tc>
        <w:tc>
          <w:tcPr>
            <w:tcW w:w="200" w:type="dxa"/>
            <w:vAlign w:val="bottom"/>
            <w:shd w:val="clear" w:color="auto" w:fill="CCEEFF"/>
          </w:tcPr>
          <w:p>
            <w:pPr>
              <w:spacing w:after="0"/>
              <w:rPr>
                <w:sz w:val="12"/>
                <w:szCs w:val="12"/>
                <w:color w:val="auto"/>
              </w:rPr>
            </w:pP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0000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8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FF"/>
              </w:rPr>
              <w:t>CenterPoint Energy, Inc. and Subsidiaries Financial Statements (Unaudited)</w:t>
            </w:r>
          </w:p>
        </w:tc>
        <w:tc>
          <w:tcPr>
            <w:tcW w:w="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w:t>
            </w:r>
          </w:p>
        </w:tc>
        <w:tc>
          <w:tcPr>
            <w:tcW w:w="200" w:type="dxa"/>
            <w:vAlign w:val="bottom"/>
          </w:tcPr>
          <w:p>
            <w:pPr>
              <w:spacing w:after="0"/>
              <w:rPr>
                <w:sz w:val="12"/>
                <w:szCs w:val="12"/>
                <w:color w:val="auto"/>
              </w:rPr>
            </w:pP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360" w:type="dxa"/>
            <w:vAlign w:val="bottom"/>
            <w:gridSpan w:val="2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CenterPoint Energy Houston Electric, LLC and Subsidiaries Financial Statements (Unaudited)</w:t>
            </w:r>
          </w:p>
        </w:tc>
        <w:tc>
          <w:tcPr>
            <w:tcW w:w="44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85"/>
              </w:rPr>
              <w:t>6</w:t>
            </w:r>
          </w:p>
        </w:tc>
        <w:tc>
          <w:tcPr>
            <w:tcW w:w="200" w:type="dxa"/>
            <w:vAlign w:val="bottom"/>
            <w:shd w:val="clear" w:color="auto" w:fill="CCEEFF"/>
          </w:tcPr>
          <w:p>
            <w:pPr>
              <w:spacing w:after="0"/>
              <w:rPr>
                <w:sz w:val="13"/>
                <w:szCs w:val="13"/>
                <w:color w:val="auto"/>
              </w:rPr>
            </w:pP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2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0" w:type="dxa"/>
            <w:vAlign w:val="bottom"/>
            <w:gridSpan w:val="22"/>
          </w:tcPr>
          <w:p>
            <w:pPr>
              <w:spacing w:after="0" w:line="149" w:lineRule="exact"/>
              <w:rPr>
                <w:sz w:val="20"/>
                <w:szCs w:val="20"/>
                <w:color w:val="auto"/>
              </w:rPr>
            </w:pPr>
            <w:r>
              <w:rPr>
                <w:rFonts w:ascii="Times New Roman" w:cs="Times New Roman" w:eastAsia="Times New Roman" w:hAnsi="Times New Roman"/>
                <w:sz w:val="14"/>
                <w:szCs w:val="14"/>
                <w:color w:val="0000FF"/>
              </w:rPr>
              <w:t>CenterPoint Energy Resources Corp. and Subsidiaries Financial Statements (Unaudited)</w:t>
            </w:r>
          </w:p>
        </w:tc>
        <w:tc>
          <w:tcPr>
            <w:tcW w:w="36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10</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16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Combined Notes to Interim Condensed Financial Statements (Unaudited)</w:t>
            </w:r>
          </w:p>
        </w:tc>
        <w:tc>
          <w:tcPr>
            <w:tcW w:w="840" w:type="dxa"/>
            <w:vAlign w:val="bottom"/>
            <w:gridSpan w:val="3"/>
            <w:shd w:val="clear" w:color="auto" w:fill="CCEEFF"/>
          </w:tcPr>
          <w:p>
            <w:pPr>
              <w:spacing w:after="0"/>
              <w:rPr>
                <w:sz w:val="13"/>
                <w:szCs w:val="13"/>
                <w:color w:val="auto"/>
              </w:rPr>
            </w:pPr>
          </w:p>
        </w:tc>
        <w:tc>
          <w:tcPr>
            <w:tcW w:w="4780" w:type="dxa"/>
            <w:vAlign w:val="bottom"/>
            <w:tcBorders>
              <w:right w:val="single" w:sz="8" w:color="CCEEFF"/>
            </w:tcBorders>
            <w:gridSpan w:val="3"/>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15</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(1)</w:t>
            </w:r>
          </w:p>
        </w:tc>
        <w:tc>
          <w:tcPr>
            <w:tcW w:w="3820" w:type="dxa"/>
            <w:vAlign w:val="bottom"/>
            <w:gridSpan w:val="17"/>
          </w:tcPr>
          <w:p>
            <w:pPr>
              <w:ind w:left="20"/>
              <w:spacing w:after="0" w:line="149" w:lineRule="exact"/>
              <w:rPr>
                <w:sz w:val="20"/>
                <w:szCs w:val="20"/>
                <w:color w:val="auto"/>
              </w:rPr>
            </w:pPr>
            <w:r>
              <w:rPr>
                <w:rFonts w:ascii="Times New Roman" w:cs="Times New Roman" w:eastAsia="Times New Roman" w:hAnsi="Times New Roman"/>
                <w:sz w:val="14"/>
                <w:szCs w:val="14"/>
                <w:color w:val="0000FF"/>
              </w:rPr>
              <w:t>Background and Basis of Presentation</w:t>
            </w:r>
          </w:p>
        </w:tc>
        <w:tc>
          <w:tcPr>
            <w:tcW w:w="5620" w:type="dxa"/>
            <w:vAlign w:val="bottom"/>
            <w:gridSpan w:val="6"/>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15</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7"/>
              </w:rPr>
              <w:t>(2)</w:t>
            </w:r>
          </w:p>
        </w:tc>
        <w:tc>
          <w:tcPr>
            <w:tcW w:w="9440" w:type="dxa"/>
            <w:vAlign w:val="bottom"/>
            <w:tcBorders>
              <w:right w:val="single" w:sz="8" w:color="CCEEFF"/>
            </w:tcBorders>
            <w:gridSpan w:val="23"/>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Accounting Policies and Recent Accounting Pronouncements</w:t>
            </w: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16</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(3)</w:t>
            </w:r>
          </w:p>
        </w:tc>
        <w:tc>
          <w:tcPr>
            <w:tcW w:w="4360" w:type="dxa"/>
            <w:vAlign w:val="bottom"/>
            <w:gridSpan w:val="19"/>
          </w:tcPr>
          <w:p>
            <w:pPr>
              <w:ind w:left="20"/>
              <w:spacing w:after="0" w:line="149" w:lineRule="exact"/>
              <w:rPr>
                <w:sz w:val="20"/>
                <w:szCs w:val="20"/>
                <w:color w:val="auto"/>
              </w:rPr>
            </w:pPr>
            <w:r>
              <w:rPr>
                <w:rFonts w:ascii="Times New Roman" w:cs="Times New Roman" w:eastAsia="Times New Roman" w:hAnsi="Times New Roman"/>
                <w:sz w:val="14"/>
                <w:szCs w:val="14"/>
                <w:color w:val="0000FF"/>
              </w:rPr>
              <w:t>Held for Sale, Divestitures and Acquisition (CenterPoint Energy and CERC)</w:t>
            </w:r>
          </w:p>
        </w:tc>
        <w:tc>
          <w:tcPr>
            <w:tcW w:w="5080" w:type="dxa"/>
            <w:vAlign w:val="bottom"/>
            <w:gridSpan w:val="4"/>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17</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7"/>
              </w:rPr>
              <w:t>(4)</w:t>
            </w:r>
          </w:p>
        </w:tc>
        <w:tc>
          <w:tcPr>
            <w:tcW w:w="4360" w:type="dxa"/>
            <w:vAlign w:val="bottom"/>
            <w:gridSpan w:val="19"/>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Revenue</w:t>
            </w:r>
          </w:p>
        </w:tc>
        <w:tc>
          <w:tcPr>
            <w:tcW w:w="5080" w:type="dxa"/>
            <w:vAlign w:val="bottom"/>
            <w:tcBorders>
              <w:right w:val="single" w:sz="8" w:color="CCEEFF"/>
            </w:tcBorders>
            <w:gridSpan w:val="4"/>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19</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(5)</w:t>
            </w:r>
          </w:p>
        </w:tc>
        <w:tc>
          <w:tcPr>
            <w:tcW w:w="140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color w:val="0000FF"/>
              </w:rPr>
              <w:t>Employee Benefit Plans</w:t>
            </w:r>
          </w:p>
        </w:tc>
        <w:tc>
          <w:tcPr>
            <w:tcW w:w="8040" w:type="dxa"/>
            <w:vAlign w:val="bottom"/>
            <w:gridSpan w:val="17"/>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20</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7"/>
              </w:rPr>
              <w:t>(6)</w:t>
            </w:r>
          </w:p>
        </w:tc>
        <w:tc>
          <w:tcPr>
            <w:tcW w:w="1400" w:type="dxa"/>
            <w:vAlign w:val="bottom"/>
            <w:gridSpan w:val="6"/>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Regulatory Matters</w:t>
            </w:r>
          </w:p>
        </w:tc>
        <w:tc>
          <w:tcPr>
            <w:tcW w:w="8040" w:type="dxa"/>
            <w:vAlign w:val="bottom"/>
            <w:tcBorders>
              <w:right w:val="single" w:sz="8" w:color="CCEEFF"/>
            </w:tcBorders>
            <w:gridSpan w:val="17"/>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21</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(7)</w:t>
            </w:r>
          </w:p>
        </w:tc>
        <w:tc>
          <w:tcPr>
            <w:tcW w:w="1480" w:type="dxa"/>
            <w:vAlign w:val="bottom"/>
            <w:gridSpan w:val="7"/>
          </w:tcPr>
          <w:p>
            <w:pPr>
              <w:ind w:left="20"/>
              <w:spacing w:after="0" w:line="149" w:lineRule="exact"/>
              <w:rPr>
                <w:sz w:val="20"/>
                <w:szCs w:val="20"/>
                <w:color w:val="auto"/>
              </w:rPr>
            </w:pPr>
            <w:r>
              <w:rPr>
                <w:rFonts w:ascii="Times New Roman" w:cs="Times New Roman" w:eastAsia="Times New Roman" w:hAnsi="Times New Roman"/>
                <w:sz w:val="14"/>
                <w:szCs w:val="14"/>
                <w:color w:val="0000FF"/>
                <w:w w:val="99"/>
              </w:rPr>
              <w:t>Fair Value Measurements</w:t>
            </w:r>
          </w:p>
        </w:tc>
        <w:tc>
          <w:tcPr>
            <w:tcW w:w="7960" w:type="dxa"/>
            <w:vAlign w:val="bottom"/>
            <w:gridSpan w:val="16"/>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25</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7"/>
              </w:rPr>
              <w:t>(8)</w:t>
            </w:r>
          </w:p>
        </w:tc>
        <w:tc>
          <w:tcPr>
            <w:tcW w:w="4360" w:type="dxa"/>
            <w:vAlign w:val="bottom"/>
            <w:gridSpan w:val="19"/>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Equity Securities and Indexed Debt Securities (ZENS) (CenterPoint Energy)</w:t>
            </w:r>
          </w:p>
        </w:tc>
        <w:tc>
          <w:tcPr>
            <w:tcW w:w="5080" w:type="dxa"/>
            <w:vAlign w:val="bottom"/>
            <w:tcBorders>
              <w:right w:val="single" w:sz="8" w:color="CCEEFF"/>
            </w:tcBorders>
            <w:gridSpan w:val="4"/>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26</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(9)</w:t>
            </w:r>
          </w:p>
        </w:tc>
        <w:tc>
          <w:tcPr>
            <w:tcW w:w="2540" w:type="dxa"/>
            <w:vAlign w:val="bottom"/>
            <w:gridSpan w:val="13"/>
          </w:tcPr>
          <w:p>
            <w:pPr>
              <w:ind w:left="20"/>
              <w:spacing w:after="0" w:line="149" w:lineRule="exact"/>
              <w:rPr>
                <w:sz w:val="20"/>
                <w:szCs w:val="20"/>
                <w:color w:val="auto"/>
              </w:rPr>
            </w:pPr>
            <w:r>
              <w:rPr>
                <w:rFonts w:ascii="Times New Roman" w:cs="Times New Roman" w:eastAsia="Times New Roman" w:hAnsi="Times New Roman"/>
                <w:sz w:val="14"/>
                <w:szCs w:val="14"/>
                <w:color w:val="0000FF"/>
              </w:rPr>
              <w:t>Short-term Borrowings and Long-term Debt</w:t>
            </w:r>
          </w:p>
        </w:tc>
        <w:tc>
          <w:tcPr>
            <w:tcW w:w="1820" w:type="dxa"/>
            <w:vAlign w:val="bottom"/>
            <w:gridSpan w:val="6"/>
          </w:tcPr>
          <w:p>
            <w:pPr>
              <w:spacing w:after="0"/>
              <w:rPr>
                <w:sz w:val="12"/>
                <w:szCs w:val="12"/>
                <w:color w:val="auto"/>
              </w:rPr>
            </w:pPr>
          </w:p>
        </w:tc>
        <w:tc>
          <w:tcPr>
            <w:tcW w:w="5080" w:type="dxa"/>
            <w:vAlign w:val="bottom"/>
            <w:gridSpan w:val="4"/>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27</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720" w:type="dxa"/>
            <w:vAlign w:val="bottom"/>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(10) Income Taxes</w:t>
            </w:r>
          </w:p>
        </w:tc>
        <w:tc>
          <w:tcPr>
            <w:tcW w:w="6900" w:type="dxa"/>
            <w:vAlign w:val="bottom"/>
            <w:tcBorders>
              <w:right w:val="single" w:sz="8" w:color="CCEEFF"/>
            </w:tcBorders>
            <w:gridSpan w:val="10"/>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30</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11"/>
          </w:tcPr>
          <w:p>
            <w:pPr>
              <w:spacing w:after="0" w:line="149" w:lineRule="exact"/>
              <w:rPr>
                <w:sz w:val="20"/>
                <w:szCs w:val="20"/>
                <w:color w:val="auto"/>
              </w:rPr>
            </w:pPr>
            <w:r>
              <w:rPr>
                <w:rFonts w:ascii="Times New Roman" w:cs="Times New Roman" w:eastAsia="Times New Roman" w:hAnsi="Times New Roman"/>
                <w:sz w:val="14"/>
                <w:szCs w:val="14"/>
                <w:color w:val="0000FF"/>
              </w:rPr>
              <w:t>(11) Commitments and Contingencies</w:t>
            </w:r>
          </w:p>
        </w:tc>
        <w:tc>
          <w:tcPr>
            <w:tcW w:w="7460" w:type="dxa"/>
            <w:vAlign w:val="bottom"/>
            <w:gridSpan w:val="13"/>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30</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20" w:type="dxa"/>
            <w:vAlign w:val="bottom"/>
            <w:tcBorders>
              <w:right w:val="single" w:sz="8" w:color="CCEEFF"/>
            </w:tcBorders>
            <w:gridSpan w:val="2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(12) Earnings Per Share (CenterPoint Energy)</w:t>
            </w: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36</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(13) Reportable Segments</w:t>
            </w:r>
          </w:p>
        </w:tc>
        <w:tc>
          <w:tcPr>
            <w:tcW w:w="7020" w:type="dxa"/>
            <w:vAlign w:val="bottom"/>
            <w:gridSpan w:val="11"/>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36</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20" w:type="dxa"/>
            <w:vAlign w:val="bottom"/>
            <w:tcBorders>
              <w:right w:val="single" w:sz="8" w:color="CCEEFF"/>
            </w:tcBorders>
            <w:gridSpan w:val="2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(14) Related Party Transactions (Houston Electric and CERC)</w:t>
            </w: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39</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2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(15) Equity (CenterPoint Energy)</w:t>
            </w:r>
          </w:p>
        </w:tc>
        <w:tc>
          <w:tcPr>
            <w:tcW w:w="6100" w:type="dxa"/>
            <w:vAlign w:val="bottom"/>
            <w:gridSpan w:val="8"/>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40</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00" w:type="dxa"/>
            <w:vAlign w:val="bottom"/>
            <w:tcBorders>
              <w:right w:val="single" w:sz="8" w:color="CCEEFF"/>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(16) Subsequent Events</w:t>
            </w:r>
          </w:p>
        </w:tc>
        <w:tc>
          <w:tcPr>
            <w:tcW w:w="7720" w:type="dxa"/>
            <w:vAlign w:val="bottom"/>
            <w:tcBorders>
              <w:right w:val="single" w:sz="8" w:color="CCEEFF"/>
            </w:tcBorders>
            <w:gridSpan w:val="15"/>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41</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240" w:type="dxa"/>
            <w:vAlign w:val="bottom"/>
          </w:tcPr>
          <w:p>
            <w:pPr>
              <w:spacing w:after="0"/>
              <w:rPr>
                <w:sz w:val="12"/>
                <w:szCs w:val="12"/>
                <w:color w:val="auto"/>
              </w:rPr>
            </w:pPr>
          </w:p>
        </w:tc>
        <w:tc>
          <w:tcPr>
            <w:tcW w:w="978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42</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Recent Events</w:t>
            </w:r>
          </w:p>
        </w:tc>
        <w:tc>
          <w:tcPr>
            <w:tcW w:w="4100" w:type="dxa"/>
            <w:vAlign w:val="bottom"/>
            <w:gridSpan w:val="19"/>
            <w:shd w:val="clear" w:color="auto" w:fill="CCEEFF"/>
          </w:tcPr>
          <w:p>
            <w:pPr>
              <w:spacing w:after="0"/>
              <w:rPr>
                <w:sz w:val="13"/>
                <w:szCs w:val="13"/>
                <w:color w:val="auto"/>
              </w:rPr>
            </w:pPr>
          </w:p>
        </w:tc>
        <w:tc>
          <w:tcPr>
            <w:tcW w:w="4700" w:type="dxa"/>
            <w:vAlign w:val="bottom"/>
            <w:tcBorders>
              <w:right w:val="single" w:sz="8" w:color="CCEEFF"/>
            </w:tcBorders>
            <w:gridSpan w:val="2"/>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42</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Consolidated Results of Operations</w:t>
            </w:r>
          </w:p>
        </w:tc>
        <w:tc>
          <w:tcPr>
            <w:tcW w:w="7600" w:type="dxa"/>
            <w:vAlign w:val="bottom"/>
            <w:gridSpan w:val="14"/>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43</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0" w:type="dxa"/>
            <w:vAlign w:val="bottom"/>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Results of Operations by Reportable Segment</w:t>
            </w:r>
          </w:p>
        </w:tc>
        <w:tc>
          <w:tcPr>
            <w:tcW w:w="7020" w:type="dxa"/>
            <w:vAlign w:val="bottom"/>
            <w:tcBorders>
              <w:right w:val="single" w:sz="8" w:color="CCEEFF"/>
            </w:tcBorders>
            <w:gridSpan w:val="11"/>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44</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color w:val="0000FF"/>
                <w:w w:val="98"/>
              </w:rPr>
              <w:t>Certain Factors Affecting Future Earnings</w:t>
            </w:r>
          </w:p>
        </w:tc>
        <w:tc>
          <w:tcPr>
            <w:tcW w:w="240" w:type="dxa"/>
            <w:vAlign w:val="bottom"/>
          </w:tcPr>
          <w:p>
            <w:pPr>
              <w:spacing w:after="0"/>
              <w:rPr>
                <w:sz w:val="12"/>
                <w:szCs w:val="12"/>
                <w:color w:val="auto"/>
              </w:rPr>
            </w:pPr>
          </w:p>
        </w:tc>
        <w:tc>
          <w:tcPr>
            <w:tcW w:w="7020" w:type="dxa"/>
            <w:vAlign w:val="bottom"/>
            <w:gridSpan w:val="11"/>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52</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00" w:type="dxa"/>
            <w:vAlign w:val="bottom"/>
            <w:tcBorders>
              <w:right w:val="single" w:sz="8" w:color="CCEEFF"/>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Liquidity and Capital Resources</w:t>
            </w:r>
          </w:p>
        </w:tc>
        <w:tc>
          <w:tcPr>
            <w:tcW w:w="460" w:type="dxa"/>
            <w:vAlign w:val="bottom"/>
            <w:gridSpan w:val="3"/>
            <w:shd w:val="clear" w:color="auto" w:fill="CCEEFF"/>
          </w:tcPr>
          <w:p>
            <w:pPr>
              <w:spacing w:after="0"/>
              <w:rPr>
                <w:sz w:val="13"/>
                <w:szCs w:val="13"/>
                <w:color w:val="auto"/>
              </w:rPr>
            </w:pPr>
          </w:p>
        </w:tc>
        <w:tc>
          <w:tcPr>
            <w:tcW w:w="7260" w:type="dxa"/>
            <w:vAlign w:val="bottom"/>
            <w:tcBorders>
              <w:left w:val="single" w:sz="8" w:color="CCEEFF"/>
              <w:right w:val="single" w:sz="8" w:color="CCEEFF"/>
            </w:tcBorders>
            <w:gridSpan w:val="12"/>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52</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Item 3.</w:t>
            </w:r>
          </w:p>
        </w:tc>
        <w:tc>
          <w:tcPr>
            <w:tcW w:w="240" w:type="dxa"/>
            <w:vAlign w:val="bottom"/>
          </w:tcPr>
          <w:p>
            <w:pPr>
              <w:spacing w:after="0"/>
              <w:rPr>
                <w:sz w:val="12"/>
                <w:szCs w:val="12"/>
                <w:color w:val="auto"/>
              </w:rPr>
            </w:pPr>
          </w:p>
        </w:tc>
        <w:tc>
          <w:tcPr>
            <w:tcW w:w="34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6380" w:type="dxa"/>
            <w:vAlign w:val="bottom"/>
            <w:gridSpan w:val="9"/>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61</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4"/>
                <w:szCs w:val="14"/>
                <w:color w:val="auto"/>
              </w:rPr>
              <w:t>Item 4.</w:t>
            </w:r>
          </w:p>
        </w:tc>
        <w:tc>
          <w:tcPr>
            <w:tcW w:w="240" w:type="dxa"/>
            <w:vAlign w:val="bottom"/>
            <w:shd w:val="clear" w:color="auto" w:fill="CCEEFF"/>
          </w:tcPr>
          <w:p>
            <w:pPr>
              <w:spacing w:after="0"/>
              <w:rPr>
                <w:sz w:val="13"/>
                <w:szCs w:val="13"/>
                <w:color w:val="auto"/>
              </w:rPr>
            </w:pPr>
          </w:p>
        </w:tc>
        <w:tc>
          <w:tcPr>
            <w:tcW w:w="1500" w:type="dxa"/>
            <w:vAlign w:val="bottom"/>
            <w:tcBorders>
              <w:right w:val="single" w:sz="8" w:color="CCEEFF"/>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Controls and Procedures</w:t>
            </w:r>
          </w:p>
        </w:tc>
        <w:tc>
          <w:tcPr>
            <w:tcW w:w="1900" w:type="dxa"/>
            <w:vAlign w:val="bottom"/>
            <w:gridSpan w:val="10"/>
            <w:shd w:val="clear" w:color="auto" w:fill="CCEEFF"/>
          </w:tcPr>
          <w:p>
            <w:pPr>
              <w:spacing w:after="0"/>
              <w:rPr>
                <w:sz w:val="13"/>
                <w:szCs w:val="13"/>
                <w:color w:val="auto"/>
              </w:rPr>
            </w:pPr>
          </w:p>
        </w:tc>
        <w:tc>
          <w:tcPr>
            <w:tcW w:w="6380" w:type="dxa"/>
            <w:vAlign w:val="bottom"/>
            <w:tcBorders>
              <w:right w:val="single" w:sz="8" w:color="CCEEFF"/>
            </w:tcBorders>
            <w:gridSpan w:val="9"/>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62</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CCEE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49"/>
        </w:trPr>
        <w:tc>
          <w:tcPr>
            <w:tcW w:w="120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10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0000FF"/>
                <w:w w:val="96"/>
              </w:rPr>
              <w:t>Legal Proceedings</w:t>
            </w:r>
          </w:p>
        </w:tc>
        <w:tc>
          <w:tcPr>
            <w:tcW w:w="870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0000FF"/>
                <w:w w:val="85"/>
              </w:rPr>
              <w:t>62</w:t>
            </w:r>
          </w:p>
        </w:tc>
      </w:tr>
      <w:tr>
        <w:trPr>
          <w:trHeight w:val="26"/>
        </w:trPr>
        <w:tc>
          <w:tcPr>
            <w:tcW w:w="120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700" w:type="dxa"/>
            <w:vAlign w:val="bottom"/>
            <w:tcBorders>
              <w:left w:val="single" w:sz="8" w:color="0000FF"/>
            </w:tcBorders>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1200" w:type="dxa"/>
            <w:vAlign w:val="bottom"/>
            <w:shd w:val="clear" w:color="auto" w:fill="CCEEFF"/>
          </w:tcPr>
          <w:p>
            <w:pPr>
              <w:jc w:val="center"/>
              <w:ind w:right="69"/>
              <w:spacing w:after="0" w:line="155" w:lineRule="exact"/>
              <w:rPr>
                <w:sz w:val="20"/>
                <w:szCs w:val="20"/>
                <w:color w:val="auto"/>
              </w:rPr>
            </w:pPr>
            <w:r>
              <w:rPr>
                <w:rFonts w:ascii="Times New Roman" w:cs="Times New Roman" w:eastAsia="Times New Roman" w:hAnsi="Times New Roman"/>
                <w:sz w:val="14"/>
                <w:szCs w:val="14"/>
                <w:color w:val="auto"/>
              </w:rPr>
              <w:t>Item 1A.</w:t>
            </w:r>
          </w:p>
        </w:tc>
        <w:tc>
          <w:tcPr>
            <w:tcW w:w="7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Risk Factors</w:t>
            </w:r>
          </w:p>
        </w:tc>
        <w:tc>
          <w:tcPr>
            <w:tcW w:w="320" w:type="dxa"/>
            <w:vAlign w:val="bottom"/>
            <w:shd w:val="clear" w:color="auto" w:fill="CCEEFF"/>
          </w:tcPr>
          <w:p>
            <w:pPr>
              <w:spacing w:after="0"/>
              <w:rPr>
                <w:sz w:val="13"/>
                <w:szCs w:val="13"/>
                <w:color w:val="auto"/>
              </w:rPr>
            </w:pPr>
          </w:p>
        </w:tc>
        <w:tc>
          <w:tcPr>
            <w:tcW w:w="8700" w:type="dxa"/>
            <w:vAlign w:val="bottom"/>
            <w:tcBorders>
              <w:lef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line="155" w:lineRule="exact"/>
              <w:rPr>
                <w:sz w:val="20"/>
                <w:szCs w:val="20"/>
                <w:color w:val="auto"/>
              </w:rPr>
            </w:pPr>
            <w:r>
              <w:rPr>
                <w:rFonts w:ascii="Times New Roman" w:cs="Times New Roman" w:eastAsia="Times New Roman" w:hAnsi="Times New Roman"/>
                <w:sz w:val="14"/>
                <w:szCs w:val="14"/>
                <w:color w:val="0000FF"/>
                <w:w w:val="85"/>
              </w:rPr>
              <w:t>62</w:t>
            </w:r>
          </w:p>
        </w:tc>
      </w:tr>
      <w:tr>
        <w:trPr>
          <w:trHeight w:val="32"/>
        </w:trPr>
        <w:tc>
          <w:tcPr>
            <w:tcW w:w="120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120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10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0000FF"/>
                <w:w w:val="97"/>
              </w:rPr>
              <w:t>Other Information</w:t>
            </w:r>
          </w:p>
        </w:tc>
        <w:tc>
          <w:tcPr>
            <w:tcW w:w="870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0000FF"/>
                <w:w w:val="85"/>
              </w:rPr>
              <w:t>62</w:t>
            </w:r>
          </w:p>
        </w:tc>
      </w:tr>
      <w:tr>
        <w:trPr>
          <w:trHeight w:val="26"/>
        </w:trPr>
        <w:tc>
          <w:tcPr>
            <w:tcW w:w="120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70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1200" w:type="dxa"/>
            <w:vAlign w:val="bottom"/>
            <w:shd w:val="clear" w:color="auto" w:fill="CCEEFF"/>
          </w:tcPr>
          <w:p>
            <w:pPr>
              <w:jc w:val="center"/>
              <w:ind w:right="89"/>
              <w:spacing w:after="0" w:line="155" w:lineRule="exact"/>
              <w:rPr>
                <w:sz w:val="20"/>
                <w:szCs w:val="20"/>
                <w:color w:val="auto"/>
              </w:rPr>
            </w:pPr>
            <w:r>
              <w:rPr>
                <w:rFonts w:ascii="Times New Roman" w:cs="Times New Roman" w:eastAsia="Times New Roman" w:hAnsi="Times New Roman"/>
                <w:sz w:val="14"/>
                <w:szCs w:val="14"/>
                <w:color w:val="auto"/>
              </w:rPr>
              <w:t>Item 6.</w:t>
            </w:r>
          </w:p>
        </w:tc>
        <w:tc>
          <w:tcPr>
            <w:tcW w:w="4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8"/>
              </w:rPr>
              <w:t>Exhibits</w:t>
            </w:r>
          </w:p>
        </w:tc>
        <w:tc>
          <w:tcPr>
            <w:tcW w:w="560" w:type="dxa"/>
            <w:vAlign w:val="bottom"/>
            <w:gridSpan w:val="3"/>
            <w:shd w:val="clear" w:color="auto" w:fill="CCEEFF"/>
          </w:tcPr>
          <w:p>
            <w:pPr>
              <w:spacing w:after="0"/>
              <w:rPr>
                <w:sz w:val="13"/>
                <w:szCs w:val="13"/>
                <w:color w:val="auto"/>
              </w:rPr>
            </w:pPr>
          </w:p>
        </w:tc>
        <w:tc>
          <w:tcPr>
            <w:tcW w:w="8700" w:type="dxa"/>
            <w:vAlign w:val="bottom"/>
            <w:tcBorders>
              <w:lef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line="155" w:lineRule="exact"/>
              <w:rPr>
                <w:sz w:val="20"/>
                <w:szCs w:val="20"/>
                <w:color w:val="auto"/>
              </w:rPr>
            </w:pPr>
            <w:r>
              <w:rPr>
                <w:rFonts w:ascii="Times New Roman" w:cs="Times New Roman" w:eastAsia="Times New Roman" w:hAnsi="Times New Roman"/>
                <w:sz w:val="14"/>
                <w:szCs w:val="14"/>
                <w:color w:val="0000FF"/>
                <w:w w:val="85"/>
              </w:rPr>
              <w:t>62</w:t>
            </w:r>
          </w:p>
        </w:tc>
      </w:tr>
      <w:tr>
        <w:trPr>
          <w:trHeight w:val="32"/>
        </w:trPr>
        <w:tc>
          <w:tcPr>
            <w:tcW w:w="120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1200" w:type="dxa"/>
            <w:vAlign w:val="bottom"/>
          </w:tcPr>
          <w:p>
            <w:pPr>
              <w:spacing w:after="0"/>
              <w:rPr>
                <w:sz w:val="12"/>
                <w:szCs w:val="12"/>
                <w:color w:val="auto"/>
              </w:rPr>
            </w:pPr>
          </w:p>
        </w:tc>
        <w:tc>
          <w:tcPr>
            <w:tcW w:w="97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0000FF"/>
              </w:rPr>
              <w:t>Signatures</w:t>
            </w:r>
          </w:p>
        </w:tc>
        <w:tc>
          <w:tcPr>
            <w:tcW w:w="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0000FF"/>
                <w:w w:val="85"/>
              </w:rPr>
              <w:t>65</w:t>
            </w:r>
          </w:p>
        </w:tc>
      </w:tr>
      <w:tr>
        <w:trPr>
          <w:trHeight w:val="20"/>
        </w:trPr>
        <w:tc>
          <w:tcPr>
            <w:tcW w:w="1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2800" w:type="dxa"/>
            <w:vAlign w:val="bottom"/>
            <w:tcBorders>
              <w:bottom w:val="single" w:sz="8" w:color="auto"/>
            </w:tcBorders>
          </w:tcPr>
          <w:p>
            <w:pPr>
              <w:spacing w:after="0"/>
              <w:rPr>
                <w:sz w:val="14"/>
                <w:szCs w:val="14"/>
                <w:color w:val="auto"/>
              </w:rPr>
            </w:pPr>
          </w:p>
        </w:tc>
        <w:tc>
          <w:tcPr>
            <w:tcW w:w="810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63"/>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AFUDC</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Allowance for funds used during construction</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AI</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Artificial intelligence</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ARO</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Asset retirement obligation</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ARP</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Alternative revenue program</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ASU</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Accounting Standards Update</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AT&amp;T Common</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AT&amp;T Inc. common stock</w:t>
            </w:r>
          </w:p>
        </w:tc>
      </w:tr>
      <w:tr>
        <w:trPr>
          <w:trHeight w:val="128"/>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ATM Forward Purchasers</w:t>
            </w:r>
          </w:p>
        </w:tc>
        <w:tc>
          <w:tcPr>
            <w:tcW w:w="8100" w:type="dxa"/>
            <w:vAlign w:val="bottom"/>
            <w:shd w:val="clear" w:color="auto" w:fill="CCEEFF"/>
          </w:tcPr>
          <w:p>
            <w:pPr>
              <w:ind w:left="1160"/>
              <w:spacing w:after="0" w:line="129" w:lineRule="exact"/>
              <w:rPr>
                <w:sz w:val="20"/>
                <w:szCs w:val="20"/>
                <w:color w:val="auto"/>
              </w:rPr>
            </w:pPr>
            <w:r>
              <w:rPr>
                <w:rFonts w:ascii="Times New Roman" w:cs="Times New Roman" w:eastAsia="Times New Roman" w:hAnsi="Times New Roman"/>
                <w:sz w:val="13"/>
                <w:szCs w:val="13"/>
                <w:color w:val="auto"/>
              </w:rPr>
              <w:t>Bank of America, N.A., Barclays Bank PLC, Citibank, N.A., Goldman Sachs &amp; Co. LLC, JPMorgan Chase Bank, National</w:t>
            </w:r>
          </w:p>
        </w:tc>
      </w:tr>
      <w:tr>
        <w:trPr>
          <w:trHeight w:val="170"/>
        </w:trPr>
        <w:tc>
          <w:tcPr>
            <w:tcW w:w="2800" w:type="dxa"/>
            <w:vAlign w:val="bottom"/>
            <w:shd w:val="clear" w:color="auto" w:fill="CCEEFF"/>
          </w:tcPr>
          <w:p>
            <w:pPr>
              <w:spacing w:after="0"/>
              <w:rPr>
                <w:sz w:val="14"/>
                <w:szCs w:val="14"/>
                <w:color w:val="auto"/>
              </w:rPr>
            </w:pP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Association, Mizuho Markets Americas LLC, MUFG Securities EMEA plc and Royal Bank of Canada</w:t>
            </w:r>
          </w:p>
        </w:tc>
      </w:tr>
      <w:tr>
        <w:trPr>
          <w:trHeight w:val="127"/>
        </w:trPr>
        <w:tc>
          <w:tcPr>
            <w:tcW w:w="280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ATM Forward Sellers</w:t>
            </w:r>
          </w:p>
        </w:tc>
        <w:tc>
          <w:tcPr>
            <w:tcW w:w="8100" w:type="dxa"/>
            <w:vAlign w:val="bottom"/>
          </w:tcPr>
          <w:p>
            <w:pPr>
              <w:ind w:left="1160"/>
              <w:spacing w:after="0" w:line="128" w:lineRule="exact"/>
              <w:rPr>
                <w:sz w:val="20"/>
                <w:szCs w:val="20"/>
                <w:color w:val="auto"/>
              </w:rPr>
            </w:pPr>
            <w:r>
              <w:rPr>
                <w:rFonts w:ascii="Times New Roman" w:cs="Times New Roman" w:eastAsia="Times New Roman" w:hAnsi="Times New Roman"/>
                <w:sz w:val="13"/>
                <w:szCs w:val="13"/>
                <w:color w:val="auto"/>
                <w:w w:val="99"/>
              </w:rPr>
              <w:t>BofA Securities, Inc. Barclays Capital Inc., Citigroup Global Markets Inc., Goldman Sachs &amp; Co. LLC, J.P. Morgan Securities LLC,</w:t>
            </w:r>
          </w:p>
        </w:tc>
      </w:tr>
      <w:tr>
        <w:trPr>
          <w:trHeight w:val="168"/>
        </w:trPr>
        <w:tc>
          <w:tcPr>
            <w:tcW w:w="2800" w:type="dxa"/>
            <w:vAlign w:val="bottom"/>
          </w:tcPr>
          <w:p>
            <w:pPr>
              <w:spacing w:after="0"/>
              <w:rPr>
                <w:sz w:val="14"/>
                <w:szCs w:val="14"/>
                <w:color w:val="auto"/>
              </w:rPr>
            </w:pP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Mizuho Securities USA LLC, MUFG Securities Americas Inc. and RBC Capital Markets, LLC</w:t>
            </w:r>
          </w:p>
        </w:tc>
      </w:tr>
      <w:tr>
        <w:trPr>
          <w:trHeight w:val="129"/>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ATM Managers</w:t>
            </w:r>
          </w:p>
        </w:tc>
        <w:tc>
          <w:tcPr>
            <w:tcW w:w="8100" w:type="dxa"/>
            <w:vAlign w:val="bottom"/>
            <w:shd w:val="clear" w:color="auto" w:fill="CCEEFF"/>
          </w:tcPr>
          <w:p>
            <w:pPr>
              <w:ind w:left="1160"/>
              <w:spacing w:after="0" w:line="129" w:lineRule="exact"/>
              <w:rPr>
                <w:sz w:val="20"/>
                <w:szCs w:val="20"/>
                <w:color w:val="auto"/>
              </w:rPr>
            </w:pPr>
            <w:r>
              <w:rPr>
                <w:rFonts w:ascii="Times New Roman" w:cs="Times New Roman" w:eastAsia="Times New Roman" w:hAnsi="Times New Roman"/>
                <w:sz w:val="13"/>
                <w:szCs w:val="13"/>
                <w:color w:val="auto"/>
                <w:w w:val="99"/>
              </w:rPr>
              <w:t>BofA Securities, Inc., Barclays Capital Inc., Citigroup Global Markets Inc., Goldman Sachs &amp; Co. LLC, J.P. Morgan Securities LLC,</w:t>
            </w:r>
          </w:p>
        </w:tc>
      </w:tr>
      <w:tr>
        <w:trPr>
          <w:trHeight w:val="170"/>
        </w:trPr>
        <w:tc>
          <w:tcPr>
            <w:tcW w:w="2800" w:type="dxa"/>
            <w:vAlign w:val="bottom"/>
            <w:shd w:val="clear" w:color="auto" w:fill="CCEEFF"/>
          </w:tcPr>
          <w:p>
            <w:pPr>
              <w:spacing w:after="0"/>
              <w:rPr>
                <w:sz w:val="14"/>
                <w:szCs w:val="14"/>
                <w:color w:val="auto"/>
              </w:rPr>
            </w:pP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Mizuho Securities USA LLC, MUFG Securities Americas Inc. and RBC Capital Markets, LLC</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Bcf</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Billion cubic feet</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Board</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Board of Directors of CenterPoint Energy, Inc.</w:t>
            </w:r>
          </w:p>
        </w:tc>
      </w:tr>
      <w:tr>
        <w:trPr>
          <w:trHeight w:val="127"/>
        </w:trPr>
        <w:tc>
          <w:tcPr>
            <w:tcW w:w="280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Bond Companies</w:t>
            </w:r>
          </w:p>
        </w:tc>
        <w:tc>
          <w:tcPr>
            <w:tcW w:w="8100" w:type="dxa"/>
            <w:vAlign w:val="bottom"/>
          </w:tcPr>
          <w:p>
            <w:pPr>
              <w:ind w:left="1160"/>
              <w:spacing w:after="0" w:line="128" w:lineRule="exact"/>
              <w:rPr>
                <w:sz w:val="20"/>
                <w:szCs w:val="20"/>
                <w:color w:val="auto"/>
              </w:rPr>
            </w:pPr>
            <w:r>
              <w:rPr>
                <w:rFonts w:ascii="Times New Roman" w:cs="Times New Roman" w:eastAsia="Times New Roman" w:hAnsi="Times New Roman"/>
                <w:sz w:val="13"/>
                <w:szCs w:val="13"/>
                <w:color w:val="auto"/>
              </w:rPr>
              <w:t>Transition Bond Company IV, Restoration Bond Company II and Restoration Bond Company III, each a consolidated VIE that is a</w:t>
            </w:r>
          </w:p>
        </w:tc>
      </w:tr>
      <w:tr>
        <w:trPr>
          <w:trHeight w:val="127"/>
        </w:trPr>
        <w:tc>
          <w:tcPr>
            <w:tcW w:w="2800" w:type="dxa"/>
            <w:vAlign w:val="bottom"/>
          </w:tcPr>
          <w:p>
            <w:pPr>
              <w:spacing w:after="0"/>
              <w:rPr>
                <w:sz w:val="11"/>
                <w:szCs w:val="11"/>
                <w:color w:val="auto"/>
              </w:rPr>
            </w:pPr>
          </w:p>
        </w:tc>
        <w:tc>
          <w:tcPr>
            <w:tcW w:w="8100" w:type="dxa"/>
            <w:vAlign w:val="bottom"/>
          </w:tcPr>
          <w:p>
            <w:pPr>
              <w:ind w:left="1160"/>
              <w:spacing w:after="0" w:line="128" w:lineRule="exact"/>
              <w:rPr>
                <w:sz w:val="20"/>
                <w:szCs w:val="20"/>
                <w:color w:val="auto"/>
              </w:rPr>
            </w:pPr>
            <w:r>
              <w:rPr>
                <w:rFonts w:ascii="Times New Roman" w:cs="Times New Roman" w:eastAsia="Times New Roman" w:hAnsi="Times New Roman"/>
                <w:sz w:val="13"/>
                <w:szCs w:val="13"/>
                <w:color w:val="auto"/>
              </w:rPr>
              <w:t>wholly-owned, bankruptcy-remote, special purpose entity formed solely for the purpose of securitizing transition property or system</w:t>
            </w:r>
          </w:p>
        </w:tc>
      </w:tr>
      <w:tr>
        <w:trPr>
          <w:trHeight w:val="168"/>
        </w:trPr>
        <w:tc>
          <w:tcPr>
            <w:tcW w:w="2800" w:type="dxa"/>
            <w:vAlign w:val="bottom"/>
          </w:tcPr>
          <w:p>
            <w:pPr>
              <w:spacing w:after="0"/>
              <w:rPr>
                <w:sz w:val="14"/>
                <w:szCs w:val="14"/>
                <w:color w:val="auto"/>
              </w:rPr>
            </w:pP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restoration property through the issuance of transition bonds and system restoration bonds</w:t>
            </w:r>
          </w:p>
        </w:tc>
      </w:tr>
      <w:tr>
        <w:trPr>
          <w:trHeight w:val="17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CAMT</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Corporate Alternative Minimum Tax</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CCR</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Coal Combustion Residuals</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CECA</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Clean Energy Cost Adjustment</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CEIP</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CenterPoint Energy Intrastate Pipelines, LLC, a wholly-owned subsidiary of CERC Corp.</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CenterPoint Energy</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CenterPoint Energy, Inc., and its subsidiaries</w:t>
            </w:r>
          </w:p>
        </w:tc>
      </w:tr>
      <w:tr>
        <w:trPr>
          <w:trHeight w:val="127"/>
        </w:trPr>
        <w:tc>
          <w:tcPr>
            <w:tcW w:w="280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CEOH</w:t>
            </w:r>
          </w:p>
        </w:tc>
        <w:tc>
          <w:tcPr>
            <w:tcW w:w="8100" w:type="dxa"/>
            <w:vAlign w:val="bottom"/>
          </w:tcPr>
          <w:p>
            <w:pPr>
              <w:ind w:left="1160"/>
              <w:spacing w:after="0" w:line="128" w:lineRule="exact"/>
              <w:rPr>
                <w:sz w:val="20"/>
                <w:szCs w:val="20"/>
                <w:color w:val="auto"/>
              </w:rPr>
            </w:pPr>
            <w:r>
              <w:rPr>
                <w:rFonts w:ascii="Times New Roman" w:cs="Times New Roman" w:eastAsia="Times New Roman" w:hAnsi="Times New Roman"/>
                <w:sz w:val="13"/>
                <w:szCs w:val="13"/>
                <w:color w:val="auto"/>
              </w:rPr>
              <w:t>Vectren Energy Delivery of Ohio, LLC, doing business as CenterPoint Energy Ohio, which converted its corporate structure from</w:t>
            </w:r>
          </w:p>
        </w:tc>
      </w:tr>
      <w:tr>
        <w:trPr>
          <w:trHeight w:val="127"/>
        </w:trPr>
        <w:tc>
          <w:tcPr>
            <w:tcW w:w="2800" w:type="dxa"/>
            <w:vAlign w:val="bottom"/>
          </w:tcPr>
          <w:p>
            <w:pPr>
              <w:spacing w:after="0"/>
              <w:rPr>
                <w:sz w:val="11"/>
                <w:szCs w:val="11"/>
                <w:color w:val="auto"/>
              </w:rPr>
            </w:pPr>
          </w:p>
        </w:tc>
        <w:tc>
          <w:tcPr>
            <w:tcW w:w="8100" w:type="dxa"/>
            <w:vAlign w:val="bottom"/>
          </w:tcPr>
          <w:p>
            <w:pPr>
              <w:ind w:left="1160"/>
              <w:spacing w:after="0" w:line="128" w:lineRule="exact"/>
              <w:rPr>
                <w:sz w:val="20"/>
                <w:szCs w:val="20"/>
                <w:color w:val="auto"/>
              </w:rPr>
            </w:pPr>
            <w:r>
              <w:rPr>
                <w:rFonts w:ascii="Times New Roman" w:cs="Times New Roman" w:eastAsia="Times New Roman" w:hAnsi="Times New Roman"/>
                <w:sz w:val="13"/>
                <w:szCs w:val="13"/>
                <w:color w:val="auto"/>
                <w:w w:val="99"/>
              </w:rPr>
              <w:t>Vectren Energy Delivery of Ohio, Inc. to an Ohio limited liability company on June 13, 2022, formerly a wholly-owned subsidiary of</w:t>
            </w:r>
          </w:p>
        </w:tc>
      </w:tr>
      <w:tr>
        <w:trPr>
          <w:trHeight w:val="168"/>
        </w:trPr>
        <w:tc>
          <w:tcPr>
            <w:tcW w:w="2800" w:type="dxa"/>
            <w:vAlign w:val="bottom"/>
          </w:tcPr>
          <w:p>
            <w:pPr>
              <w:spacing w:after="0"/>
              <w:rPr>
                <w:sz w:val="14"/>
                <w:szCs w:val="14"/>
                <w:color w:val="auto"/>
              </w:rPr>
            </w:pP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Vectren, acquired by CERC on June 30, 2022</w:t>
            </w:r>
          </w:p>
        </w:tc>
      </w:tr>
      <w:tr>
        <w:trPr>
          <w:trHeight w:val="17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CEP</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Capital Expenditure Program</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CERC</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CERC Corp., together with its subsidiaries</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CERC Corp.</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CenterPoint Energy Resources Corp.</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Charter Common</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Charter Communications, Inc. common stock</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CIP</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Conservation Improvement Program</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CODM</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Chief Operating Decision Maker, who is each Registrant’s Chief Operating Executive</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Common Stock</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CenterPoint Energy, Inc. common stock, par value $0.01 per share</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CPCN</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Certificate of Public Convenience and Necessity</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CPS Energy</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City Public Service Board of San Antonio, Texas</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CSIA</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Compliance and System Improvement Adjustment</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DCRF</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Distribution Cost Recovery Factor</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DRR</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Distribution Replacement Rider</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DSMA</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Demand Side Management Adjustment</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ECA</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Environmental Cost Adjustment</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EDIT</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Excess deferred income taxes</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EECRF</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Energy Efficiency Cost Recovery Factor</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EEFC</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Energy Efficiency Funding Component</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EEFR</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Energy Efficiency Funding Rider</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Energy Systems Group</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Energy Systems Group, LLC, previously a wholly-owned subsidiary of Vectren</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EPA</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Environmental Protection Agency</w:t>
            </w:r>
          </w:p>
        </w:tc>
      </w:tr>
      <w:tr>
        <w:trPr>
          <w:trHeight w:val="128"/>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Equity Distribution Agreement</w:t>
            </w:r>
          </w:p>
        </w:tc>
        <w:tc>
          <w:tcPr>
            <w:tcW w:w="8100" w:type="dxa"/>
            <w:vAlign w:val="bottom"/>
            <w:shd w:val="clear" w:color="auto" w:fill="CCEEFF"/>
          </w:tcPr>
          <w:p>
            <w:pPr>
              <w:ind w:left="1160"/>
              <w:spacing w:after="0" w:line="129" w:lineRule="exact"/>
              <w:rPr>
                <w:sz w:val="20"/>
                <w:szCs w:val="20"/>
                <w:color w:val="auto"/>
              </w:rPr>
            </w:pPr>
            <w:r>
              <w:rPr>
                <w:rFonts w:ascii="Times New Roman" w:cs="Times New Roman" w:eastAsia="Times New Roman" w:hAnsi="Times New Roman"/>
                <w:sz w:val="13"/>
                <w:szCs w:val="13"/>
                <w:color w:val="auto"/>
              </w:rPr>
              <w:t>Equity Distribution Agreement, dated as of January 10, 2024, by and between CenterPoint Energy, the ATM Managers, the ATM</w:t>
            </w:r>
          </w:p>
        </w:tc>
      </w:tr>
      <w:tr>
        <w:trPr>
          <w:trHeight w:val="170"/>
        </w:trPr>
        <w:tc>
          <w:tcPr>
            <w:tcW w:w="2800" w:type="dxa"/>
            <w:vAlign w:val="bottom"/>
            <w:shd w:val="clear" w:color="auto" w:fill="CCEEFF"/>
          </w:tcPr>
          <w:p>
            <w:pPr>
              <w:spacing w:after="0"/>
              <w:rPr>
                <w:sz w:val="14"/>
                <w:szCs w:val="14"/>
                <w:color w:val="auto"/>
              </w:rPr>
            </w:pP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Forward Purchasers and the ATM Forward Sellers</w:t>
            </w:r>
          </w:p>
        </w:tc>
      </w:tr>
      <w:tr>
        <w:trPr>
          <w:trHeight w:val="169"/>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Equity Purchase Agreement</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Equity Purchase Agreement, dated as of May 21, 2023, by and between Vectren Energy Services and ESG Holdings Group</w:t>
            </w:r>
          </w:p>
        </w:tc>
      </w:tr>
      <w:tr>
        <w:trPr>
          <w:trHeight w:val="171"/>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ERCOT</w:t>
            </w:r>
          </w:p>
        </w:tc>
        <w:tc>
          <w:tcPr>
            <w:tcW w:w="81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Electric Reliability Council of Texas</w:t>
            </w:r>
          </w:p>
        </w:tc>
      </w:tr>
      <w:tr>
        <w:trPr>
          <w:trHeight w:val="167"/>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ESG Holdings Group</w:t>
            </w:r>
          </w:p>
        </w:tc>
        <w:tc>
          <w:tcPr>
            <w:tcW w:w="81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ESG Holdings Group, LLC, a Delaware limited liability company, and an affiliate of Oaktree Capital Management</w:t>
            </w:r>
          </w:p>
        </w:tc>
      </w:tr>
    </w:tbl>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3060" w:type="dxa"/>
            <w:vAlign w:val="bottom"/>
            <w:tcBorders>
              <w:bottom w:val="single" w:sz="8" w:color="auto"/>
            </w:tcBorders>
          </w:tcPr>
          <w:p>
            <w:pPr>
              <w:spacing w:after="0"/>
              <w:rPr>
                <w:sz w:val="14"/>
                <w:szCs w:val="14"/>
                <w:color w:val="auto"/>
              </w:rPr>
            </w:pPr>
          </w:p>
        </w:tc>
        <w:tc>
          <w:tcPr>
            <w:tcW w:w="784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6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Exchange Act</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The Securities Exchange Act of 1934, as amended</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February 2021 Winter Storm Event</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w w:val="97"/>
              </w:rPr>
              <w:t>The extreme and unprecedented winter weather event in February 2021 (Winter Storm Uri) that resulted in electricity generation supply</w:t>
            </w:r>
          </w:p>
        </w:tc>
      </w:tr>
      <w:tr>
        <w:trPr>
          <w:trHeight w:val="127"/>
        </w:trPr>
        <w:tc>
          <w:tcPr>
            <w:tcW w:w="3060" w:type="dxa"/>
            <w:vAlign w:val="bottom"/>
          </w:tcPr>
          <w:p>
            <w:pPr>
              <w:spacing w:after="0"/>
              <w:rPr>
                <w:sz w:val="11"/>
                <w:szCs w:val="11"/>
                <w:color w:val="auto"/>
              </w:rPr>
            </w:pP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shortages, including in Texas, and natural gas supply shortages and increased wholesale prices of natural gas in the United States,</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primarily due to prolonged freezing temperatures</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FASB</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Financial Accounting Standards Board</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FERC</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Federal Energy Regulatory Commission</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Fitch</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Fitch Ratings, Inc.</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Form 10-Q</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Quarterly Report on Form 10-Q</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GAAP</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Generally Accepted Accounting Principles</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General Mortgage</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General Mortgage Indenture, dated as of October 10, 2002, between Houston Electric and JPMorgan Chase Bank, as Trustee, as</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supplemented</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GHG</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Greenhouse gas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GRIP</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Gas Reliability Infrastructure Program</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GWh</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Gigawatt-hours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Houston Electric</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CenterPoint Energy Houston Electric, LLC and its subsidiaries</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Hurricane Beryl</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w w:val="99"/>
              </w:rPr>
              <w:t>The powerful and destructive storm that made landfall in Texas on July 8, 2024 and caused widespread damage to Houston Electric’s</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electric system</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IDEM</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Indiana Department of Environmental Management</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Indiana Electric</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rPr>
              <w:t>Operations of SIGECO’s electric transmission and distribution services, and includes its power generating and wholesale power</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operations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Indiana Gas</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Indiana Gas Company, Inc., formerly a wholly-owned subsidiary of Vectren, acquired by CERC on June 30, 2022</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Indiana North</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Gas operations of Indiana Gas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Indiana South</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Gas operations of SIGECO</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Interim Condensed Financial Statements</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Unaudited condensed consolidated interim financial statements and combined notes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IRA</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Inflation Reduction Act of 2022</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IRP</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Integrated Resource Plan</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IRS</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Internal Revenue Service</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IURC</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Indiana Utility Regulatory Commission</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kW</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Kilowatt</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LAMS Asset Purchase Agreement</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Asset Purchase Agreement, dated as of February 19, 2024, by and among CERC Corp. and the LAMS Buyers</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LAMS Buyers</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Delta North Louisiana Gas Company, LLC (f/k/a Delta Utilities No. LA, LLC), a Delaware limited liability company, Delta South</w:t>
            </w:r>
          </w:p>
        </w:tc>
      </w:tr>
      <w:tr>
        <w:trPr>
          <w:trHeight w:val="127"/>
        </w:trPr>
        <w:tc>
          <w:tcPr>
            <w:tcW w:w="3060" w:type="dxa"/>
            <w:vAlign w:val="bottom"/>
          </w:tcPr>
          <w:p>
            <w:pPr>
              <w:spacing w:after="0"/>
              <w:rPr>
                <w:sz w:val="11"/>
                <w:szCs w:val="11"/>
                <w:color w:val="auto"/>
              </w:rPr>
            </w:pP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Louisiana Gas Company, LLC (f/k/a Delta Utilities S. LA, LLC), a Delaware limited liability company, Delta Mississippi Gas</w:t>
            </w:r>
          </w:p>
        </w:tc>
      </w:tr>
      <w:tr>
        <w:trPr>
          <w:trHeight w:val="127"/>
        </w:trPr>
        <w:tc>
          <w:tcPr>
            <w:tcW w:w="3060" w:type="dxa"/>
            <w:vAlign w:val="bottom"/>
          </w:tcPr>
          <w:p>
            <w:pPr>
              <w:spacing w:after="0"/>
              <w:rPr>
                <w:sz w:val="11"/>
                <w:szCs w:val="11"/>
                <w:color w:val="auto"/>
              </w:rPr>
            </w:pP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w w:val="99"/>
              </w:rPr>
              <w:t>Company, LLC (f/k/a Delta Utilities MS, LLC), a Delaware limited liability company, and Delta Energy Resources, LLC (f/k/a Delta</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Shared Services Co., LLC), a Delaware limited liability company</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LDC</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Local distribution company</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M&amp;DOT</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Mortgage and Deed of Trust, dated November 1, 1944, between Houston Lighting and Power Company and Chase Bank of Texas,</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National Association (formerly, South Texas Commercial National Bank of Houston), as Trustee, as amended and supplemented</w:t>
            </w:r>
          </w:p>
        </w:tc>
      </w:tr>
      <w:tr>
        <w:trPr>
          <w:trHeight w:val="129"/>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May 2024 Storm Events</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rPr>
              <w:t>The sudden and destructive severe weather events in May 2024 that included hurricane-like winds and tornadoes and resulted in</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widespread damage to Houston Electric’s electric delivery system</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MDL</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Multi-district litigation</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MGP</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Manufactured gas plant</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MISO</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Midcontinent Independent System Operator</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Moody’s</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Moody’s Investors Service, Inc.</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MW</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Megawatt(s)</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NERC</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North American Electric Reliability Corporation</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NFGC</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National Fuel Gas Company, a New Jersey corporation</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NRG</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NRG Energy, Inc.</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NYSE</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OBBBA</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One Big Beautiful Bill Act of 2025</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Ohio Securities Purchase Agreement</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Securities Purchase Agreement, dated as of October 20, 2025, by and between CERC Corp. and NFGC</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Origis</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Origis Energy USA Inc.</w:t>
            </w:r>
          </w:p>
        </w:tc>
      </w:tr>
      <w:tr>
        <w:trPr>
          <w:trHeight w:val="167"/>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OUCC</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Indiana Office of Utility Consumer Counselor</w:t>
            </w:r>
          </w:p>
        </w:tc>
      </w:tr>
    </w:tbl>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3360" w:type="dxa"/>
            <w:vAlign w:val="bottom"/>
            <w:tcBorders>
              <w:bottom w:val="single" w:sz="8" w:color="auto"/>
            </w:tcBorders>
          </w:tcPr>
          <w:p>
            <w:pPr>
              <w:spacing w:after="0"/>
              <w:rPr>
                <w:sz w:val="14"/>
                <w:szCs w:val="14"/>
                <w:color w:val="auto"/>
              </w:rPr>
            </w:pPr>
          </w:p>
        </w:tc>
        <w:tc>
          <w:tcPr>
            <w:tcW w:w="75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6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Posey Solar</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Posey Solar, LLC, a special purpose entity</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PPA</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Power purchase agreement</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PRP</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Potentially responsible party</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PTCs</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Production Tax Credits</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PUCO</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Public Utilities Commission of Ohio</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PUCT</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Public Utility Commission of Texas</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Railroad Commission</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Railroad Commission of Texas</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Registrant</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Each of CenterPoint Energy, Inc., CenterPoint Energy Houston Electric, LLC and CenterPoint Energy Resources Corp.</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REP</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Retail electric provider</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Restoration Bond Company II</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CenterPoint Energy Restoration Bond Company II, LLC, a wholly-owned subsidiary of Houston Electric</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Restoration Bond Company II Securitization Bonds</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Restoration Bond Company II’s Series 2025-A Senior Secured System Restoration Bonds</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Restoration Bond Company III</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CenterPoint Energy Restoration Bond Company III, LLC, a wholly-owned subsidiary of Houston Electric</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Restoration Bond Company III Securitization Bonds</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Restoration Bond Company III’s Series 2026-A Senior Secured System Restoration Bonds</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S&amp;P</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S&amp;P Global Ratings</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SEC</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Securities and Exchange Commission</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Securities Act</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The Securities Act of 1933, as amended</w:t>
            </w:r>
          </w:p>
        </w:tc>
      </w:tr>
      <w:tr>
        <w:trPr>
          <w:trHeight w:val="128"/>
        </w:trPr>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Securitization Bonds</w:t>
            </w:r>
          </w:p>
        </w:tc>
        <w:tc>
          <w:tcPr>
            <w:tcW w:w="7540" w:type="dxa"/>
            <w:vAlign w:val="bottom"/>
            <w:shd w:val="clear" w:color="auto" w:fill="CCEEFF"/>
          </w:tcPr>
          <w:p>
            <w:pPr>
              <w:ind w:left="600"/>
              <w:spacing w:after="0" w:line="129" w:lineRule="exact"/>
              <w:rPr>
                <w:sz w:val="20"/>
                <w:szCs w:val="20"/>
                <w:color w:val="auto"/>
              </w:rPr>
            </w:pPr>
            <w:r>
              <w:rPr>
                <w:rFonts w:ascii="Times New Roman" w:cs="Times New Roman" w:eastAsia="Times New Roman" w:hAnsi="Times New Roman"/>
                <w:sz w:val="13"/>
                <w:szCs w:val="13"/>
                <w:color w:val="auto"/>
              </w:rPr>
              <w:t>Transition bonds issued by Transition Bond Company IV, system restoration bonds issued by Restoration Bond Company II and</w:t>
            </w:r>
          </w:p>
        </w:tc>
      </w:tr>
      <w:tr>
        <w:trPr>
          <w:trHeight w:val="170"/>
        </w:trPr>
        <w:tc>
          <w:tcPr>
            <w:tcW w:w="3360" w:type="dxa"/>
            <w:vAlign w:val="bottom"/>
            <w:shd w:val="clear" w:color="auto" w:fill="CCEEFF"/>
          </w:tcPr>
          <w:p>
            <w:pPr>
              <w:spacing w:after="0"/>
              <w:rPr>
                <w:sz w:val="14"/>
                <w:szCs w:val="14"/>
                <w:color w:val="auto"/>
              </w:rPr>
            </w:pP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Restoration Bond Company III and SIGECO Securitization Bonds issued by the SIGECO Securitization Subsidiary</w:t>
            </w:r>
          </w:p>
        </w:tc>
      </w:tr>
      <w:tr>
        <w:trPr>
          <w:trHeight w:val="127"/>
        </w:trPr>
        <w:tc>
          <w:tcPr>
            <w:tcW w:w="33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Seller Note Agreement</w:t>
            </w:r>
          </w:p>
        </w:tc>
        <w:tc>
          <w:tcPr>
            <w:tcW w:w="7540" w:type="dxa"/>
            <w:vAlign w:val="bottom"/>
          </w:tcPr>
          <w:p>
            <w:pPr>
              <w:ind w:left="600"/>
              <w:spacing w:after="0" w:line="128" w:lineRule="exact"/>
              <w:rPr>
                <w:sz w:val="20"/>
                <w:szCs w:val="20"/>
                <w:color w:val="auto"/>
              </w:rPr>
            </w:pPr>
            <w:r>
              <w:rPr>
                <w:rFonts w:ascii="Times New Roman" w:cs="Times New Roman" w:eastAsia="Times New Roman" w:hAnsi="Times New Roman"/>
                <w:sz w:val="13"/>
                <w:szCs w:val="13"/>
                <w:color w:val="auto"/>
              </w:rPr>
              <w:t>Seller Note Agreement by and between CERC Corp. and NFGC to be entered into at the closing of the proposed sale of all of the</w:t>
            </w:r>
          </w:p>
        </w:tc>
      </w:tr>
      <w:tr>
        <w:trPr>
          <w:trHeight w:val="168"/>
        </w:trPr>
        <w:tc>
          <w:tcPr>
            <w:tcW w:w="3360" w:type="dxa"/>
            <w:vAlign w:val="bottom"/>
          </w:tcPr>
          <w:p>
            <w:pPr>
              <w:spacing w:after="0"/>
              <w:rPr>
                <w:sz w:val="14"/>
                <w:szCs w:val="14"/>
                <w:color w:val="auto"/>
              </w:rPr>
            </w:pP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issued and outstanding equity interests in CEOH to NFGC contemplated by the Ohio Securities Purchase Agreement</w:t>
            </w:r>
          </w:p>
        </w:tc>
      </w:tr>
      <w:tr>
        <w:trPr>
          <w:trHeight w:val="17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SIGECO</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Southern Indiana Gas and Electric Company, a wholly-owned subsidiary of Vectren</w:t>
            </w:r>
          </w:p>
        </w:tc>
      </w:tr>
      <w:tr>
        <w:trPr>
          <w:trHeight w:val="127"/>
        </w:trPr>
        <w:tc>
          <w:tcPr>
            <w:tcW w:w="33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SIGECO Securitization Bonds</w:t>
            </w:r>
          </w:p>
        </w:tc>
        <w:tc>
          <w:tcPr>
            <w:tcW w:w="7540" w:type="dxa"/>
            <w:vAlign w:val="bottom"/>
          </w:tcPr>
          <w:p>
            <w:pPr>
              <w:ind w:left="600"/>
              <w:spacing w:after="0" w:line="128" w:lineRule="exact"/>
              <w:rPr>
                <w:sz w:val="20"/>
                <w:szCs w:val="20"/>
                <w:color w:val="auto"/>
              </w:rPr>
            </w:pPr>
            <w:r>
              <w:rPr>
                <w:rFonts w:ascii="Times New Roman" w:cs="Times New Roman" w:eastAsia="Times New Roman" w:hAnsi="Times New Roman"/>
                <w:sz w:val="13"/>
                <w:szCs w:val="13"/>
                <w:color w:val="auto"/>
                <w:w w:val="98"/>
              </w:rPr>
              <w:t>SIGECO Securitization Subsidiary’s Series 2023-A Senior Secured Securitization Bonds relating to the securitization of qualified costs</w:t>
            </w:r>
          </w:p>
        </w:tc>
      </w:tr>
      <w:tr>
        <w:trPr>
          <w:trHeight w:val="168"/>
        </w:trPr>
        <w:tc>
          <w:tcPr>
            <w:tcW w:w="3360" w:type="dxa"/>
            <w:vAlign w:val="bottom"/>
          </w:tcPr>
          <w:p>
            <w:pPr>
              <w:spacing w:after="0"/>
              <w:rPr>
                <w:sz w:val="14"/>
                <w:szCs w:val="14"/>
                <w:color w:val="auto"/>
              </w:rPr>
            </w:pP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in connection with the retirement of SIGECO’s A.B. Brown Units 1 and 2 coal-fired generation facilities</w:t>
            </w:r>
          </w:p>
        </w:tc>
      </w:tr>
      <w:tr>
        <w:trPr>
          <w:trHeight w:val="17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SIGECO Securitization Subsidiary</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SIGECO Securitization I, LLC, a direct, wholly-owned subsidiary of SIGECO</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SOAH</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Texas State Office of Administrative Hearings</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SOFR</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Secured Overnight Financing Rate</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SRC</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Sales Reconciliation Component</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TBD</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To be determined</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TCA</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Texas Consumer Association</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TCOS</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Transmission Cost of Service</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TCRF</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Transmission Cost Recovery Factor</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TDSIC</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Transmission, Distribution and Storage System Improvement Charge</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TDU</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Transmission and distribution utility</w:t>
            </w:r>
          </w:p>
        </w:tc>
      </w:tr>
      <w:tr>
        <w:trPr>
          <w:trHeight w:val="128"/>
        </w:trPr>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TEEEF</w:t>
            </w:r>
          </w:p>
        </w:tc>
        <w:tc>
          <w:tcPr>
            <w:tcW w:w="7540" w:type="dxa"/>
            <w:vAlign w:val="bottom"/>
            <w:shd w:val="clear" w:color="auto" w:fill="CCEEFF"/>
          </w:tcPr>
          <w:p>
            <w:pPr>
              <w:ind w:left="600"/>
              <w:spacing w:after="0" w:line="129" w:lineRule="exact"/>
              <w:rPr>
                <w:sz w:val="20"/>
                <w:szCs w:val="20"/>
                <w:color w:val="auto"/>
              </w:rPr>
            </w:pPr>
            <w:r>
              <w:rPr>
                <w:rFonts w:ascii="Times New Roman" w:cs="Times New Roman" w:eastAsia="Times New Roman" w:hAnsi="Times New Roman"/>
                <w:sz w:val="13"/>
                <w:szCs w:val="13"/>
                <w:color w:val="auto"/>
              </w:rPr>
              <w:t>Assets leased or costs incurred as “temporary emergency electric energy facilities” under the Public Utility Regulatory Act Section</w:t>
            </w:r>
          </w:p>
        </w:tc>
      </w:tr>
      <w:tr>
        <w:trPr>
          <w:trHeight w:val="170"/>
        </w:trPr>
        <w:tc>
          <w:tcPr>
            <w:tcW w:w="3360" w:type="dxa"/>
            <w:vAlign w:val="bottom"/>
            <w:shd w:val="clear" w:color="auto" w:fill="CCEEFF"/>
          </w:tcPr>
          <w:p>
            <w:pPr>
              <w:spacing w:after="0"/>
              <w:rPr>
                <w:sz w:val="14"/>
                <w:szCs w:val="14"/>
                <w:color w:val="auto"/>
              </w:rPr>
            </w:pP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39.918, also referred to as temporary generation</w:t>
            </w:r>
          </w:p>
        </w:tc>
      </w:tr>
      <w:tr>
        <w:trPr>
          <w:trHeight w:val="127"/>
        </w:trPr>
        <w:tc>
          <w:tcPr>
            <w:tcW w:w="33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TEEEF Rule</w:t>
            </w:r>
          </w:p>
        </w:tc>
        <w:tc>
          <w:tcPr>
            <w:tcW w:w="7540" w:type="dxa"/>
            <w:vAlign w:val="bottom"/>
          </w:tcPr>
          <w:p>
            <w:pPr>
              <w:ind w:left="600"/>
              <w:spacing w:after="0" w:line="128" w:lineRule="exact"/>
              <w:rPr>
                <w:sz w:val="20"/>
                <w:szCs w:val="20"/>
                <w:color w:val="auto"/>
              </w:rPr>
            </w:pPr>
            <w:r>
              <w:rPr>
                <w:rFonts w:ascii="Times New Roman" w:cs="Times New Roman" w:eastAsia="Times New Roman" w:hAnsi="Times New Roman"/>
                <w:sz w:val="13"/>
                <w:szCs w:val="13"/>
                <w:color w:val="auto"/>
              </w:rPr>
              <w:t>Texas Administrative Code, Title 16, Section 25.56, which became effective January 8, 2025 and refined the scope of TEEEF filings</w:t>
            </w:r>
          </w:p>
        </w:tc>
      </w:tr>
      <w:tr>
        <w:trPr>
          <w:trHeight w:val="168"/>
        </w:trPr>
        <w:tc>
          <w:tcPr>
            <w:tcW w:w="3360" w:type="dxa"/>
            <w:vAlign w:val="bottom"/>
          </w:tcPr>
          <w:p>
            <w:pPr>
              <w:spacing w:after="0"/>
              <w:rPr>
                <w:sz w:val="14"/>
                <w:szCs w:val="14"/>
                <w:color w:val="auto"/>
              </w:rPr>
            </w:pP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that can be made pursuant to Public Utility Regulatory Act Section 39.918</w:t>
            </w:r>
          </w:p>
        </w:tc>
      </w:tr>
      <w:tr>
        <w:trPr>
          <w:trHeight w:val="17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Transition Bond Company IV</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CenterPoint Energy Transition Bond Company IV, LLC, a wholly-owned subsidiary of Houston Electric</w:t>
            </w:r>
          </w:p>
        </w:tc>
      </w:tr>
      <w:tr>
        <w:trPr>
          <w:trHeight w:val="127"/>
        </w:trPr>
        <w:tc>
          <w:tcPr>
            <w:tcW w:w="33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Transition Services Agreement</w:t>
            </w:r>
          </w:p>
        </w:tc>
        <w:tc>
          <w:tcPr>
            <w:tcW w:w="7540" w:type="dxa"/>
            <w:vAlign w:val="bottom"/>
          </w:tcPr>
          <w:p>
            <w:pPr>
              <w:ind w:left="600"/>
              <w:spacing w:after="0" w:line="128" w:lineRule="exact"/>
              <w:rPr>
                <w:sz w:val="20"/>
                <w:szCs w:val="20"/>
                <w:color w:val="auto"/>
              </w:rPr>
            </w:pPr>
            <w:r>
              <w:rPr>
                <w:rFonts w:ascii="Times New Roman" w:cs="Times New Roman" w:eastAsia="Times New Roman" w:hAnsi="Times New Roman"/>
                <w:sz w:val="13"/>
                <w:szCs w:val="13"/>
                <w:color w:val="auto"/>
              </w:rPr>
              <w:t>Transition Services Agreement, dated as of March 31, 2025, by and among CenterPoint Energy Resources Corp., Delta North</w:t>
            </w:r>
          </w:p>
        </w:tc>
      </w:tr>
      <w:tr>
        <w:trPr>
          <w:trHeight w:val="127"/>
        </w:trPr>
        <w:tc>
          <w:tcPr>
            <w:tcW w:w="3360" w:type="dxa"/>
            <w:vAlign w:val="bottom"/>
          </w:tcPr>
          <w:p>
            <w:pPr>
              <w:spacing w:after="0"/>
              <w:rPr>
                <w:sz w:val="11"/>
                <w:szCs w:val="11"/>
                <w:color w:val="auto"/>
              </w:rPr>
            </w:pPr>
          </w:p>
        </w:tc>
        <w:tc>
          <w:tcPr>
            <w:tcW w:w="7540" w:type="dxa"/>
            <w:vAlign w:val="bottom"/>
          </w:tcPr>
          <w:p>
            <w:pPr>
              <w:ind w:left="600"/>
              <w:spacing w:after="0" w:line="128" w:lineRule="exact"/>
              <w:rPr>
                <w:sz w:val="20"/>
                <w:szCs w:val="20"/>
                <w:color w:val="auto"/>
              </w:rPr>
            </w:pPr>
            <w:r>
              <w:rPr>
                <w:rFonts w:ascii="Times New Roman" w:cs="Times New Roman" w:eastAsia="Times New Roman" w:hAnsi="Times New Roman"/>
                <w:sz w:val="13"/>
                <w:szCs w:val="13"/>
                <w:color w:val="auto"/>
                <w:w w:val="99"/>
              </w:rPr>
              <w:t>Louisiana Gas Company, LLC, Delta South Louisiana Gas Company, LLC, Delta Mississippi Gas Company, LLC, and Delta Energy</w:t>
            </w:r>
          </w:p>
        </w:tc>
      </w:tr>
      <w:tr>
        <w:trPr>
          <w:trHeight w:val="168"/>
        </w:trPr>
        <w:tc>
          <w:tcPr>
            <w:tcW w:w="3360" w:type="dxa"/>
            <w:vAlign w:val="bottom"/>
          </w:tcPr>
          <w:p>
            <w:pPr>
              <w:spacing w:after="0"/>
              <w:rPr>
                <w:sz w:val="14"/>
                <w:szCs w:val="14"/>
                <w:color w:val="auto"/>
              </w:rPr>
            </w:pP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Resources, LLC</w:t>
            </w:r>
          </w:p>
        </w:tc>
      </w:tr>
      <w:tr>
        <w:trPr>
          <w:trHeight w:val="17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Utility Holding</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Utility Holding, LLC, a wholly-owned subsidiary of CenterPoint Energy</w:t>
            </w:r>
          </w:p>
        </w:tc>
      </w:tr>
      <w:tr>
        <w:trPr>
          <w:trHeight w:val="127"/>
        </w:trPr>
        <w:tc>
          <w:tcPr>
            <w:tcW w:w="33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Vectren</w:t>
            </w:r>
          </w:p>
        </w:tc>
        <w:tc>
          <w:tcPr>
            <w:tcW w:w="7540" w:type="dxa"/>
            <w:vAlign w:val="bottom"/>
          </w:tcPr>
          <w:p>
            <w:pPr>
              <w:ind w:left="600"/>
              <w:spacing w:after="0" w:line="128" w:lineRule="exact"/>
              <w:rPr>
                <w:sz w:val="20"/>
                <w:szCs w:val="20"/>
                <w:color w:val="auto"/>
              </w:rPr>
            </w:pPr>
            <w:r>
              <w:rPr>
                <w:rFonts w:ascii="Times New Roman" w:cs="Times New Roman" w:eastAsia="Times New Roman" w:hAnsi="Times New Roman"/>
                <w:sz w:val="13"/>
                <w:szCs w:val="13"/>
                <w:color w:val="auto"/>
              </w:rPr>
              <w:t>Vectren, LLC, which converted its corporate structure from Vectren Corporation to a limited liability company on June 30, 2022, a</w:t>
            </w:r>
          </w:p>
        </w:tc>
      </w:tr>
      <w:tr>
        <w:trPr>
          <w:trHeight w:val="168"/>
        </w:trPr>
        <w:tc>
          <w:tcPr>
            <w:tcW w:w="3360" w:type="dxa"/>
            <w:vAlign w:val="bottom"/>
          </w:tcPr>
          <w:p>
            <w:pPr>
              <w:spacing w:after="0"/>
              <w:rPr>
                <w:sz w:val="14"/>
                <w:szCs w:val="14"/>
                <w:color w:val="auto"/>
              </w:rPr>
            </w:pP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wholly-owned subsidiary of CenterPoint Energy as of February 1, 2019</w:t>
            </w:r>
          </w:p>
        </w:tc>
      </w:tr>
      <w:tr>
        <w:trPr>
          <w:trHeight w:val="17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Vectren Energy Services</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Vectren Energy Services Corporation, an Indiana corporation and a wholly-owned subsidiary of CenterPoint Energy</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VIE</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Variable interest entity</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Vistra Energy Corp.</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Texas-based energy company focused on the competitive energy and power generation markets</w:t>
            </w:r>
          </w:p>
        </w:tc>
      </w:tr>
    </w:tbl>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2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61"/>
        </w:trPr>
        <w:tc>
          <w:tcPr>
            <w:tcW w:w="2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VRP</w:t>
            </w:r>
          </w:p>
        </w:tc>
        <w:tc>
          <w:tcPr>
            <w:tcW w:w="2600" w:type="dxa"/>
            <w:vAlign w:val="bottom"/>
          </w:tcPr>
          <w:p>
            <w:pPr>
              <w:spacing w:after="0"/>
              <w:rPr>
                <w:sz w:val="14"/>
                <w:szCs w:val="14"/>
                <w:color w:val="auto"/>
              </w:rPr>
            </w:pP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Voluntary Remediation Program</w:t>
            </w:r>
          </w:p>
        </w:tc>
      </w:tr>
      <w:tr>
        <w:trPr>
          <w:trHeight w:val="171"/>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WBD</w:t>
            </w: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Warner Bros. Discovery, Inc.</w:t>
            </w:r>
          </w:p>
        </w:tc>
      </w:tr>
      <w:tr>
        <w:trPr>
          <w:trHeight w:val="169"/>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WBD Common</w:t>
            </w: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Warner Bros. Discovery, Inc. Series A common stock</w:t>
            </w:r>
          </w:p>
        </w:tc>
      </w:tr>
      <w:tr>
        <w:trPr>
          <w:trHeight w:val="171"/>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ZENS</w:t>
            </w: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2.0% Zero-Premium Exchangeable Subordinated Notes due 2029</w:t>
            </w:r>
          </w:p>
        </w:tc>
      </w:tr>
      <w:tr>
        <w:trPr>
          <w:trHeight w:val="169"/>
        </w:trPr>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ZENS-Related Securities</w:t>
            </w: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As of March 31, 2026 and December 31, 2025, consisted of AT&amp;T Common, Charter Common and WBD Common</w:t>
            </w:r>
          </w:p>
        </w:tc>
      </w:tr>
      <w:tr>
        <w:trPr>
          <w:trHeight w:val="171"/>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2025 Form 10-K</w:t>
            </w: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Annual Report on Form 10-K for the fiscal year ended December 31, 2025 as filed with the SEC on February 19, 2026</w:t>
            </w:r>
          </w:p>
        </w:tc>
      </w:tr>
      <w:tr>
        <w:trPr>
          <w:trHeight w:val="169"/>
        </w:trPr>
        <w:tc>
          <w:tcPr>
            <w:tcW w:w="2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w w:val="99"/>
              </w:rPr>
              <w:t>2026</w:t>
            </w:r>
          </w:p>
        </w:tc>
        <w:tc>
          <w:tcPr>
            <w:tcW w:w="2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Convertible Notes</w:t>
            </w: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CenterPoint Energy’s 4.25% Convertible Senior Notes due 2026</w:t>
            </w:r>
          </w:p>
        </w:tc>
      </w:tr>
      <w:tr>
        <w:trPr>
          <w:trHeight w:val="171"/>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w w:val="99"/>
              </w:rPr>
              <w:t>2029</w:t>
            </w: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Convertible Notes</w:t>
            </w: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CenterPoint Energy’s 2.875% Convertible Senior Notes due 2029</w:t>
            </w:r>
          </w:p>
        </w:tc>
      </w:tr>
      <w:tr>
        <w:trPr>
          <w:trHeight w:val="127"/>
        </w:trPr>
        <w:tc>
          <w:tcPr>
            <w:tcW w:w="28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w w:val="99"/>
              </w:rPr>
              <w:t>2029</w:t>
            </w:r>
          </w:p>
        </w:tc>
        <w:tc>
          <w:tcPr>
            <w:tcW w:w="26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Convertible Notes Indenture</w:t>
            </w:r>
          </w:p>
        </w:tc>
        <w:tc>
          <w:tcPr>
            <w:tcW w:w="8020" w:type="dxa"/>
            <w:vAlign w:val="bottom"/>
          </w:tcPr>
          <w:p>
            <w:pPr>
              <w:ind w:left="1080"/>
              <w:spacing w:after="0" w:line="128" w:lineRule="exact"/>
              <w:rPr>
                <w:sz w:val="20"/>
                <w:szCs w:val="20"/>
                <w:color w:val="auto"/>
              </w:rPr>
            </w:pPr>
            <w:r>
              <w:rPr>
                <w:rFonts w:ascii="Times New Roman" w:cs="Times New Roman" w:eastAsia="Times New Roman" w:hAnsi="Times New Roman"/>
                <w:sz w:val="13"/>
                <w:szCs w:val="13"/>
                <w:color w:val="auto"/>
              </w:rPr>
              <w:t>Indenture, dated as of February 26, 2026, by and between CenterPoint Energy and The Bank of New York Mellon Trust Company,</w:t>
            </w:r>
          </w:p>
        </w:tc>
      </w:tr>
      <w:tr>
        <w:trPr>
          <w:trHeight w:val="165"/>
        </w:trPr>
        <w:tc>
          <w:tcPr>
            <w:tcW w:w="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National Association, as trustee</w:t>
            </w:r>
          </w:p>
        </w:tc>
      </w:tr>
    </w:tbl>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16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combined Form 10-Q, unless context requires otherwise, the terms “our,” “we” and “us” are used as abbreviated references to CenterPoint Energy, Inc. together with its consolidated subsidiaries, including Houston Electric, CERC and SIGECO.</w:t>
      </w:r>
    </w:p>
    <w:p>
      <w:pPr>
        <w:spacing w:after="0" w:line="164"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following are some of the factors that could cause actual results to differ from those expressed or implied by the Registrants’ forward-looking statements and apply to all Registrants unless otherwise indicated:</w:t>
      </w:r>
    </w:p>
    <w:p>
      <w:pPr>
        <w:spacing w:after="0" w:line="145" w:lineRule="exact"/>
        <w:rPr>
          <w:sz w:val="20"/>
          <w:szCs w:val="20"/>
          <w:color w:val="auto"/>
        </w:rPr>
      </w:pPr>
    </w:p>
    <w:p>
      <w:pPr>
        <w:jc w:val="both"/>
        <w:ind w:left="520" w:right="340" w:hanging="260"/>
        <w:spacing w:after="0" w:line="26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announced sale of our Ohio natural gas LDC business, which we cannot assure will have the anticipated benefits to us;</w:t>
      </w:r>
    </w:p>
    <w:p>
      <w:pPr>
        <w:ind w:left="520" w:right="6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industrial, commercial and residential growth in our service territories and changes in market demand and energy consumption, including in relation to the expansion of data centers (associated with, among other things, increasing demand for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as well as obtain the anticipated benefits, including relating to customer affordability, associated with such growth;</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and invest planned capital and the timely recovery of our investments, including the timing of and amounts sought for those related to our 10-year capital plan;</w:t>
      </w:r>
    </w:p>
    <w:p>
      <w:pPr>
        <w:spacing w:after="0" w:line="8" w:lineRule="exact"/>
        <w:rPr>
          <w:rFonts w:ascii="Times New Roman" w:cs="Times New Roman" w:eastAsia="Times New Roman" w:hAnsi="Times New Roman"/>
          <w:sz w:val="14"/>
          <w:szCs w:val="14"/>
          <w:color w:val="auto"/>
        </w:rPr>
      </w:pPr>
    </w:p>
    <w:p>
      <w:pPr>
        <w:ind w:left="520" w:right="38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and complete our planned capital projects and programs, including those within our 10-year capital plan, in a timely and cost-effective manner and within budget, obtain the anticipated benefits of such projects, and manage costs and impacts of such projects on customer affordability;</w:t>
      </w:r>
    </w:p>
    <w:p>
      <w:pPr>
        <w:ind w:left="520" w:right="10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construct, operate, repair, maintain, replace and restart electric generating facilities, natural gas facilities, TEEEF and electric transmission facilities, as applicable, including in the event of an outage and in relation to complying with applicable environmental, reliability and safety standards;</w:t>
      </w:r>
    </w:p>
    <w:p>
      <w:pPr>
        <w:ind w:left="520" w:right="3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rate actions that allow and authorize timely recovery of costs and a reasonable return on investment, including the timing of and amounts sought for recovery of Houston Electric’s applicable TEEEF leases and restoration costs relating to, among other things, Hurricane Beryl, and requested or favorable adjustments to rates and approval of other requested items as part of base rate proceedings or interim rate mechanisms;</w:t>
      </w:r>
    </w:p>
    <w:p>
      <w:pPr>
        <w:ind w:left="520" w:right="4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and our ability to obtain approval for matters relating to, Houston Electric’s release of its large TEEEF units to the San Antonio area, proposed removal of its medium TEEEF units, reduction of its TEEEF fleet capacity and reduction of rates to reflect the removal of the large and medium TEEEF units from Houston Electric’s TEEEF fleet, as well as Houston Electric’s ability to complete one or more other future transactions involving the large and medium TEEEF units on acceptable terms and conditions within the anticipated timeframe;</w:t>
      </w:r>
    </w:p>
    <w:p>
      <w:pPr>
        <w:ind w:left="520" w:right="8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in regional and national markets, including economic uncertainty and volatility, potential for recession, changes to and increases in inflation and interest rates, and their effect on sales, prices and costs;</w:t>
      </w:r>
    </w:p>
    <w:p>
      <w:pPr>
        <w:ind w:left="520" w:right="8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weather events, natural disasters and other climate-related impacts, including the impact of severe weather events on operations, capital, legislation and/or regulations, such as seen in connection with the February 2021 Winter Storm Event, the May 2024 Storm Events and Hurricane Beryl;</w:t>
      </w:r>
    </w:p>
    <w:p>
      <w:pPr>
        <w:ind w:left="520" w:right="10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markets for natural gas as a result of, among other factors, inflation, adverse weather conditions, supply and demand changes, availability of competitively priced alternative energy sources, political and geopolitical instability, commodity production levels and storage capacity, energy and environmental legislation and regulation and economic and financial market conditions;</w:t>
      </w:r>
    </w:p>
    <w:p>
      <w:pPr>
        <w:ind w:left="520" w:right="100" w:hanging="260"/>
        <w:spacing w:after="0" w:line="26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8" w:name="page9"/>
    <w:bookmarkEnd w:id="8"/>
    <w:p>
      <w:pPr>
        <w:ind w:left="260" w:right="140" w:hanging="260"/>
        <w:spacing w:after="0" w:line="26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spacing w:after="0" w:line="7" w:lineRule="exact"/>
        <w:rPr>
          <w:rFonts w:ascii="Times New Roman" w:cs="Times New Roman" w:eastAsia="Times New Roman" w:hAnsi="Times New Roman"/>
          <w:sz w:val="14"/>
          <w:szCs w:val="14"/>
          <w:color w:val="auto"/>
        </w:rPr>
      </w:pPr>
    </w:p>
    <w:p>
      <w:pPr>
        <w:ind w:left="260" w:right="60" w:hanging="260"/>
        <w:spacing w:after="0"/>
        <w:tabs>
          <w:tab w:leader="none" w:pos="235" w:val="left"/>
        </w:tabs>
        <w:numPr>
          <w:ilvl w:val="0"/>
          <w:numId w:val="4"/>
        </w:numPr>
        <w:rPr>
          <w:rFonts w:ascii="Arial" w:cs="Arial" w:eastAsia="Arial" w:hAnsi="Arial"/>
          <w:sz w:val="17"/>
          <w:szCs w:val="17"/>
          <w:color w:val="auto"/>
        </w:rPr>
      </w:pPr>
      <w:r>
        <w:rPr>
          <w:rFonts w:ascii="Times New Roman" w:cs="Times New Roman" w:eastAsia="Times New Roman" w:hAnsi="Times New Roman"/>
          <w:sz w:val="14"/>
          <w:szCs w:val="14"/>
          <w:color w:val="auto"/>
        </w:rPr>
        <w:t>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charged by our regulated businesses;</w:t>
      </w:r>
    </w:p>
    <w:p>
      <w:pPr>
        <w:spacing w:after="0" w:line="2" w:lineRule="exact"/>
        <w:rPr>
          <w:rFonts w:ascii="Arial" w:cs="Arial" w:eastAsia="Arial" w:hAnsi="Arial"/>
          <w:sz w:val="17"/>
          <w:szCs w:val="17"/>
          <w:color w:val="auto"/>
        </w:rPr>
      </w:pPr>
    </w:p>
    <w:p>
      <w:pPr>
        <w:ind w:left="260" w:right="1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CenterPoint Energy from securing the resources and labor needed to, among other things, fully execute on its strategy and 10-year capital plan, and otherwise impact the affordability of our rates for our customers;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and maintenance costs, our ability to control such costs and cost-related impacts on the affordability of our rates for our customers;</w:t>
      </w:r>
    </w:p>
    <w:p>
      <w:pPr>
        <w:spacing w:after="0" w:line="8" w:lineRule="exact"/>
        <w:rPr>
          <w:rFonts w:ascii="Times New Roman" w:cs="Times New Roman" w:eastAsia="Times New Roman" w:hAnsi="Times New Roman"/>
          <w:sz w:val="14"/>
          <w:szCs w:val="14"/>
          <w:color w:val="auto"/>
        </w:rPr>
      </w:pPr>
    </w:p>
    <w:p>
      <w:pPr>
        <w:ind w:left="260" w:right="12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obtain and maintain necessary land rights, licenses, permits, easements and approvals from landowners and local, federal and other regulatory authorities on acceptable terms and resolve disputes or third-party challenges to such licenses, permits or approvals as applicable;</w:t>
      </w:r>
    </w:p>
    <w:p>
      <w:pPr>
        <w:jc w:val="both"/>
        <w:ind w:left="260" w:right="14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w:t>
      </w: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negative opinions of us or our utility services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our ability to successfully execute our capital plan, media coverage and actions by third parties;</w:t>
      </w:r>
    </w:p>
    <w:p>
      <w:pPr>
        <w:ind w:left="260" w:right="24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damages to our network, facilities and systems, including as a result of wildfires, as well as to third-party property resulting in outages or shortages in our service territories, and losses in excess of insurance liability coverage;</w:t>
      </w:r>
    </w:p>
    <w:p>
      <w:pPr>
        <w:ind w:left="260" w:right="30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legislation and guidance and any changes in tax laws under the current or future administrations, including any further changes to or clarification of the IRA or the OBBBA, and any potential changes to tax rates, CAMT imposed, tax credits and/or interest deductibility, as well as uncertainties involving state commissions’ and local municipalities’ regulatory requirements and determinations regarding the treatment of EDIT and our rates;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mitigate weather impacts through normalization or rate mechanisms, and the effectiveness of such mechanisms;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credit rating agencies, including any potential downgrades to credit ratings;</w:t>
      </w:r>
    </w:p>
    <w:p>
      <w:pPr>
        <w:spacing w:after="0" w:line="8" w:lineRule="exact"/>
        <w:rPr>
          <w:rFonts w:ascii="Times New Roman" w:cs="Times New Roman" w:eastAsia="Times New Roman" w:hAnsi="Times New Roman"/>
          <w:sz w:val="14"/>
          <w:szCs w:val="14"/>
          <w:color w:val="auto"/>
        </w:rPr>
      </w:pPr>
    </w:p>
    <w:p>
      <w:pPr>
        <w:jc w:val="both"/>
        <w:ind w:left="260" w:right="8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state and federal legislative, executive and regulatory actions or developments relating to the environment, including, among others, those related to global climate risk, air emissions, GHG emissions, carbon emissions, wastewater discharges and the handling and disposal of CCR that could impact operations, cost recovery of generation plant costs and related assets, and CenterPoint Energy’s energy transition goals;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unplanned facility outages or other closures;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insurance coverage, including availability, cost, coverage and terms and ability to recover claims;</w:t>
      </w:r>
    </w:p>
    <w:p>
      <w:pPr>
        <w:spacing w:after="0" w:line="8" w:lineRule="exact"/>
        <w:rPr>
          <w:rFonts w:ascii="Times New Roman" w:cs="Times New Roman" w:eastAsia="Times New Roman" w:hAnsi="Times New Roman"/>
          <w:sz w:val="14"/>
          <w:szCs w:val="14"/>
          <w:color w:val="auto"/>
        </w:rPr>
      </w:pPr>
    </w:p>
    <w:p>
      <w:pPr>
        <w:ind w:left="260" w:right="42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CenterPoint Energy’s pension and postretirement benefit plans, such as the investment performance and increases to net periodic costs as a result of plan settlements and changes in assumptions, including discount rates;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their impact on costs of borrowing and the valuation of CenterPoint Energy’s pension benefit obligation;</w:t>
      </w:r>
    </w:p>
    <w:p>
      <w:pPr>
        <w:spacing w:after="0" w:line="8" w:lineRule="exact"/>
        <w:rPr>
          <w:rFonts w:ascii="Times New Roman" w:cs="Times New Roman" w:eastAsia="Times New Roman" w:hAnsi="Times New Roman"/>
          <w:sz w:val="14"/>
          <w:szCs w:val="14"/>
          <w:color w:val="auto"/>
        </w:rPr>
      </w:pPr>
    </w:p>
    <w:p>
      <w:pPr>
        <w:ind w:left="260" w:righ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various counterparties to meet their obligations to us;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effectiveness of our risk management activities;</w:t>
      </w:r>
    </w:p>
    <w:p>
      <w:pPr>
        <w:spacing w:after="0" w:line="33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560" w:top="634" w:right="339" w:bottom="1440" w:gutter="0" w:footer="0" w:header="0"/>
        </w:sectPr>
      </w:pPr>
    </w:p>
    <w:bookmarkStart w:id="9" w:name="page10"/>
    <w:bookmarkEnd w:id="9"/>
    <w:p>
      <w:pPr>
        <w:ind w:left="520" w:right="320" w:hanging="260"/>
        <w:spacing w:after="0" w:line="26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regulatory actions, which include actions allowing requested securitization for any hurricanes or other severe weather events, such as Hurricane Beryl, or natural disasters or other amounts sought for recovery of costs, including stranded coal-fired generation asset costs;</w:t>
      </w:r>
    </w:p>
    <w:p>
      <w:pPr>
        <w:ind w:left="520" w:right="50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effectively transition, motivate and retain an appropriately qualified workforce, identify and develop top talent to succeed management and maintain good labor relations;</w:t>
      </w:r>
    </w:p>
    <w:p>
      <w:pPr>
        <w:ind w:left="520" w:right="6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technology, including with respect to efficient battery storage or the emergence or growth of new, developing or alternative sources of generation, and their adoption by consumers, and our ability to anticipate, adapt to and implement technological changes;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in AI and our success in timely adopting, developing and deploying AI;</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any audits, disputes and other proceedings related to taxes;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recording of impairment charges;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developments and actions, including energy and environmental policies under the current administration;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ability to execute on its strategy, initiatives, targets and goals, including energy transition goals and operations and maintenance expenditure goals;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changes in and application of accounting standards and pronouncements; and</w:t>
      </w:r>
    </w:p>
    <w:p>
      <w:pPr>
        <w:spacing w:after="0" w:line="8" w:lineRule="exact"/>
        <w:rPr>
          <w:rFonts w:ascii="Times New Roman" w:cs="Times New Roman" w:eastAsia="Times New Roman" w:hAnsi="Times New Roman"/>
          <w:sz w:val="14"/>
          <w:szCs w:val="14"/>
          <w:color w:val="auto"/>
        </w:rPr>
      </w:pPr>
    </w:p>
    <w:p>
      <w:pPr>
        <w:ind w:left="520" w:right="280" w:hanging="260"/>
        <w:spacing w:after="0" w:line="26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in “Risk Factors” in Part I, Item 1A of the Registrants’ combined 2025 Form 10-K, which are incorporated herein by reference, Part II, Item 1A of this combined Form 10-Q, and in other reports that the Registrants file from time to time with the SEC.</w:t>
      </w:r>
    </w:p>
    <w:p>
      <w:pPr>
        <w:spacing w:after="0" w:line="15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You should not place undue reliance on forward-looking statements. Each forward-looking statement speaks only as of the date of the particular statement and, other than as required under applicable securities laws,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 Energy’s website (http://www.centerpointenergy.com)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3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0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5360" w:type="dxa"/>
            <w:vAlign w:val="bottom"/>
            <w:gridSpan w:val="2"/>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3400" w:type="dxa"/>
            <w:vAlign w:val="bottom"/>
          </w:tcPr>
          <w:p>
            <w:pPr>
              <w:spacing w:after="0"/>
              <w:rPr>
                <w:sz w:val="14"/>
                <w:szCs w:val="14"/>
                <w:color w:val="auto"/>
              </w:rPr>
            </w:pPr>
          </w:p>
        </w:tc>
        <w:tc>
          <w:tcPr>
            <w:tcW w:w="5360" w:type="dxa"/>
            <w:vAlign w:val="bottom"/>
            <w:gridSpan w:val="2"/>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INCOME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6"/>
        </w:trPr>
        <w:tc>
          <w:tcPr>
            <w:tcW w:w="3400" w:type="dxa"/>
            <w:vAlign w:val="bottom"/>
          </w:tcPr>
          <w:p>
            <w:pPr>
              <w:spacing w:after="0"/>
              <w:rPr>
                <w:sz w:val="16"/>
                <w:szCs w:val="16"/>
                <w:color w:val="auto"/>
              </w:rPr>
            </w:pPr>
          </w:p>
        </w:tc>
        <w:tc>
          <w:tcPr>
            <w:tcW w:w="5360" w:type="dxa"/>
            <w:vAlign w:val="bottom"/>
            <w:gridSpan w:val="2"/>
          </w:tcPr>
          <w:p>
            <w:pPr>
              <w:jc w:val="right"/>
              <w:ind w:right="26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80"/>
        </w:trPr>
        <w:tc>
          <w:tcPr>
            <w:tcW w:w="34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r>
      <w:tr>
        <w:trPr>
          <w:trHeight w:val="161"/>
        </w:trPr>
        <w:tc>
          <w:tcPr>
            <w:tcW w:w="34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r>
      <w:tr>
        <w:trPr>
          <w:trHeight w:val="159"/>
        </w:trPr>
        <w:tc>
          <w:tcPr>
            <w:tcW w:w="34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240" w:type="dxa"/>
            <w:vAlign w:val="bottom"/>
            <w:gridSpan w:val="4"/>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560" w:type="dxa"/>
            <w:vAlign w:val="bottom"/>
          </w:tcPr>
          <w:p>
            <w:pPr>
              <w:spacing w:after="0"/>
              <w:rPr>
                <w:sz w:val="13"/>
                <w:szCs w:val="13"/>
                <w:color w:val="auto"/>
              </w:rPr>
            </w:pPr>
          </w:p>
        </w:tc>
      </w:tr>
      <w:tr>
        <w:trPr>
          <w:trHeight w:val="170"/>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2"/>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revenues</w:t>
            </w:r>
          </w:p>
        </w:tc>
        <w:tc>
          <w:tcPr>
            <w:tcW w:w="5360" w:type="dxa"/>
            <w:vAlign w:val="bottom"/>
            <w:gridSpan w:val="2"/>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2,960</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2,906</w:t>
            </w:r>
          </w:p>
        </w:tc>
      </w:tr>
      <w:tr>
        <w:trPr>
          <w:trHeight w:val="168"/>
        </w:trPr>
        <w:tc>
          <w:tcPr>
            <w:tcW w:w="3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Non-utility revenues</w:t>
            </w:r>
          </w:p>
        </w:tc>
        <w:tc>
          <w:tcPr>
            <w:tcW w:w="40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3"/>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40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w:t>
            </w:r>
          </w:p>
        </w:tc>
      </w:tr>
      <w:tr>
        <w:trPr>
          <w:trHeight w:val="149"/>
        </w:trPr>
        <w:tc>
          <w:tcPr>
            <w:tcW w:w="3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4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1"/>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40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r>
      <w:tr>
        <w:trPr>
          <w:trHeight w:val="168"/>
        </w:trPr>
        <w:tc>
          <w:tcPr>
            <w:tcW w:w="3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40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r>
      <w:tr>
        <w:trPr>
          <w:trHeight w:val="168"/>
        </w:trPr>
        <w:tc>
          <w:tcPr>
            <w:tcW w:w="3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r>
      <w:tr>
        <w:trPr>
          <w:trHeight w:val="172"/>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40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58"/>
        </w:trPr>
        <w:tc>
          <w:tcPr>
            <w:tcW w:w="3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40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2,317</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2,271</w:t>
            </w:r>
          </w:p>
        </w:tc>
      </w:tr>
      <w:tr>
        <w:trPr>
          <w:trHeight w:val="16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40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w:t>
            </w:r>
          </w:p>
        </w:tc>
      </w:tr>
      <w:tr>
        <w:trPr>
          <w:trHeight w:val="149"/>
        </w:trPr>
        <w:tc>
          <w:tcPr>
            <w:tcW w:w="3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4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1"/>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sale</w:t>
            </w:r>
          </w:p>
        </w:tc>
        <w:tc>
          <w:tcPr>
            <w:tcW w:w="40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8"/>
        </w:trPr>
        <w:tc>
          <w:tcPr>
            <w:tcW w:w="3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equity securities</w:t>
            </w:r>
          </w:p>
        </w:tc>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72"/>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indexed debt securities</w:t>
            </w:r>
          </w:p>
        </w:tc>
        <w:tc>
          <w:tcPr>
            <w:tcW w:w="40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68"/>
        </w:trPr>
        <w:tc>
          <w:tcPr>
            <w:tcW w:w="3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72"/>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40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3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40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3"/>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40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r>
      <w:tr>
        <w:trPr>
          <w:trHeight w:val="158"/>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4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r>
      <w:tr>
        <w:trPr>
          <w:trHeight w:val="172"/>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40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60"/>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4080" w:type="dxa"/>
            <w:vAlign w:val="bottom"/>
          </w:tcPr>
          <w:p>
            <w:pPr>
              <w:spacing w:after="0"/>
              <w:rPr>
                <w:sz w:val="13"/>
                <w:szCs w:val="13"/>
                <w:color w:val="auto"/>
              </w:rPr>
            </w:pPr>
          </w:p>
        </w:tc>
        <w:tc>
          <w:tcPr>
            <w:tcW w:w="128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tcPr>
          <w:p>
            <w:pPr>
              <w:spacing w:after="0"/>
              <w:rPr>
                <w:sz w:val="13"/>
                <w:szCs w:val="13"/>
                <w:color w:val="auto"/>
              </w:rPr>
            </w:pPr>
          </w:p>
        </w:tc>
        <w:tc>
          <w:tcPr>
            <w:tcW w:w="1300" w:type="dxa"/>
            <w:vAlign w:val="bottom"/>
            <w:tcBorders>
              <w:bottom w:val="single" w:sz="8" w:color="auto"/>
            </w:tcBorders>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31"/>
        </w:trPr>
        <w:tc>
          <w:tcPr>
            <w:tcW w:w="3400" w:type="dxa"/>
            <w:vAlign w:val="bottom"/>
            <w:shd w:val="clear" w:color="auto" w:fill="CCEEFF"/>
          </w:tcPr>
          <w:p>
            <w:pPr>
              <w:spacing w:after="0"/>
              <w:rPr>
                <w:sz w:val="11"/>
                <w:szCs w:val="11"/>
                <w:color w:val="auto"/>
              </w:rPr>
            </w:pPr>
          </w:p>
        </w:tc>
        <w:tc>
          <w:tcPr>
            <w:tcW w:w="40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70"/>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Per Common Share</w:t>
            </w:r>
          </w:p>
        </w:tc>
        <w:tc>
          <w:tcPr>
            <w:tcW w:w="5360" w:type="dxa"/>
            <w:vAlign w:val="bottom"/>
            <w:gridSpan w:val="2"/>
          </w:tcPr>
          <w:p>
            <w:pPr>
              <w:jc w:val="right"/>
              <w:ind w:right="1136"/>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0.48</w:t>
            </w:r>
          </w:p>
        </w:tc>
        <w:tc>
          <w:tcPr>
            <w:tcW w:w="80" w:type="dxa"/>
            <w:vAlign w:val="bottom"/>
          </w:tcPr>
          <w:p>
            <w:pPr>
              <w:spacing w:after="0"/>
              <w:rPr>
                <w:sz w:val="14"/>
                <w:szCs w:val="14"/>
                <w:color w:val="auto"/>
              </w:rPr>
            </w:pPr>
          </w:p>
        </w:tc>
        <w:tc>
          <w:tcPr>
            <w:tcW w:w="1300" w:type="dxa"/>
            <w:vAlign w:val="bottom"/>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0.45</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Per Common Share</w:t>
            </w:r>
          </w:p>
        </w:tc>
        <w:tc>
          <w:tcPr>
            <w:tcW w:w="40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0.48</w:t>
            </w: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0.45</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340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7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Basic</w:t>
            </w:r>
          </w:p>
        </w:tc>
        <w:tc>
          <w:tcPr>
            <w:tcW w:w="40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r>
      <w:tr>
        <w:trPr>
          <w:trHeight w:val="167"/>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Diluted</w:t>
            </w:r>
          </w:p>
        </w:tc>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r>
    </w:tbl>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0"/>
        </w:trPr>
        <w:tc>
          <w:tcPr>
            <w:tcW w:w="74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 ($54 and $34 related to VIEs, respectively)</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Investment in equity securities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Accounts receivable ($14 and $6 related to VIEs, respectively), less allowance for credit losses of $29 and $25, respectively</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unbilled revenues ($10 and $4 related to VIEs, respectively), less allowance for credit losses of $1 and $2, respectively</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Materials and supplies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Natural gas and coal inventory</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Taxes receivable</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2,669</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Regulatory assets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r>
      <w:tr>
        <w:trPr>
          <w:trHeight w:val="168"/>
        </w:trPr>
        <w:tc>
          <w:tcPr>
            <w:tcW w:w="7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Prepaid expenses and other current assets ($12 and $6 related to VIEs, respectively)</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5,701</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1"/>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45,201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44,676</w:t>
            </w:r>
          </w:p>
        </w:tc>
      </w:tr>
      <w:tr>
        <w:trPr>
          <w:trHeight w:val="168"/>
        </w:trPr>
        <w:tc>
          <w:tcPr>
            <w:tcW w:w="7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10,620</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34,262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34,056</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Assets:</w:t>
            </w: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1"/>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Goodwill</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Regulatory assets ($1,848 and $683 related to VIEs, respectively)</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r>
      <w:tr>
        <w:trPr>
          <w:trHeight w:val="158"/>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other assets</w:t>
            </w: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7,388</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6,777</w:t>
            </w:r>
          </w:p>
        </w:tc>
      </w:tr>
      <w:tr>
        <w:trPr>
          <w:trHeight w:val="188"/>
        </w:trPr>
        <w:tc>
          <w:tcPr>
            <w:tcW w:w="7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0" w:type="dxa"/>
            <w:vAlign w:val="bottom"/>
            <w:tcBorders>
              <w:bottom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47,837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46,534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3400" w:type="dxa"/>
            <w:vAlign w:val="bottom"/>
            <w:gridSpan w:val="4"/>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(in millions, except par value and shares)</w:t>
            </w:r>
          </w:p>
        </w:tc>
        <w:tc>
          <w:tcPr>
            <w:tcW w:w="4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Short-term borrowings</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portion of VIE Securitization Bonds long-term debt</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portion of other long-term debt</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2,115</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1,873</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Indexed debt securities derivative</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Taxes accrued ($4 and $4 related to VIEs, respectively)</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accrued ($21 and $7 related to VIEs, respectively)</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Dividends accrued</w:t>
            </w:r>
          </w:p>
        </w:tc>
        <w:tc>
          <w:tcPr>
            <w:tcW w:w="14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Customer deposits ($3 and $2 related to VIEs, respectively)</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current liabilities ($15 and $15 related to VIEs, respectively)</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r>
      <w:tr>
        <w:trPr>
          <w:trHeight w:val="158"/>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5,312</w:t>
            </w:r>
          </w:p>
        </w:tc>
        <w:tc>
          <w:tcPr>
            <w:tcW w:w="8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6,260</w:t>
            </w:r>
          </w:p>
        </w:tc>
      </w:tr>
      <w:tr>
        <w:trPr>
          <w:trHeight w:val="16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income taxes, net ($4 and $6 related to VIEs, respectively)</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4,692</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4,602</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Benefit obligations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Regulatory liabilities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2,650</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2,692</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w:t>
            </w:r>
          </w:p>
        </w:tc>
      </w:tr>
      <w:tr>
        <w:trPr>
          <w:trHeight w:val="158"/>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other liabilities</w:t>
            </w: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8,600</w:t>
            </w:r>
          </w:p>
        </w:tc>
        <w:tc>
          <w:tcPr>
            <w:tcW w:w="8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8,555</w:t>
            </w:r>
          </w:p>
        </w:tc>
      </w:tr>
      <w:tr>
        <w:trPr>
          <w:trHeight w:val="16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VIE Securitization Bonds, net</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long-term debt, net</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20,679</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19,902</w:t>
            </w:r>
          </w:p>
        </w:tc>
      </w:tr>
      <w:tr>
        <w:trPr>
          <w:trHeight w:val="158"/>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long-term debt, net</w:t>
            </w: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22,476</w:t>
            </w:r>
          </w:p>
        </w:tc>
        <w:tc>
          <w:tcPr>
            <w:tcW w:w="8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20,566</w:t>
            </w:r>
          </w:p>
        </w:tc>
      </w:tr>
      <w:tr>
        <w:trPr>
          <w:trHeight w:val="15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11)</w:t>
            </w: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169"/>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1"/>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 $0.01 par value, 1,000,000,000 shares authorized, 654,163,245 shares and 652,869,575 shares outstanding, respectively</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9,110</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9,130</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2,359</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14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11,449</w:t>
            </w:r>
          </w:p>
        </w:tc>
        <w:tc>
          <w:tcPr>
            <w:tcW w:w="8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11,153</w:t>
            </w:r>
          </w:p>
        </w:tc>
      </w:tr>
      <w:tr>
        <w:trPr>
          <w:trHeight w:val="163"/>
        </w:trPr>
        <w:tc>
          <w:tcPr>
            <w:tcW w:w="748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140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47,837</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46,534</w:t>
            </w:r>
          </w:p>
        </w:tc>
      </w:tr>
      <w:tr>
        <w:trPr>
          <w:trHeight w:val="20"/>
        </w:trPr>
        <w:tc>
          <w:tcPr>
            <w:tcW w:w="74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7320" w:type="dxa"/>
            <w:vAlign w:val="bottom"/>
          </w:tcPr>
          <w:p>
            <w:pPr>
              <w:spacing w:after="0"/>
              <w:rPr>
                <w:sz w:val="14"/>
                <w:szCs w:val="14"/>
                <w:color w:val="auto"/>
              </w:rPr>
            </w:pPr>
          </w:p>
        </w:tc>
        <w:tc>
          <w:tcPr>
            <w:tcW w:w="3160" w:type="dxa"/>
            <w:vAlign w:val="bottom"/>
            <w:tcBorders>
              <w:bottom w:val="single" w:sz="8" w:color="auto"/>
            </w:tcBorders>
            <w:gridSpan w:val="4"/>
          </w:tcPr>
          <w:p>
            <w:pPr>
              <w:jc w:val="center"/>
              <w:ind w:left="523"/>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580" w:type="dxa"/>
            <w:vAlign w:val="bottom"/>
            <w:tcBorders>
              <w:bottom w:val="single" w:sz="8" w:color="auto"/>
            </w:tcBorders>
          </w:tcPr>
          <w:p>
            <w:pPr>
              <w:spacing w:after="0"/>
              <w:rPr>
                <w:sz w:val="14"/>
                <w:szCs w:val="14"/>
                <w:color w:val="auto"/>
              </w:rPr>
            </w:pPr>
          </w:p>
        </w:tc>
      </w:tr>
      <w:tr>
        <w:trPr>
          <w:trHeight w:val="161"/>
        </w:trPr>
        <w:tc>
          <w:tcPr>
            <w:tcW w:w="7320" w:type="dxa"/>
            <w:vAlign w:val="bottom"/>
          </w:tcPr>
          <w:p>
            <w:pPr>
              <w:spacing w:after="0"/>
              <w:rPr>
                <w:sz w:val="14"/>
                <w:szCs w:val="14"/>
                <w:color w:val="auto"/>
              </w:rPr>
            </w:pPr>
          </w:p>
        </w:tc>
        <w:tc>
          <w:tcPr>
            <w:tcW w:w="12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r>
      <w:tr>
        <w:trPr>
          <w:trHeight w:val="159"/>
        </w:trPr>
        <w:tc>
          <w:tcPr>
            <w:tcW w:w="7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40" w:type="dxa"/>
            <w:vAlign w:val="bottom"/>
            <w:gridSpan w:val="3"/>
          </w:tcPr>
          <w:p>
            <w:pPr>
              <w:jc w:val="center"/>
              <w:ind w:right="575"/>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580" w:type="dxa"/>
            <w:vAlign w:val="bottom"/>
          </w:tcPr>
          <w:p>
            <w:pPr>
              <w:spacing w:after="0"/>
              <w:rPr>
                <w:sz w:val="13"/>
                <w:szCs w:val="13"/>
                <w:color w:val="auto"/>
              </w:rPr>
            </w:pPr>
          </w:p>
        </w:tc>
      </w:tr>
      <w:tr>
        <w:trPr>
          <w:trHeight w:val="170"/>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3"/>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122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68"/>
        </w:trPr>
        <w:tc>
          <w:tcPr>
            <w:tcW w:w="7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r>
      <w:tr>
        <w:trPr>
          <w:trHeight w:val="16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on sale</w:t>
            </w:r>
          </w:p>
        </w:tc>
        <w:tc>
          <w:tcPr>
            <w:tcW w:w="1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Gain on equity securities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7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on indexed debt securities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6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Pension and postretirement contributions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7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8"/>
        </w:trPr>
        <w:tc>
          <w:tcPr>
            <w:tcW w:w="7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r>
      <w:tr>
        <w:trPr>
          <w:trHeight w:val="172"/>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Inventory</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68"/>
        </w:trPr>
        <w:tc>
          <w:tcPr>
            <w:tcW w:w="7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Accounts payable</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r>
      <w:tr>
        <w:trPr>
          <w:trHeight w:val="172"/>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Other current assets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r>
      <w:tr>
        <w:trPr>
          <w:trHeight w:val="168"/>
        </w:trPr>
        <w:tc>
          <w:tcPr>
            <w:tcW w:w="7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172"/>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Other non-current assets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68"/>
        </w:trPr>
        <w:tc>
          <w:tcPr>
            <w:tcW w:w="7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1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73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w:t>
            </w:r>
          </w:p>
        </w:tc>
      </w:tr>
      <w:tr>
        <w:trPr>
          <w:trHeight w:val="15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Capital expenditures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Payment for asset acquisition</w:t>
            </w:r>
          </w:p>
        </w:tc>
        <w:tc>
          <w:tcPr>
            <w:tcW w:w="1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divestitures</w:t>
            </w:r>
          </w:p>
        </w:tc>
        <w:tc>
          <w:tcPr>
            <w:tcW w:w="12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8"/>
        </w:trPr>
        <w:tc>
          <w:tcPr>
            <w:tcW w:w="73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5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Decrease in short-term borrowings, net</w:t>
            </w:r>
          </w:p>
        </w:tc>
        <w:tc>
          <w:tcPr>
            <w:tcW w:w="12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Proceeds from (payments of) commercial paper, net</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long-term debt and term loans, net</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3,441</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Payments of long-term debt and term loans, including make-whole premiums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Payment of dividends on Common Stock</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68"/>
        </w:trPr>
        <w:tc>
          <w:tcPr>
            <w:tcW w:w="73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1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3"/>
        </w:trPr>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w:t>
            </w: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1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r>
      <w:tr>
        <w:trPr>
          <w:trHeight w:val="16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1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2"/>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220" w:type="dxa"/>
            <w:vAlign w:val="bottom"/>
            <w:tcBorders>
              <w:bottom w:val="single" w:sz="8" w:color="auto"/>
            </w:tcBorders>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00" w:type="dxa"/>
            <w:vAlign w:val="bottom"/>
          </w:tcPr>
          <w:p>
            <w:pPr>
              <w:spacing w:after="0"/>
              <w:rPr>
                <w:sz w:val="14"/>
                <w:szCs w:val="14"/>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1,259</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31"/>
        </w:trPr>
        <w:tc>
          <w:tcPr>
            <w:tcW w:w="7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69"/>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interest, net of capitalized interest</w:t>
            </w:r>
          </w:p>
        </w:tc>
        <w:tc>
          <w:tcPr>
            <w:tcW w:w="122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r>
      <w:tr>
        <w:trPr>
          <w:trHeight w:val="168"/>
        </w:trPr>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Refunds received for income taxes, net</w:t>
            </w:r>
          </w:p>
        </w:tc>
        <w:tc>
          <w:tcPr>
            <w:tcW w:w="12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7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9"/>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Transactions</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related to capital expenditures</w:t>
            </w:r>
          </w:p>
        </w:tc>
        <w:tc>
          <w:tcPr>
            <w:tcW w:w="122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w:t>
            </w:r>
          </w:p>
        </w:tc>
      </w:tr>
      <w:tr>
        <w:trPr>
          <w:trHeight w:val="165"/>
        </w:trPr>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ROU assets obtained in exchange for lease liabilities</w:t>
            </w:r>
          </w:p>
        </w:tc>
        <w:tc>
          <w:tcPr>
            <w:tcW w:w="12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bl>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1"/>
        </w:trPr>
        <w:tc>
          <w:tcPr>
            <w:tcW w:w="7520" w:type="dxa"/>
            <w:vAlign w:val="bottom"/>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Borders>
              <w:bottom w:val="single" w:sz="8" w:color="auto"/>
            </w:tcBorders>
          </w:tcPr>
          <w:p>
            <w:pPr>
              <w:spacing w:after="0"/>
              <w:rPr>
                <w:sz w:val="14"/>
                <w:szCs w:val="14"/>
                <w:color w:val="auto"/>
              </w:rPr>
            </w:pPr>
          </w:p>
        </w:tc>
      </w:tr>
      <w:tr>
        <w:trPr>
          <w:trHeight w:val="160"/>
        </w:trPr>
        <w:tc>
          <w:tcPr>
            <w:tcW w:w="7520" w:type="dxa"/>
            <w:vAlign w:val="bottom"/>
          </w:tcPr>
          <w:p>
            <w:pPr>
              <w:spacing w:after="0"/>
              <w:rPr>
                <w:sz w:val="13"/>
                <w:szCs w:val="13"/>
                <w:color w:val="auto"/>
              </w:rPr>
            </w:pPr>
          </w:p>
        </w:tc>
        <w:tc>
          <w:tcPr>
            <w:tcW w:w="9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19"/>
        </w:trPr>
        <w:tc>
          <w:tcPr>
            <w:tcW w:w="7520" w:type="dxa"/>
            <w:vAlign w:val="bottom"/>
          </w:tcPr>
          <w:p>
            <w:pPr>
              <w:spacing w:after="0"/>
              <w:rPr>
                <w:sz w:val="10"/>
                <w:szCs w:val="10"/>
                <w:color w:val="auto"/>
              </w:rPr>
            </w:pPr>
          </w:p>
        </w:tc>
        <w:tc>
          <w:tcPr>
            <w:tcW w:w="3760" w:type="dxa"/>
            <w:vAlign w:val="bottom"/>
            <w:gridSpan w:val="10"/>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7"/>
              </w:rPr>
              <w:t>(in millions of dollars and shares, except authorized shares and par</w:t>
            </w:r>
          </w:p>
        </w:tc>
      </w:tr>
      <w:tr>
        <w:trPr>
          <w:trHeight w:val="169"/>
        </w:trPr>
        <w:tc>
          <w:tcPr>
            <w:tcW w:w="7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left="476"/>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 $0.01 par value; authorized 1,000,000,000 shares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r>
      <w:tr>
        <w:trPr>
          <w:trHeight w:val="168"/>
        </w:trPr>
        <w:tc>
          <w:tcPr>
            <w:tcW w:w="7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Issuances related to benefit and investment plans</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9,097</w:t>
            </w:r>
          </w:p>
        </w:tc>
      </w:tr>
      <w:tr>
        <w:trPr>
          <w:trHeight w:val="15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w:t>
            </w:r>
          </w:p>
        </w:tc>
      </w:tr>
      <w:tr>
        <w:trPr>
          <w:trHeight w:val="168"/>
        </w:trPr>
        <w:tc>
          <w:tcPr>
            <w:tcW w:w="7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w:t>
            </w:r>
          </w:p>
        </w:tc>
      </w:tr>
      <w:tr>
        <w:trPr>
          <w:trHeight w:val="15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88"/>
        </w:trPr>
        <w:tc>
          <w:tcPr>
            <w:tcW w:w="7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3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80" w:type="dxa"/>
            <w:vAlign w:val="bottom"/>
            <w:gridSpan w:val="3"/>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3"/>
                <w:szCs w:val="13"/>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300" w:type="dxa"/>
            <w:vAlign w:val="bottom"/>
            <w:tcBorders>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w:t>
            </w:r>
          </w:p>
        </w:tc>
      </w:t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w:t>
            </w:r>
          </w:p>
        </w:tc>
      </w:tr>
      <w:tr>
        <w:trPr>
          <w:trHeight w:val="16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6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8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300" w:type="dxa"/>
            <w:vAlign w:val="bottom"/>
            <w:tcBorders>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Cash and cash equivalents ($39 and $25 related to VIEs, respectively)</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Accounts and notes receivable, net ($13 and $5 related to VIEs, respectively), less allowance for credit losses of $2 and $2, respectively</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Accrued unbilled revenues ($8 and $3 related to VIEs, respectively)</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Accounts and notes receivable–affiliated companies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Materials and supplies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4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Prepaid expenses and other current assets ($11 and $4 related to VIEs, respectively)</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current assets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24,090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23,947</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4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4,944</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Regulatory assets ($1,551 and $384 related to VIEs, respectively)</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4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other assets</w:t>
            </w:r>
          </w:p>
        </w:tc>
        <w:tc>
          <w:tcPr>
            <w:tcW w:w="14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22,987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 AND MEMBER’S EQUITY</w:t>
            </w: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460" w:type="dxa"/>
            <w:vAlign w:val="bottom"/>
            <w:vMerge w:val="continue"/>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Short-term borrowings</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portion of VIE Securitization Bonds long-term debt</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portion of other long-term debt</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and notes payable–affiliated companies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Taxes accrued</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accrued ($15 and $5 related to VIEs, respectively)</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current liabilities ($18 and $17 related to VIEs, respectively)</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Benefit obligations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Regulatory liabilities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other liabilities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VIE Securitization Bonds, net</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long-term debt, net</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8,883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long-term debt, net</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(Note 11)</w:t>
            </w:r>
          </w:p>
        </w:tc>
        <w:tc>
          <w:tcPr>
            <w:tcW w:w="1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4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3"/>
                <w:szCs w:val="13"/>
                <w:color w:val="auto"/>
              </w:rPr>
              <w:t>Total member’s equity</w:t>
            </w: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7,611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7,532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74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400" w:type="dxa"/>
            <w:vAlign w:val="bottom"/>
            <w:tcBorders>
              <w:bottom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324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12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4"/>
                <w:szCs w:val="14"/>
                <w:color w:val="auto"/>
              </w:rPr>
            </w:pPr>
          </w:p>
        </w:tc>
      </w:tr>
      <w:tr>
        <w:trPr>
          <w:trHeight w:val="159"/>
        </w:trPr>
        <w:tc>
          <w:tcPr>
            <w:tcW w:w="7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980" w:type="dxa"/>
            <w:vAlign w:val="bottom"/>
            <w:gridSpan w:val="3"/>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60" w:type="dxa"/>
            <w:vAlign w:val="bottom"/>
          </w:tcPr>
          <w:p>
            <w:pPr>
              <w:spacing w:after="0"/>
              <w:rPr>
                <w:sz w:val="13"/>
                <w:szCs w:val="13"/>
                <w:color w:val="auto"/>
              </w:rPr>
            </w:pPr>
          </w:p>
        </w:tc>
      </w:tr>
      <w:tr>
        <w:trPr>
          <w:trHeight w:val="170"/>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r>
      <w:tr>
        <w:trPr>
          <w:trHeight w:val="168"/>
        </w:trPr>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receivable/payable–affiliated companies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current assets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non-current assets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(Increase) decrease in notes receivable–affiliated companies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r>
      <w:tr>
        <w:trPr>
          <w:trHeight w:val="18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58"/>
        </w:trPr>
        <w:tc>
          <w:tcPr>
            <w:tcW w:w="74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w:t>
            </w:r>
          </w:p>
        </w:tc>
      </w:tr>
      <w:tr>
        <w:trPr>
          <w:trHeight w:val="16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8"/>
        </w:trPr>
        <w:tc>
          <w:tcPr>
            <w:tcW w:w="7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long-term debt and term loan, net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Payments of long-term debt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Decrease in notes payable–affiliated companies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7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Dividend to parent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74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w:t>
            </w:r>
          </w:p>
        </w:tc>
      </w:tr>
      <w:tr>
        <w:trPr>
          <w:trHeight w:val="16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9"/>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87"/>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7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8"/>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 net of capitalized interest</w:t>
            </w:r>
          </w:p>
        </w:tc>
        <w:tc>
          <w:tcPr>
            <w:tcW w:w="1260" w:type="dxa"/>
            <w:vAlign w:val="bottom"/>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4"/>
                <w:szCs w:val="14"/>
                <w:color w:val="auto"/>
              </w:rPr>
            </w:pPr>
          </w:p>
        </w:tc>
        <w:tc>
          <w:tcPr>
            <w:tcW w:w="1300" w:type="dxa"/>
            <w:vAlign w:val="bottom"/>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72"/>
        </w:trPr>
        <w:tc>
          <w:tcPr>
            <w:tcW w:w="74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9"/>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Transactions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related to capital expenditures</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1"/>
        </w:trPr>
        <w:tc>
          <w:tcPr>
            <w:tcW w:w="75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74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Pr>
          <w:p>
            <w:pPr>
              <w:spacing w:after="0"/>
              <w:rPr>
                <w:sz w:val="14"/>
                <w:szCs w:val="14"/>
                <w:color w:val="auto"/>
              </w:rPr>
            </w:pPr>
          </w:p>
        </w:tc>
      </w:tr>
      <w:tr>
        <w:trPr>
          <w:trHeight w:val="160"/>
        </w:trPr>
        <w:tc>
          <w:tcPr>
            <w:tcW w:w="75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7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4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 millions, except share amounts)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0"/>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5,589</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5,589</w:t>
            </w:r>
          </w:p>
        </w:tc>
      </w:tr>
      <w:tr>
        <w:trPr>
          <w:trHeight w:val="15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1,571</w:t>
            </w:r>
          </w:p>
        </w:tc>
      </w:tr>
      <w:tr>
        <w:trPr>
          <w:trHeight w:val="168"/>
        </w:trPr>
        <w:tc>
          <w:tcPr>
            <w:tcW w:w="7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72"/>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 to parent</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5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1,565</w:t>
            </w:r>
          </w:p>
        </w:tc>
      </w:tr>
      <w:tr>
        <w:trPr>
          <w:trHeight w:val="15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0"/>
        </w:trPr>
        <w:tc>
          <w:tcPr>
            <w:tcW w:w="75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Member’s Equity</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7,611</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7,153</w:t>
            </w:r>
          </w:p>
        </w:tc>
      </w:tr>
      <w:tr>
        <w:trPr>
          <w:trHeight w:val="20"/>
        </w:trPr>
        <w:tc>
          <w:tcPr>
            <w:tcW w:w="7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322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12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r>
      <w:tr>
        <w:trPr>
          <w:trHeight w:val="159"/>
        </w:trPr>
        <w:tc>
          <w:tcPr>
            <w:tcW w:w="7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40" w:type="dxa"/>
            <w:vAlign w:val="bottom"/>
            <w:gridSpan w:val="3"/>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80" w:type="dxa"/>
            <w:vAlign w:val="bottom"/>
          </w:tcPr>
          <w:p>
            <w:pPr>
              <w:spacing w:after="0"/>
              <w:rPr>
                <w:sz w:val="13"/>
                <w:szCs w:val="13"/>
                <w:color w:val="auto"/>
              </w:rPr>
            </w:pPr>
          </w:p>
        </w:tc>
      </w:tr>
      <w:tr>
        <w:trPr>
          <w:trHeight w:val="170"/>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Utility revenues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w:t>
            </w:r>
          </w:p>
        </w:tc>
      </w:tr>
      <w:tr>
        <w:trPr>
          <w:trHeight w:val="168"/>
        </w:trPr>
        <w:tc>
          <w:tcPr>
            <w:tcW w:w="7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Non-utility revenues</w:t>
            </w: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3"/>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w:t>
            </w:r>
          </w:p>
        </w:tc>
      </w:tr>
      <w:tr>
        <w:trPr>
          <w:trHeight w:val="15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2"/>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Utility natural gas</w:t>
            </w: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w:t>
            </w:r>
          </w:p>
        </w:tc>
      </w:tr>
      <w:tr>
        <w:trPr>
          <w:trHeight w:val="168"/>
        </w:trPr>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r>
      <w:tr>
        <w:trPr>
          <w:trHeight w:val="168"/>
        </w:trPr>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172"/>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58"/>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1,381</w:t>
            </w:r>
          </w:p>
        </w:tc>
      </w:tr>
      <w:tr>
        <w:trPr>
          <w:trHeight w:val="16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r>
      <w:tr>
        <w:trPr>
          <w:trHeight w:val="15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3"/>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sale</w:t>
            </w:r>
          </w:p>
        </w:tc>
        <w:tc>
          <w:tcPr>
            <w:tcW w:w="12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8"/>
        </w:trPr>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2"/>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income, net</w:t>
            </w: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r>
      <w:tr>
        <w:trPr>
          <w:trHeight w:val="168"/>
        </w:trPr>
        <w:tc>
          <w:tcPr>
            <w:tcW w:w="7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Income tax expense</w:t>
            </w: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88"/>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0"/>
        </w:trPr>
        <w:tc>
          <w:tcPr>
            <w:tcW w:w="74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r>
              <w:rPr>
                <w:rFonts w:ascii="Times New Roman" w:cs="Times New Roman" w:eastAsia="Times New Roman" w:hAnsi="Times New Roman"/>
                <w:sz w:val="13"/>
                <w:szCs w:val="13"/>
                <w:color w:val="auto"/>
              </w:rPr>
              <w:t>:</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less allowance for credit losses of $24 and $19, respectively</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unbilled revenues, less allowance for credit losses of $1 and $2, respectively</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receivable–affiliated companies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Materials and supplies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Natural gas inventory</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2,495</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Regulatory assets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3,569</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3,760</w:t>
            </w:r>
          </w:p>
        </w:tc>
      </w:tr>
      <w:tr>
        <w:trPr>
          <w:trHeight w:val="15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14,540</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3,820</w:t>
            </w: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10,939</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10,720</w:t>
            </w:r>
          </w:p>
        </w:tc>
      </w:tr>
      <w:tr>
        <w:trPr>
          <w:trHeight w:val="16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assets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0"/>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14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1,766</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w:t>
            </w:r>
          </w:p>
        </w:tc>
      </w:tr>
      <w:tr>
        <w:trPr>
          <w:trHeight w:val="163"/>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16,274</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16,264</w:t>
            </w:r>
          </w:p>
        </w:tc>
      </w:tr>
      <w:tr>
        <w:trPr>
          <w:trHeight w:val="20"/>
        </w:trPr>
        <w:tc>
          <w:tcPr>
            <w:tcW w:w="74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0"/>
        </w:trPr>
        <w:tc>
          <w:tcPr>
            <w:tcW w:w="74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and notes payable–affiliated companies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Taxes accrued</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accrued</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Customer deposits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w:t>
            </w: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Benefit obligations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liabilities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w:t>
            </w: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liabilities</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w:t>
            </w:r>
          </w:p>
        </w:tc>
      </w:tr>
      <w:tr>
        <w:trPr>
          <w:trHeight w:val="15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1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4,657</w:t>
            </w:r>
          </w:p>
        </w:tc>
      </w:tr>
      <w:tr>
        <w:trPr>
          <w:trHeight w:val="15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11)</w:t>
            </w:r>
          </w:p>
        </w:tc>
        <w:tc>
          <w:tcPr>
            <w:tcW w:w="1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69"/>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1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14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1,641</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4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6,175</w:t>
            </w:r>
          </w:p>
        </w:tc>
      </w:tr>
      <w:tr>
        <w:trPr>
          <w:trHeight w:val="163"/>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40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16,274</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16,264</w:t>
            </w:r>
          </w:p>
        </w:tc>
      </w:tr>
      <w:tr>
        <w:trPr>
          <w:trHeight w:val="20"/>
        </w:trPr>
        <w:tc>
          <w:tcPr>
            <w:tcW w:w="74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3200" w:type="dxa"/>
            <w:vAlign w:val="bottom"/>
            <w:tcBorders>
              <w:bottom w:val="single" w:sz="8" w:color="auto"/>
            </w:tcBorders>
            <w:gridSpan w:val="4"/>
          </w:tcPr>
          <w:p>
            <w:pPr>
              <w:jc w:val="center"/>
              <w:ind w:left="516"/>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60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13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r>
      <w:tr>
        <w:trPr>
          <w:trHeight w:val="159"/>
        </w:trPr>
        <w:tc>
          <w:tcPr>
            <w:tcW w:w="7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00" w:type="dxa"/>
            <w:vAlign w:val="bottom"/>
            <w:gridSpan w:val="3"/>
          </w:tcPr>
          <w:p>
            <w:pPr>
              <w:jc w:val="center"/>
              <w:ind w:right="655"/>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600" w:type="dxa"/>
            <w:vAlign w:val="bottom"/>
          </w:tcPr>
          <w:p>
            <w:pPr>
              <w:spacing w:after="0"/>
              <w:rPr>
                <w:sz w:val="13"/>
                <w:szCs w:val="13"/>
                <w:color w:val="auto"/>
              </w:rPr>
            </w:pPr>
          </w:p>
        </w:tc>
      </w:tr>
      <w:tr>
        <w:trPr>
          <w:trHeight w:val="170"/>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168"/>
        </w:trPr>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Gain on sale</w:t>
            </w:r>
          </w:p>
        </w:tc>
        <w:tc>
          <w:tcPr>
            <w:tcW w:w="13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8"/>
        </w:trPr>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Pension and postretirement contributions</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receivable/payable–affiliated companies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current assets</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non-current assets</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8"/>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r>
      <w:tr>
        <w:trPr>
          <w:trHeight w:val="15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Increase in notes receivable–affiliated companies</w:t>
            </w:r>
          </w:p>
        </w:tc>
        <w:tc>
          <w:tcPr>
            <w:tcW w:w="13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divestiture</w:t>
            </w:r>
          </w:p>
        </w:tc>
        <w:tc>
          <w:tcPr>
            <w:tcW w:w="13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w:t>
            </w:r>
          </w:p>
        </w:tc>
      </w:tr>
      <w:tr>
        <w:trPr>
          <w:trHeight w:val="168"/>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3"/>
        </w:trPr>
        <w:tc>
          <w:tcPr>
            <w:tcW w:w="7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r>
      <w:tr>
        <w:trPr>
          <w:trHeight w:val="15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Decrease in short-term borrowings, net</w:t>
            </w:r>
          </w:p>
        </w:tc>
        <w:tc>
          <w:tcPr>
            <w:tcW w:w="13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commercial paper, net</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long-term debt and term loan, net</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long-term debt and term loan</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in notes payable-affiliated companies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to parent</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74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r>
      <w:tr>
        <w:trPr>
          <w:trHeight w:val="17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9"/>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13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7"/>
        </w:trPr>
        <w:tc>
          <w:tcPr>
            <w:tcW w:w="7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300" w:type="dxa"/>
            <w:vAlign w:val="bottom"/>
            <w:tcBorders>
              <w:top w:val="single" w:sz="8" w:color="auto"/>
              <w:bottom w:val="single" w:sz="8" w:color="auto"/>
            </w:tcBorders>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7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8"/>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 net of capitalized interest</w:t>
            </w:r>
          </w:p>
        </w:tc>
        <w:tc>
          <w:tcPr>
            <w:tcW w:w="1300" w:type="dxa"/>
            <w:vAlign w:val="bottom"/>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tcPr>
          <w:p>
            <w:pPr>
              <w:spacing w:after="0"/>
              <w:rPr>
                <w:sz w:val="14"/>
                <w:szCs w:val="1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72"/>
        </w:trPr>
        <w:tc>
          <w:tcPr>
            <w:tcW w:w="74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9"/>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Transactions</w:t>
            </w: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1"/>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related to capital expenditures</w:t>
            </w: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1"/>
        </w:trPr>
        <w:tc>
          <w:tcPr>
            <w:tcW w:w="75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74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Pr>
          <w:p>
            <w:pPr>
              <w:spacing w:after="0"/>
              <w:rPr>
                <w:sz w:val="14"/>
                <w:szCs w:val="14"/>
                <w:color w:val="auto"/>
              </w:rPr>
            </w:pPr>
          </w:p>
        </w:tc>
      </w:tr>
      <w:tr>
        <w:trPr>
          <w:trHeight w:val="160"/>
        </w:trPr>
        <w:tc>
          <w:tcPr>
            <w:tcW w:w="75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7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4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 millions, except share amounts)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0"/>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4,519</w:t>
            </w:r>
          </w:p>
        </w:tc>
      </w:tr>
      <w:tr>
        <w:trPr>
          <w:trHeight w:val="15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w:t>
            </w:r>
          </w:p>
        </w:tc>
      </w:tr>
      <w:tr>
        <w:trPr>
          <w:trHeight w:val="168"/>
        </w:trPr>
        <w:tc>
          <w:tcPr>
            <w:tcW w:w="7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r>
      <w:tr>
        <w:trPr>
          <w:trHeight w:val="172"/>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 to parent</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5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1,869</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1,940</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 Comprehensive Income</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0"/>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6,403</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6,476</w:t>
            </w:r>
          </w:p>
        </w:tc>
      </w:tr>
      <w:tr>
        <w:trPr>
          <w:trHeight w:val="20"/>
        </w:trPr>
        <w:tc>
          <w:tcPr>
            <w:tcW w:w="7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COMBINED NOTES TO INTERIM CONDENSED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Background and Basis of Presentation</w:t>
      </w:r>
    </w:p>
    <w:p>
      <w:pPr>
        <w:spacing w:after="0" w:line="200"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This combined Form 10-Q is filed separately by three registrants: CenterPoint Energy, Inc., CenterPoint Energy Houston Electric, LLC and CenterPoint Energy Resources Corp.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contained herein relating to any individual Registrant is filed by such Registrant solely on its own behalf. No Registrant makes any representation as to information relating exclusively to the other Registrants or the subsidiaries of CenterPoint Energy, Inc. other than itself or its subsidiaries.</w:t>
      </w:r>
    </w:p>
    <w:p>
      <w:pPr>
        <w:spacing w:after="0" w:line="15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Except as discussed in Note 9,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43"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Basis of Presentation. </w:t>
      </w:r>
      <w:r>
        <w:rPr>
          <w:rFonts w:ascii="Times New Roman" w:cs="Times New Roman" w:eastAsia="Times New Roman" w:hAnsi="Times New Roman"/>
          <w:sz w:val="14"/>
          <w:szCs w:val="14"/>
          <w:color w:val="auto"/>
        </w:rPr>
        <w:t>Included in this combined Form 10-Q are the Interim Condensed Financial Statements of the Registrants. The Interim Condensed Financial Statements, which omit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statement disclosures, are unaudited and should be read with the Registrants’ financial statements included in the Registrants’ combined 2025 Form 10-K. The Combined Notes to the Interim Condensed Financial Statements apply to all Registrants and specific references to Houston Electric and CERC herein also pertain to CenterPoint Energy, unless otherwise indicated. Additionally, certain amounts from prior years have been reclassified to conform to the current presentation. The Interim Condensed Financial Statements reflect all normal and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and the impact of tariffs, (c) timing of maintenance and other expenditures and (d) acquisitions and dispositions of businesses, assets and other interests.</w:t>
      </w:r>
    </w:p>
    <w:p>
      <w:pPr>
        <w:spacing w:after="0" w:line="163" w:lineRule="exact"/>
        <w:rPr>
          <w:sz w:val="20"/>
          <w:szCs w:val="20"/>
          <w:color w:val="auto"/>
        </w:rPr>
      </w:pPr>
    </w:p>
    <w:p>
      <w:pPr>
        <w:ind w:right="4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Background</w:t>
      </w:r>
      <w:r>
        <w:rPr>
          <w:rFonts w:ascii="Times New Roman" w:cs="Times New Roman" w:eastAsia="Times New Roman" w:hAnsi="Times New Roman"/>
          <w:sz w:val="14"/>
          <w:szCs w:val="14"/>
          <w:color w:val="auto"/>
        </w:rPr>
        <w:t>. CenterPoint Energy is a public utility holding company. CenterPoint Energy’s operating subsidiaries own and operate electric transmission, distribution and generation facilities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natural gas distribution systems.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31, 2026, CenterPoint Energy’s indirect, wholly-owned operating subsidiaries included:</w:t>
      </w:r>
    </w:p>
    <w:p>
      <w:pPr>
        <w:spacing w:after="0" w:line="200" w:lineRule="exact"/>
        <w:rPr>
          <w:sz w:val="20"/>
          <w:szCs w:val="20"/>
          <w:color w:val="auto"/>
        </w:rPr>
      </w:pPr>
    </w:p>
    <w:p>
      <w:pPr>
        <w:ind w:left="520" w:right="2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 which provides electric transmission service to transmission service customers in the ERCOT region and distribution service to REPs serving the Texas Gulf Coast area that includes the city of Houston;</w:t>
      </w:r>
    </w:p>
    <w:p>
      <w:pPr>
        <w:spacing w:after="0" w:line="145" w:lineRule="exact"/>
        <w:rPr>
          <w:rFonts w:ascii="Times New Roman" w:cs="Times New Roman" w:eastAsia="Times New Roman" w:hAnsi="Times New Roman"/>
          <w:sz w:val="14"/>
          <w:szCs w:val="14"/>
          <w:color w:val="auto"/>
        </w:rPr>
      </w:pPr>
    </w:p>
    <w:p>
      <w:pPr>
        <w:ind w:left="520" w:right="220" w:hanging="260"/>
        <w:spacing w:after="0" w:line="27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 Corp., which (i) directly owns and operates natural gas distribution systems in Minnesota and Texas, (ii) indirectly, through Indiana Gas and CEOH, owns and operates natural gas distribution systems in Indiana and Ohio, respectively, and (iii) owns and operates permanent pipeline connections through interconnects with various interstate and intrastate pipeline companies through CEIP; and</w:t>
      </w:r>
    </w:p>
    <w:p>
      <w:pPr>
        <w:spacing w:after="0" w:line="156"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SIGECO, which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31, 2026, CenterPoint Energy’s reportable segments were Electric, Natural Gas, and Corporate and Other. Houston Electric and CERC each consist of a single reportable segment.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description of CenterPoint Energy’s reportable segments, see Note 13.</w:t>
      </w:r>
    </w:p>
    <w:p>
      <w:pPr>
        <w:spacing w:after="0" w:line="171" w:lineRule="exact"/>
        <w:rPr>
          <w:sz w:val="20"/>
          <w:szCs w:val="20"/>
          <w:color w:val="auto"/>
        </w:rPr>
      </w:pPr>
    </w:p>
    <w:p>
      <w:pPr>
        <w:ind w:right="240" w:firstLine="255"/>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Principles of Consolidation. </w:t>
      </w:r>
      <w:r>
        <w:rPr>
          <w:rFonts w:ascii="Times New Roman" w:cs="Times New Roman" w:eastAsia="Times New Roman" w:hAnsi="Times New Roman"/>
          <w:sz w:val="14"/>
          <w:szCs w:val="14"/>
          <w:color w:val="auto"/>
        </w:rPr>
        <w:t>The accompanying Interim Condensed Financial Statements are prepared in conformity with GAAP. The accounts of the Registrants and their wholly-owned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majority-owned and controlled subsidiaries are included in the Interim Condensed Financial Statements. All intercompany transactions and balances are eliminated in consolidation; however, intercompany profits have not been eliminated when such amounts are probable of recovery under the affiliates’ rate regulation process.</w:t>
      </w:r>
    </w:p>
    <w:p>
      <w:pPr>
        <w:spacing w:after="0" w:line="157"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As of March 31, 2026, CenterPoint Energy, Houston Electric and SIGECO had VIEs including Transition Bond Company IV, Restoration Bond Company II, Restoration Bond Company III and the SIGECO Securitization Subsidiary, which are consolidated. The consolidated VIEs are wholly-owned, bankruptcy-remote, special purpose entities that were formed solely for</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4"/>
          <w:szCs w:val="14"/>
          <w:color w:val="auto"/>
        </w:rPr>
        <w:t>the purpose of securitizing transition property or system restoration property or facilitating the securitization financing of qualified costs. CenterPoint Energy, through SIGECO, has a controlling financial interest in the SIGECO Securitization Subsidiary and is its primary beneficiary. Houston Electric has a controlling financial interest in each of the Bond Companies and is the primary beneficiary of each of the Bond Companies. Creditors of CenterPoint Energy, Houston Electric and SIGECO have no recourse to any assets or revenues of the Bond Companies or the SIGECO Securitization Subsidiary, as applicable. The Securitization Bonds issued by these VIEs are payable only from and secured by transition property, system restoration property or securitization property, as applicable, and the bondholders have no recourse to the general credit of CenterPoint Energy, Houston Electric or SIGECO. For further information, see Note 6.</w:t>
      </w:r>
    </w:p>
    <w:p>
      <w:pPr>
        <w:spacing w:after="0" w:line="164"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color w:val="auto"/>
        </w:rPr>
        <w:t>The preparation of the Registrants’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Accounting Policies and Recent Accounting Pronouncements</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There have been no material changes in our significant accounting policies from those described in our combined 2025 Form 10-K.</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 and Restricted Cash</w:t>
      </w:r>
    </w:p>
    <w:p>
      <w:pPr>
        <w:spacing w:after="0" w:line="202" w:lineRule="exact"/>
        <w:rPr>
          <w:sz w:val="20"/>
          <w:szCs w:val="20"/>
          <w:color w:val="auto"/>
        </w:rPr>
      </w:pPr>
    </w:p>
    <w:p>
      <w:pPr>
        <w:ind w:right="620" w:firstLine="255"/>
        <w:spacing w:after="0" w:line="287" w:lineRule="auto"/>
        <w:rPr>
          <w:sz w:val="20"/>
          <w:szCs w:val="20"/>
          <w:color w:val="auto"/>
        </w:rPr>
      </w:pPr>
      <w:r>
        <w:rPr>
          <w:rFonts w:ascii="Times New Roman" w:cs="Times New Roman" w:eastAsia="Times New Roman" w:hAnsi="Times New Roman"/>
          <w:sz w:val="14"/>
          <w:szCs w:val="14"/>
          <w:color w:val="auto"/>
        </w:rPr>
        <w:t>The table below provides a reconciliation of cash, cash equivalents and restricted cash reported in the Condensed Consolidated Balance Sheets to the amount reported in the Condensed Statements of Consolidated Cash Flows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60" w:type="dxa"/>
            <w:vAlign w:val="bottom"/>
          </w:tcPr>
          <w:p>
            <w:pPr>
              <w:spacing w:after="0"/>
              <w:rPr>
                <w:sz w:val="10"/>
                <w:szCs w:val="10"/>
                <w:color w:val="auto"/>
              </w:rPr>
            </w:pPr>
          </w:p>
        </w:tc>
        <w:tc>
          <w:tcPr>
            <w:tcW w:w="1260" w:type="dxa"/>
            <w:vAlign w:val="bottom"/>
            <w:gridSpan w:val="3"/>
          </w:tcPr>
          <w:p>
            <w:pPr>
              <w:ind w:left="40"/>
              <w:spacing w:after="0" w:line="120"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8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40" w:type="dxa"/>
            <w:vAlign w:val="bottom"/>
          </w:tcPr>
          <w:p>
            <w:pPr>
              <w:spacing w:after="0"/>
              <w:rPr>
                <w:sz w:val="10"/>
                <w:szCs w:val="10"/>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CERC</w:t>
            </w:r>
          </w:p>
        </w:tc>
        <w:tc>
          <w:tcPr>
            <w:tcW w:w="92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CenterPoint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20" w:type="dxa"/>
            <w:vAlign w:val="bottom"/>
          </w:tcPr>
          <w:p>
            <w:pPr>
              <w:spacing w:after="0"/>
              <w:rPr>
                <w:sz w:val="10"/>
                <w:szCs w:val="10"/>
                <w:color w:val="auto"/>
              </w:rPr>
            </w:pPr>
          </w:p>
        </w:tc>
        <w:tc>
          <w:tcPr>
            <w:tcW w:w="9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9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gridSpan w:val="3"/>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(1)</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38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 included in Prepaid expenses and other current assets (2)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9"/>
        </w:trPr>
        <w:tc>
          <w:tcPr>
            <w:tcW w:w="4060" w:type="dxa"/>
            <w:vAlign w:val="bottom"/>
            <w:tcBorders>
              <w:top w:val="single" w:sz="8" w:color="CCEEFF"/>
            </w:tcBorders>
            <w:shd w:val="clear" w:color="auto" w:fill="CCEEFF"/>
          </w:tcPr>
          <w:p>
            <w:pPr>
              <w:ind w:left="20"/>
              <w:spacing w:after="0" w:line="110" w:lineRule="exact"/>
              <w:rPr>
                <w:sz w:val="20"/>
                <w:szCs w:val="20"/>
                <w:color w:val="auto"/>
              </w:rPr>
            </w:pPr>
            <w:r>
              <w:rPr>
                <w:rFonts w:ascii="Times New Roman" w:cs="Times New Roman" w:eastAsia="Times New Roman" w:hAnsi="Times New Roman"/>
                <w:sz w:val="12"/>
                <w:szCs w:val="12"/>
                <w:color w:val="auto"/>
              </w:rPr>
              <w:t>Total cash, cash equivalents and restricted cash shown in Condensed</w:t>
            </w:r>
          </w:p>
        </w:tc>
        <w:tc>
          <w:tcPr>
            <w:tcW w:w="300" w:type="dxa"/>
            <w:vAlign w:val="bottom"/>
            <w:tcBorders>
              <w:top w:val="single" w:sz="8" w:color="auto"/>
            </w:tcBorders>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vMerge w:val="restart"/>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49</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Statements of Consolidated Cash Flows</w:t>
            </w:r>
          </w:p>
        </w:tc>
        <w:tc>
          <w:tcPr>
            <w:tcW w:w="30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20" w:right="380" w:hanging="260"/>
        <w:spacing w:after="0" w:line="263" w:lineRule="auto"/>
        <w:tabs>
          <w:tab w:leader="none" w:pos="51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related to VIEs as of March 31, 2026 and December 31, 2025 included $54 million and $34 million, respectively, at CenterPoint Energy and $39 million and $25 million, respectively, at Houston Electric.</w:t>
      </w:r>
    </w:p>
    <w:p>
      <w:pPr>
        <w:ind w:left="520" w:right="560" w:hanging="260"/>
        <w:spacing w:after="0" w:line="253" w:lineRule="auto"/>
        <w:tabs>
          <w:tab w:leader="none" w:pos="51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primarily related to accounts established by CenterPoint Energy and Houston Electric in connection with the issuance of the Securitization Bonds to collateralize the Securitization Bonds that were issued in these financing transactions. These restricted cash accounts are not available for withdrawal until the maturity of the Securitization Bonds.</w:t>
      </w:r>
    </w:p>
    <w:p>
      <w:pPr>
        <w:ind w:left="520" w:right="340" w:hanging="260"/>
        <w:spacing w:after="0" w:line="266" w:lineRule="auto"/>
        <w:tabs>
          <w:tab w:leader="none" w:pos="51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at CenterPoint Energy as of March 31, 2026 primarily related to the proceeds from the issuance of the Restoration Bond Company III Securitization Bonds in February 2026 at Houston Electric and additional financing transactions as described in Note 9.</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02"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In September 2025, the FASB issued ASU 2025-06, Intangibles—Goodwill and Other—Internal-Use Software (Subtopic 350-40): Targeted Improvements to the Accounting for Internal-Use Software (“ASU 2025-06”). This ASU modernizes the accounting for software costs to adapt to an incremental and iterative software development method. ASU 2025-06 is effective for annual periods beginning after December 15, 2027, and may be applied using a prospective, modified prospective or retrospective transition approach. The Registrants are currently evaluating the impact of this ASU on their respective consolidated financial statements.</w:t>
      </w:r>
    </w:p>
    <w:p>
      <w:pPr>
        <w:spacing w:after="0" w:line="162"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 (Topic 220): Expense Disaggregation Disclosures (“ASU 2024-03”). This ASU improves disclosure of a public business entity’s expense by requiring disaggregated disclosure of expenses in commonly presented expense captions. ASU 2024-03 is effective for annual periods beginning after December 15, 2026, and for interim periods beginning after December 15, 2027. Early adoption is permitted. The Registrants are currently evaluating the impact of this ASU on their respective consolidated financial statements.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Management believes that all other recently adopted and recently issued accounting standards that are not yet effective will not have a material impact on the Registrants’ financial position, results of operations or cash flows upon adoption.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Held for Sale, Divestitures and Acquisition (CenterPoint Energy and CERC)</w:t>
      </w:r>
    </w:p>
    <w:p>
      <w:pPr>
        <w:spacing w:after="0" w:line="200"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Held for Sale. </w:t>
      </w:r>
      <w:r>
        <w:rPr>
          <w:rFonts w:ascii="Times New Roman" w:cs="Times New Roman" w:eastAsia="Times New Roman" w:hAnsi="Times New Roman"/>
          <w:sz w:val="14"/>
          <w:szCs w:val="14"/>
          <w:color w:val="auto"/>
        </w:rPr>
        <w:t>On October 20, 2025, CERC Corp. entered into the Ohio Securities Purchase Agreement to sell all of the issued and outstanding equity interests in CEOH to NFGC. The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price is $2.62 billion, which is comprised of the following: (i) $1.42 billion in cash payable to CERC Corp. upon closing of the transaction, subject to adjustments as set forth in the Ohio Securities Purchase Agreement, including adjustments based on net working capital, regulatory assets and liabilities and capital expenditures at closing of the transaction; and (ii) a 364-day seller promissory note, in the original principal amount of $1.2 billion, to be issued by NFGC at the closing of the transaction and payable to CERC Corp. as provided by the terms and conditions of the Seller Note Agreement. The transaction is expected to close in the fourth quarter of 2026, subject to the satisfaction of customary closing conditions, including (i) the expiration or termination of the applicable waiting period under the Hart-Scott-Rodino Antitrust Improvements Act of 1976, as amended; (ii) completion of a notice filing and review with the PUCO; and (iii) customary conditions regarding the accuracy of the representations and warranties and compliance by the parties with their respective obligations under the Ohio Securities Purchase Agreement. The transaction is not subject to a financing condition and will not close prior to October 1, 2026 without the consent of CERC Corp. As of March 31, 2026, the assets included approximately 6,000 miles of transmission and distribution pipeline in Ohio serving approximately 337,000 metered customers. The Ohio natural gas LDC business is reflected in CenterPoint Energy’s Natural Gas reportable segment and CERC’s single reportable segment. A filing was made on January 9, 2026, notifying the PUCO of the execution of the Ohio Securities Purchase Agreement.</w:t>
      </w:r>
    </w:p>
    <w:p>
      <w:pPr>
        <w:spacing w:after="0" w:line="167"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In October 2025, certain assets and liabilities representing the Ohio natural gas LDC business met the held for sale criteria. The assets and liabilities of the Ohio natural gas LDC business classified as held for sale in CenterPoint Energy’s and CERC’s Condensed Consolidated Balance Sheets, as applicable, included the following for the periods presented: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1"/>
        </w:trPr>
        <w:tc>
          <w:tcPr>
            <w:tcW w:w="7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1420" w:type="dxa"/>
            <w:vAlign w:val="bottom"/>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unbilled revenues</w:t>
            </w:r>
          </w:p>
        </w:tc>
        <w:tc>
          <w:tcPr>
            <w:tcW w:w="1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Materials and supplies</w:t>
            </w:r>
          </w:p>
        </w:tc>
        <w:tc>
          <w:tcPr>
            <w:tcW w:w="14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4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Regulatory assets</w:t>
            </w:r>
          </w:p>
        </w:tc>
        <w:tc>
          <w:tcPr>
            <w:tcW w:w="1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88"/>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 held for sale</w:t>
            </w:r>
          </w:p>
        </w:tc>
        <w:tc>
          <w:tcPr>
            <w:tcW w:w="142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2,669</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1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1420" w:type="dxa"/>
            <w:vAlign w:val="bottom"/>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accrued</w:t>
            </w:r>
          </w:p>
        </w:tc>
        <w:tc>
          <w:tcPr>
            <w:tcW w:w="1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deposits</w:t>
            </w:r>
          </w:p>
        </w:tc>
        <w:tc>
          <w:tcPr>
            <w:tcW w:w="14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Regulatory liabilities</w:t>
            </w:r>
          </w:p>
        </w:tc>
        <w:tc>
          <w:tcPr>
            <w:tcW w:w="14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88"/>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 held for sale</w:t>
            </w:r>
          </w:p>
        </w:tc>
        <w:tc>
          <w:tcPr>
            <w:tcW w:w="142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1"/>
        </w:trPr>
        <w:tc>
          <w:tcPr>
            <w:tcW w:w="7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1420" w:type="dxa"/>
            <w:vAlign w:val="bottom"/>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unbilled revenues</w:t>
            </w:r>
          </w:p>
        </w:tc>
        <w:tc>
          <w:tcPr>
            <w:tcW w:w="1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Materials and supplies</w:t>
            </w:r>
          </w:p>
        </w:tc>
        <w:tc>
          <w:tcPr>
            <w:tcW w:w="14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4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Regulatory assets</w:t>
            </w:r>
          </w:p>
        </w:tc>
        <w:tc>
          <w:tcPr>
            <w:tcW w:w="1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88"/>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 held for sale</w:t>
            </w:r>
          </w:p>
        </w:tc>
        <w:tc>
          <w:tcPr>
            <w:tcW w:w="142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1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1420" w:type="dxa"/>
            <w:vAlign w:val="bottom"/>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accrued</w:t>
            </w:r>
          </w:p>
        </w:tc>
        <w:tc>
          <w:tcPr>
            <w:tcW w:w="1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deposits</w:t>
            </w:r>
          </w:p>
        </w:tc>
        <w:tc>
          <w:tcPr>
            <w:tcW w:w="14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Regulatory liabilities</w:t>
            </w:r>
          </w:p>
        </w:tc>
        <w:tc>
          <w:tcPr>
            <w:tcW w:w="14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88"/>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 held for sale</w:t>
            </w:r>
          </w:p>
        </w:tc>
        <w:tc>
          <w:tcPr>
            <w:tcW w:w="142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Although the Ohio natural gas LDC business meets the held for sale criteria, its announced disposal does not represent a strategic shift for CenterPoint Energy and CERC as both will retain significant operations in, and will continue to invest in, their natural gas businesses. Therefore, the assets and liabilities, as well as the related income and expenses, associated with this transaction were not reflected as discontinued operations on CenterPoint Energy’s and CERC’s Condensed Consolidated Balance Sheets and Condensed Statements of Consolidated Income, as applicable. Since the depreciation on the assets of the Ohio natural gas LDC business will continue to be reflected in revenues through customer rates until the expected closing of the transaction and will be reflected in the carryover basis of the rate-regulated assets once sold, CenterPoint Energy and CERC will continue to record depreciation on those assets through the expected closing of the transaction.</w:t>
      </w:r>
    </w:p>
    <w:p>
      <w:pPr>
        <w:spacing w:after="0" w:line="164"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pre-tax income for the Ohio natural gas LDC business, excluding corporate allocations, included in CenterPoint Energy’s and CERC’s Condensed Statements of Consolidated Income is as follows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32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48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3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0" w:type="dxa"/>
            <w:vAlign w:val="bottom"/>
            <w:gridSpan w:val="2"/>
          </w:tcPr>
          <w:p>
            <w:pPr>
              <w:jc w:val="center"/>
              <w:ind w:right="77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480" w:type="dxa"/>
            <w:vAlign w:val="bottom"/>
          </w:tcPr>
          <w:p>
            <w:pPr>
              <w:spacing w:after="0"/>
              <w:rPr>
                <w:sz w:val="13"/>
                <w:szCs w:val="13"/>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3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32</w:t>
            </w:r>
          </w:p>
        </w:tc>
        <w:tc>
          <w:tcPr>
            <w:tcW w:w="144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bl>
    <w:p>
      <w:pPr>
        <w:spacing w:after="0" w:line="238" w:lineRule="exact"/>
        <w:rPr>
          <w:sz w:val="20"/>
          <w:szCs w:val="20"/>
          <w:color w:val="auto"/>
        </w:rPr>
      </w:pPr>
    </w:p>
    <w:p>
      <w:pPr>
        <w:jc w:val="both"/>
        <w:ind w:right="80"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Divestiture of Louisiana and Mississippi natural gas LDC businesses. </w:t>
      </w:r>
      <w:r>
        <w:rPr>
          <w:rFonts w:ascii="Times New Roman" w:cs="Times New Roman" w:eastAsia="Times New Roman" w:hAnsi="Times New Roman"/>
          <w:sz w:val="14"/>
          <w:szCs w:val="14"/>
          <w:color w:val="auto"/>
        </w:rPr>
        <w:t>On February 19, 2024, CERC Corp. entered into the LAMS Asset Purchase Agreement, pursuant to which CERC Corp.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agreed to sell its Louisiana and Mississippi natural gas LDC businesses. The purchase price for the Louisiana and Mississippi natural gas LDC businesses was $1.2 billion. The transaction closed on March 31, 2025. As of the closing date, the businesses included approximately 12,000 miles of main pipeline in Louisiana and Mississippi serving more than 380,000 customers. Prior to the sale, the Louisiana and Mississippi natural gas LDC businesses were reflected in CenterPoint Energy’s Natural Gas reportable segment and CERC’s single reportable segment, as applicable.</w:t>
      </w:r>
    </w:p>
    <w:p>
      <w:pPr>
        <w:spacing w:after="0" w:line="161"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and CERC recognized a loss of $43 million and a gain of $52 million, respectively, net of transaction costs of $21 million, in connection with the closing of the disposition of the Louisiana and Mississippi natural gas LDC businesses during the three months ended March 31, 2025. CenterPoint Energy and CERC received $6 million from the LAMS Buyers related to working capital and other customary adjustments set forth in the LAMS Asset Purchase Agreement during the three months ended March 31, 2026.</w:t>
      </w:r>
    </w:p>
    <w:p>
      <w:pPr>
        <w:spacing w:after="0" w:line="157" w:lineRule="exact"/>
        <w:rPr>
          <w:sz w:val="20"/>
          <w:szCs w:val="20"/>
          <w:color w:val="auto"/>
        </w:rPr>
      </w:pPr>
    </w:p>
    <w:p>
      <w:pPr>
        <w:ind w:right="500" w:firstLine="255"/>
        <w:spacing w:after="0" w:line="287" w:lineRule="auto"/>
        <w:rPr>
          <w:sz w:val="20"/>
          <w:szCs w:val="20"/>
          <w:color w:val="auto"/>
        </w:rPr>
      </w:pPr>
      <w:r>
        <w:rPr>
          <w:rFonts w:ascii="Times New Roman" w:cs="Times New Roman" w:eastAsia="Times New Roman" w:hAnsi="Times New Roman"/>
          <w:sz w:val="14"/>
          <w:szCs w:val="14"/>
          <w:color w:val="auto"/>
        </w:rPr>
        <w:t>The pre-tax income for the Louisiana and Mississippi natural gas LDC businesses, excluding interest and corporate allocations, included in CenterPoint Energy’s and CERC’s Condensed Statements of Consolidated Income was $48 million during the three months ended March 31, 2025.</w:t>
      </w:r>
    </w:p>
    <w:p>
      <w:pPr>
        <w:spacing w:after="0" w:line="145"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Effective on the date of the closing of the disposition of the Louisiana and Mississippi natural gas LDC businesses, CERC entered into the Transition Services Agreement, whereby CERC agreed to provide certain transition services, including accounting, customer operations, procurement, and technology functions, for a term of up to 24 months. Subject to the conditions in the Transition Services Agreement, the LAMS Buyers may terminate these support services with 60 days prior</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written notice. CenterPoint Energy’s and CERC’s charges to the LAMS Buyers for reimbursement of transition services costs were $12 million during the three months ended March 31, 2026. CenterPoint Energy’s and CERC’s Condensed Consolidated Balance Sheets included a receivable due from the LAMS Buyers for transition services in the amount of $11 million and $9 million as of March 31, 2026 and December 31, 2025, respectively.</w:t>
      </w:r>
    </w:p>
    <w:p>
      <w:pPr>
        <w:spacing w:after="0" w:line="155" w:lineRule="exact"/>
        <w:rPr>
          <w:sz w:val="20"/>
          <w:szCs w:val="20"/>
          <w:color w:val="auto"/>
        </w:rPr>
      </w:pPr>
    </w:p>
    <w:p>
      <w:pPr>
        <w:ind w:right="200"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Acquisition of Posey Solar. </w:t>
      </w:r>
      <w:r>
        <w:rPr>
          <w:rFonts w:ascii="Times New Roman" w:cs="Times New Roman" w:eastAsia="Times New Roman" w:hAnsi="Times New Roman"/>
          <w:sz w:val="14"/>
          <w:szCs w:val="14"/>
          <w:color w:val="auto"/>
        </w:rPr>
        <w:t>On March 7, 2025, SIGECO acquired 100% of the equity interests in Posey Solar, which was constructing a 191 MW solar array in Posey County, Indiana,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$357 million. The purchase represents an asset acquisition. The lease obligations related to Posey Solar were approximately $35 million at the time of acquisition. The purchase was subject to terms and conditions in an order approved by the IURC on September 6, 2023, allowing Indiana Electric to recover project costs, net of PTCs, in rate base rather than a levelized rate, through base rates or the CECA mechanism, depending on which provides more timely recovery. On February 3, 2025, the IURC approved Indiana Electric’s request to convey PTCs to customers through the new tax adjustment rider. Posey Solar was placed into service on May 30, 2025. Indiana Electric began recovering on the asset through updated base rates on June 17,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Revenue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disaggregate revenues by reportable segment and major source for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2026</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960" w:type="dxa"/>
            <w:vAlign w:val="bottom"/>
          </w:tcPr>
          <w:p>
            <w:pPr>
              <w:spacing w:after="0"/>
              <w:rPr>
                <w:sz w:val="10"/>
                <w:szCs w:val="10"/>
                <w:color w:val="auto"/>
              </w:rPr>
            </w:pPr>
          </w:p>
        </w:tc>
        <w:tc>
          <w:tcPr>
            <w:tcW w:w="124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440" w:type="dxa"/>
            <w:vAlign w:val="bottom"/>
          </w:tcPr>
          <w:p>
            <w:pPr>
              <w:spacing w:after="0"/>
              <w:rPr>
                <w:sz w:val="10"/>
                <w:szCs w:val="10"/>
                <w:color w:val="auto"/>
              </w:rPr>
            </w:pPr>
          </w:p>
        </w:tc>
        <w:tc>
          <w:tcPr>
            <w:tcW w:w="1420" w:type="dxa"/>
            <w:vAlign w:val="bottom"/>
            <w:gridSpan w:val="2"/>
          </w:tcPr>
          <w:p>
            <w:pPr>
              <w:jc w:val="center"/>
              <w:ind w:right="54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420" w:type="dxa"/>
            <w:vAlign w:val="bottom"/>
          </w:tcPr>
          <w:p>
            <w:pPr>
              <w:spacing w:after="0"/>
              <w:rPr>
                <w:sz w:val="10"/>
                <w:szCs w:val="10"/>
                <w:color w:val="auto"/>
              </w:rPr>
            </w:pPr>
          </w:p>
        </w:tc>
        <w:tc>
          <w:tcPr>
            <w:tcW w:w="134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and Other</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gridSpan w:val="3"/>
          </w:tcPr>
          <w:p>
            <w:pPr>
              <w:jc w:val="center"/>
              <w:ind w:left="95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4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0" w:type="dxa"/>
            <w:vAlign w:val="bottom"/>
          </w:tcPr>
          <w:p>
            <w:pPr>
              <w:spacing w:after="0"/>
              <w:rPr>
                <w:sz w:val="1"/>
                <w:szCs w:val="1"/>
                <w:color w:val="auto"/>
              </w:rPr>
            </w:pPr>
          </w:p>
        </w:tc>
      </w:tr>
      <w:tr>
        <w:trPr>
          <w:trHeight w:val="168"/>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3"/>
        </w:trPr>
        <w:tc>
          <w:tcPr>
            <w:tcW w:w="3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revenues</w:t>
            </w:r>
          </w:p>
        </w:tc>
        <w:tc>
          <w:tcPr>
            <w:tcW w:w="1240" w:type="dxa"/>
            <w:vAlign w:val="bottom"/>
            <w:tcBorders>
              <w:top w:val="single" w:sz="8" w:color="auto"/>
              <w:bottom w:val="single" w:sz="8" w:color="auto"/>
            </w:tcBorders>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1,209</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9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2025</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60" w:type="dxa"/>
            <w:vAlign w:val="bottom"/>
          </w:tcPr>
          <w:p>
            <w:pPr>
              <w:spacing w:after="0"/>
              <w:rPr>
                <w:sz w:val="10"/>
                <w:szCs w:val="10"/>
                <w:color w:val="auto"/>
              </w:rPr>
            </w:pPr>
          </w:p>
        </w:tc>
        <w:tc>
          <w:tcPr>
            <w:tcW w:w="124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440" w:type="dxa"/>
            <w:vAlign w:val="bottom"/>
          </w:tcPr>
          <w:p>
            <w:pPr>
              <w:spacing w:after="0"/>
              <w:rPr>
                <w:sz w:val="10"/>
                <w:szCs w:val="10"/>
                <w:color w:val="auto"/>
              </w:rPr>
            </w:pPr>
          </w:p>
        </w:tc>
        <w:tc>
          <w:tcPr>
            <w:tcW w:w="1420" w:type="dxa"/>
            <w:vAlign w:val="bottom"/>
            <w:gridSpan w:val="2"/>
          </w:tcPr>
          <w:p>
            <w:pPr>
              <w:jc w:val="center"/>
              <w:ind w:right="54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420" w:type="dxa"/>
            <w:vAlign w:val="bottom"/>
          </w:tcPr>
          <w:p>
            <w:pPr>
              <w:spacing w:after="0"/>
              <w:rPr>
                <w:sz w:val="10"/>
                <w:szCs w:val="10"/>
                <w:color w:val="auto"/>
              </w:rPr>
            </w:pPr>
          </w:p>
        </w:tc>
        <w:tc>
          <w:tcPr>
            <w:tcW w:w="134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and Other</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gridSpan w:val="3"/>
          </w:tcPr>
          <w:p>
            <w:pPr>
              <w:jc w:val="center"/>
              <w:ind w:left="95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4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2,956</w:t>
            </w:r>
          </w:p>
        </w:tc>
        <w:tc>
          <w:tcPr>
            <w:tcW w:w="0" w:type="dxa"/>
            <w:vAlign w:val="bottom"/>
          </w:tcPr>
          <w:p>
            <w:pPr>
              <w:spacing w:after="0"/>
              <w:rPr>
                <w:sz w:val="1"/>
                <w:szCs w:val="1"/>
                <w:color w:val="auto"/>
              </w:rPr>
            </w:pPr>
          </w:p>
        </w:tc>
      </w:tr>
      <w:tr>
        <w:trPr>
          <w:trHeight w:val="168"/>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7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3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revenues</w:t>
            </w:r>
          </w:p>
        </w:tc>
        <w:tc>
          <w:tcPr>
            <w:tcW w:w="1240" w:type="dxa"/>
            <w:vAlign w:val="bottom"/>
            <w:tcBorders>
              <w:top w:val="single" w:sz="8" w:color="auto"/>
              <w:bottom w:val="single" w:sz="8" w:color="auto"/>
            </w:tcBorders>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1,852</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sectPr>
          <w:pgSz w:w="11900" w:h="16838" w:orient="portrait"/>
          <w:cols w:equalWidth="0" w:num="1">
            <w:col w:w="11280"/>
          </w:cols>
          <w:pgMar w:left="300" w:top="123" w:right="319" w:bottom="1440" w:gutter="0" w:footer="0" w:header="0"/>
        </w:sect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(1)</w:t>
      </w:r>
    </w:p>
    <w:p>
      <w:pPr>
        <w:spacing w:after="0" w:line="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58"/>
        </w:trPr>
        <w:tc>
          <w:tcPr>
            <w:tcW w:w="420" w:type="dxa"/>
            <w:vAlign w:val="bottom"/>
          </w:tcPr>
          <w:p>
            <w:pPr>
              <w:spacing w:after="0"/>
              <w:rPr>
                <w:sz w:val="13"/>
                <w:szCs w:val="13"/>
                <w:color w:val="auto"/>
              </w:rPr>
            </w:pPr>
          </w:p>
        </w:tc>
        <w:tc>
          <w:tcPr>
            <w:tcW w:w="196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40" w:type="dxa"/>
            <w:vAlign w:val="bottom"/>
          </w:tcPr>
          <w:p>
            <w:pPr>
              <w:spacing w:after="0"/>
              <w:rPr>
                <w:sz w:val="13"/>
                <w:szCs w:val="13"/>
                <w:color w:val="auto"/>
              </w:rPr>
            </w:pPr>
          </w:p>
        </w:tc>
      </w:tr>
      <w:tr>
        <w:trPr>
          <w:trHeight w:val="168"/>
        </w:trPr>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w:t>
            </w:r>
          </w:p>
        </w:tc>
        <w:tc>
          <w:tcPr>
            <w:tcW w:w="10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w:t>
            </w:r>
          </w:p>
        </w:tc>
      </w:tr>
      <w:tr>
        <w:trPr>
          <w:trHeight w:val="172"/>
        </w:trPr>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884</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-356235</wp:posOffset>
            </wp:positionV>
            <wp:extent cx="7148195" cy="107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-4847590</wp:posOffset>
            </wp:positionH>
            <wp:positionV relativeFrom="paragraph">
              <wp:posOffset>-140970</wp:posOffset>
            </wp:positionV>
            <wp:extent cx="714819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2827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6920" w:space="720"/>
            <w:col w:w="3640"/>
          </w:cols>
          <w:pgMar w:left="300" w:top="123" w:right="31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(1)</w:t>
      </w:r>
    </w:p>
    <w:p>
      <w:pPr>
        <w:spacing w:after="0" w:line="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58"/>
        </w:trPr>
        <w:tc>
          <w:tcPr>
            <w:tcW w:w="420" w:type="dxa"/>
            <w:vAlign w:val="bottom"/>
          </w:tcPr>
          <w:p>
            <w:pPr>
              <w:spacing w:after="0"/>
              <w:rPr>
                <w:sz w:val="13"/>
                <w:szCs w:val="13"/>
                <w:color w:val="auto"/>
              </w:rPr>
            </w:pPr>
          </w:p>
        </w:tc>
        <w:tc>
          <w:tcPr>
            <w:tcW w:w="196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40" w:type="dxa"/>
            <w:vAlign w:val="bottom"/>
          </w:tcPr>
          <w:p>
            <w:pPr>
              <w:spacing w:after="0"/>
              <w:rPr>
                <w:sz w:val="13"/>
                <w:szCs w:val="13"/>
                <w:color w:val="auto"/>
              </w:rPr>
            </w:pPr>
          </w:p>
        </w:tc>
      </w:tr>
      <w:tr>
        <w:trPr>
          <w:trHeight w:val="168"/>
        </w:trPr>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1,695</w:t>
            </w:r>
          </w:p>
        </w:tc>
        <w:tc>
          <w:tcPr>
            <w:tcW w:w="10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1,819</w:t>
            </w:r>
          </w:p>
        </w:tc>
      </w:tr>
      <w:tr>
        <w:trPr>
          <w:trHeight w:val="172"/>
        </w:trPr>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0"/>
        </w:trPr>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1,788</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-4860290</wp:posOffset>
            </wp:positionH>
            <wp:positionV relativeFrom="paragraph">
              <wp:posOffset>-356235</wp:posOffset>
            </wp:positionV>
            <wp:extent cx="7161530" cy="107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-140970</wp:posOffset>
            </wp:positionV>
            <wp:extent cx="7161530"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60" w:lineRule="exact"/>
        <w:rPr>
          <w:sz w:val="20"/>
          <w:szCs w:val="20"/>
          <w:color w:val="auto"/>
        </w:rPr>
      </w:pPr>
    </w:p>
    <w:p>
      <w:pPr>
        <w:sectPr>
          <w:pgSz w:w="11900" w:h="16838" w:orient="portrait"/>
          <w:cols w:equalWidth="0" w:num="2">
            <w:col w:w="6940" w:space="720"/>
            <w:col w:w="3620"/>
          </w:cols>
          <w:pgMar w:left="300" w:top="123" w:right="31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221F1F"/>
        </w:rPr>
        <w:t>The opening and closing balances of accounts receivable and accrued unbilled revenues from contracts with customers are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Accounts Receivable (1) (2)</w:t>
            </w: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Accrued Unbilled Revenues (2)</w:t>
            </w:r>
          </w:p>
        </w:tc>
      </w:tr>
      <w:tr>
        <w:trPr>
          <w:trHeight w:val="161"/>
        </w:trPr>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3"/>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80" w:type="dxa"/>
            <w:vAlign w:val="bottom"/>
          </w:tcPr>
          <w:p>
            <w:pPr>
              <w:spacing w:after="0"/>
              <w:rPr>
                <w:sz w:val="14"/>
                <w:szCs w:val="14"/>
                <w:color w:val="auto"/>
              </w:rPr>
            </w:pPr>
          </w:p>
        </w:tc>
      </w:tr>
      <w:tr>
        <w:trPr>
          <w:trHeight w:val="17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Opening balance as of December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Closing balance as of March 31, 2026</w:t>
            </w: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408</w:t>
            </w:r>
          </w:p>
        </w:tc>
      </w:tr>
      <w:tr>
        <w:trPr>
          <w:trHeight w:val="185"/>
        </w:trPr>
        <w:tc>
          <w:tcPr>
            <w:tcW w:w="7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Increase (decrease)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balances related to customer or vendor cost reimbursements and insurance that are not attributable to revenues from contracts with customers.</w:t>
      </w:r>
    </w:p>
    <w:p>
      <w:pPr>
        <w:spacing w:after="0" w:line="23" w:lineRule="exact"/>
        <w:rPr>
          <w:rFonts w:ascii="Times New Roman" w:cs="Times New Roman" w:eastAsia="Times New Roman" w:hAnsi="Times New Roman"/>
          <w:sz w:val="14"/>
          <w:szCs w:val="14"/>
          <w:color w:val="auto"/>
        </w:rPr>
      </w:pPr>
    </w:p>
    <w:p>
      <w:pPr>
        <w:ind w:left="520" w:right="360" w:hanging="260"/>
        <w:spacing w:after="0" w:line="266" w:lineRule="auto"/>
        <w:tabs>
          <w:tab w:leader="none" w:pos="51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opening balance as of December 31, 2025 and the closing balance as of March 31, 2026 also excluded amounts classified as held for sale associated with the Ohio natural gas LDC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Accounts Receivable (1)</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Accrued Unbilled Revenues</w:t>
            </w:r>
          </w:p>
        </w:tc>
      </w:tr>
      <w:tr>
        <w:trPr>
          <w:trHeight w:val="161"/>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gridSpan w:val="4"/>
          </w:tcPr>
          <w:p>
            <w:pPr>
              <w:ind w:left="132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Opening balance as of December 31, 2025</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169</w:t>
            </w:r>
          </w:p>
        </w:tc>
      </w:tr>
      <w:tr>
        <w:trPr>
          <w:trHeight w:val="168"/>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Closing balance as of March 31, 2026</w:t>
            </w: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3"/>
                <w:szCs w:val="13"/>
                <w:color w:val="auto"/>
              </w:rPr>
              <w:t>141</w:t>
            </w:r>
          </w:p>
        </w:tc>
      </w:tr>
      <w:tr>
        <w:trPr>
          <w:trHeight w:val="188"/>
        </w:trPr>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Increase (decrease)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3"/>
                <w:szCs w:val="13"/>
                <w:color w:val="auto"/>
              </w:rPr>
              <w:t>(28)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Excludes balances related to customer or vendor cost reimbursements and insurance that are not attributable to revenues from contracts with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Accounts Receivable (1) (2)</w:t>
            </w: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Accrued Unbilled Revenues (2)</w:t>
            </w:r>
          </w:p>
        </w:tc>
      </w:tr>
      <w:tr>
        <w:trPr>
          <w:trHeight w:val="147"/>
        </w:trPr>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3"/>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2"/>
                <w:szCs w:val="12"/>
                <w:color w:val="auto"/>
              </w:rPr>
            </w:pPr>
          </w:p>
        </w:tc>
      </w:tr>
      <w:tr>
        <w:trPr>
          <w:trHeight w:val="17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Opening balance as of December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3"/>
                <w:szCs w:val="13"/>
                <w:color w:val="auto"/>
              </w:rPr>
              <w:t>372</w:t>
            </w:r>
          </w:p>
        </w:tc>
      </w:tr>
      <w:tr>
        <w:trPr>
          <w:trHeight w:val="16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Closing balance as of March 31, 2026</w:t>
            </w: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left="556"/>
              <w:spacing w:after="0"/>
              <w:rPr>
                <w:sz w:val="20"/>
                <w:szCs w:val="20"/>
                <w:color w:val="auto"/>
              </w:rPr>
            </w:pPr>
            <w:r>
              <w:rPr>
                <w:rFonts w:ascii="Times New Roman" w:cs="Times New Roman" w:eastAsia="Times New Roman" w:hAnsi="Times New Roman"/>
                <w:sz w:val="13"/>
                <w:szCs w:val="13"/>
                <w:color w:val="auto"/>
              </w:rPr>
              <w:t>218</w:t>
            </w:r>
          </w:p>
        </w:tc>
      </w:tr>
      <w:tr>
        <w:trPr>
          <w:trHeight w:val="188"/>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Increase (decrease)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3"/>
                <w:szCs w:val="13"/>
                <w:color w:val="auto"/>
                <w:w w:val="99"/>
              </w:rPr>
              <w:t>(154)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500" w:hanging="240"/>
        <w:spacing w:after="0"/>
        <w:tabs>
          <w:tab w:leader="none" w:pos="50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balances related to customer or vendor cost reimbursements and insurance that are not attributable to revenues from contracts with customers.</w:t>
      </w:r>
    </w:p>
    <w:p>
      <w:pPr>
        <w:spacing w:after="0" w:line="23" w:lineRule="exact"/>
        <w:rPr>
          <w:rFonts w:ascii="Times New Roman" w:cs="Times New Roman" w:eastAsia="Times New Roman" w:hAnsi="Times New Roman"/>
          <w:sz w:val="14"/>
          <w:szCs w:val="14"/>
          <w:color w:val="auto"/>
        </w:rPr>
      </w:pPr>
    </w:p>
    <w:p>
      <w:pPr>
        <w:ind w:left="520" w:right="360" w:hanging="260"/>
        <w:spacing w:after="0" w:line="266" w:lineRule="auto"/>
        <w:tabs>
          <w:tab w:leader="none" w:pos="515"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opening balance as of December 31, 2025 and the closing balance as of March 31, 2026 also excluded amounts classified as held for sale associated with the Ohio natural gas LDC business.</w:t>
      </w:r>
    </w:p>
    <w:p>
      <w:pPr>
        <w:spacing w:after="0" w:line="157"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Benefit Plans</w:t>
      </w:r>
    </w:p>
    <w:p>
      <w:pPr>
        <w:spacing w:after="0" w:line="202"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 for the periods presented: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Pension Benefits (CenterPoint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3120" w:type="dxa"/>
            <w:vAlign w:val="bottom"/>
            <w:tcBorders>
              <w:bottom w:val="single" w:sz="8" w:color="auto"/>
            </w:tcBorders>
            <w:gridSpan w:val="4"/>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r>
      <w:tr>
        <w:trPr>
          <w:trHeight w:val="161"/>
        </w:trPr>
        <w:tc>
          <w:tcPr>
            <w:tcW w:w="7660" w:type="dxa"/>
            <w:vAlign w:val="bottom"/>
          </w:tcPr>
          <w:p>
            <w:pPr>
              <w:spacing w:after="0"/>
              <w:rPr>
                <w:sz w:val="14"/>
                <w:szCs w:val="14"/>
                <w:color w:val="auto"/>
              </w:rPr>
            </w:pPr>
          </w:p>
        </w:tc>
        <w:tc>
          <w:tcPr>
            <w:tcW w:w="12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r>
      <w:tr>
        <w:trPr>
          <w:trHeight w:val="160"/>
        </w:trPr>
        <w:tc>
          <w:tcPr>
            <w:tcW w:w="7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60" w:type="dxa"/>
            <w:vAlign w:val="bottom"/>
            <w:gridSpan w:val="3"/>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00" w:type="dxa"/>
            <w:vAlign w:val="bottom"/>
          </w:tcPr>
          <w:p>
            <w:pPr>
              <w:spacing w:after="0"/>
              <w:rPr>
                <w:sz w:val="13"/>
                <w:szCs w:val="13"/>
                <w:color w:val="auto"/>
              </w:rPr>
            </w:pP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cost (1)</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cost (2)</w:t>
            </w:r>
          </w:p>
        </w:tc>
        <w:tc>
          <w:tcPr>
            <w:tcW w:w="1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(2)</w:t>
            </w: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Amortization of net loss (2)</w:t>
            </w:r>
          </w:p>
        </w:tc>
        <w:tc>
          <w:tcPr>
            <w:tcW w:w="1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88"/>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periodic cost</w:t>
            </w: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center"/>
        <w:ind w:left="5580" w:right="960" w:hanging="5320"/>
        <w:spacing w:after="0" w:line="793"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Operation and maintenance expense in CenterPoint Energy’s Condensed Statements of Consolidated Income, net of amounts capitalized and regulatory deferrals.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 Included in Other income, net in CenterPoint Energy’s Condensed Statements of Consolidated Income, net of regulatory deferrals.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Postretirement Benefits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3800" w:type="dxa"/>
            <w:vAlign w:val="bottom"/>
          </w:tcPr>
          <w:p>
            <w:pPr>
              <w:spacing w:after="0"/>
              <w:rPr>
                <w:sz w:val="13"/>
                <w:szCs w:val="13"/>
                <w:color w:val="auto"/>
              </w:rPr>
            </w:pPr>
          </w:p>
        </w:tc>
        <w:tc>
          <w:tcPr>
            <w:tcW w:w="1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cost (1)</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center"/>
              <w:ind w:left="396"/>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center"/>
              <w:ind w:left="836"/>
              <w:spacing w:after="0"/>
              <w:rPr>
                <w:sz w:val="20"/>
                <w:szCs w:val="20"/>
                <w:color w:val="auto"/>
              </w:rPr>
            </w:pPr>
            <w:r>
              <w:rPr>
                <w:rFonts w:ascii="Times New Roman" w:cs="Times New Roman" w:eastAsia="Times New Roman" w:hAnsi="Times New Roman"/>
                <w:sz w:val="13"/>
                <w:szCs w:val="13"/>
                <w:color w:val="auto"/>
                <w:w w:val="91"/>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w w:val="91"/>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(1)</w:t>
            </w:r>
          </w:p>
        </w:tc>
        <w:tc>
          <w:tcPr>
            <w:tcW w:w="540" w:type="dxa"/>
            <w:vAlign w:val="bottom"/>
          </w:tcPr>
          <w:p>
            <w:pPr>
              <w:spacing w:after="0"/>
              <w:rPr>
                <w:sz w:val="14"/>
                <w:szCs w:val="14"/>
                <w:color w:val="auto"/>
              </w:rPr>
            </w:pPr>
          </w:p>
        </w:tc>
        <w:tc>
          <w:tcPr>
            <w:tcW w:w="640" w:type="dxa"/>
            <w:vAlign w:val="bottom"/>
          </w:tcPr>
          <w:p>
            <w:pPr>
              <w:jc w:val="center"/>
              <w:ind w:left="356"/>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prior service cost (credit) (1)</w:t>
            </w: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left="356"/>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net loss (1)</w:t>
            </w:r>
          </w:p>
        </w:tc>
        <w:tc>
          <w:tcPr>
            <w:tcW w:w="540" w:type="dxa"/>
            <w:vAlign w:val="bottom"/>
          </w:tcPr>
          <w:p>
            <w:pPr>
              <w:spacing w:after="0"/>
              <w:rPr>
                <w:sz w:val="14"/>
                <w:szCs w:val="14"/>
                <w:color w:val="auto"/>
              </w:rPr>
            </w:pPr>
          </w:p>
        </w:tc>
        <w:tc>
          <w:tcPr>
            <w:tcW w:w="640" w:type="dxa"/>
            <w:vAlign w:val="bottom"/>
          </w:tcPr>
          <w:p>
            <w:pPr>
              <w:jc w:val="center"/>
              <w:ind w:left="356"/>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8"/>
        </w:trPr>
        <w:tc>
          <w:tcPr>
            <w:tcW w:w="38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periodic cost (benefit)</w:t>
            </w:r>
          </w:p>
        </w:tc>
        <w:tc>
          <w:tcPr>
            <w:tcW w:w="54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Included in Other income, net in each of the Registrants’ respective Condensed Statements of Consolidated Income, net of regulatory deferrals.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Benefit Plan Contributions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contributions made to the pension and postretirement benefit plans during the period presented:</w:t>
      </w:r>
    </w:p>
    <w:p>
      <w:pPr>
        <w:spacing w:after="0" w:line="11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13970</wp:posOffset>
            </wp:positionV>
            <wp:extent cx="284988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49880" cy="6985"/>
                    </a:xfrm>
                    <a:prstGeom prst="rect">
                      <a:avLst/>
                    </a:prstGeom>
                    <a:noFill/>
                  </pic:spPr>
                </pic:pic>
              </a:graphicData>
            </a:graphic>
          </wp:anchor>
        </w:drawing>
      </w:r>
    </w:p>
    <w:p>
      <w:pPr>
        <w:spacing w:after="0" w:line="11" w:lineRule="exact"/>
        <w:rPr>
          <w:sz w:val="20"/>
          <w:szCs w:val="20"/>
          <w:color w:val="auto"/>
        </w:rPr>
      </w:pPr>
    </w:p>
    <w:p>
      <w:pPr>
        <w:ind w:left="6960"/>
        <w:spacing w:after="0"/>
        <w:tabs>
          <w:tab w:leader="none" w:pos="8560" w:val="left"/>
          <w:tab w:leader="none" w:pos="10360" w:val="left"/>
        </w:tabs>
        <w:rPr>
          <w:sz w:val="20"/>
          <w:szCs w:val="20"/>
          <w:color w:val="auto"/>
        </w:rPr>
      </w:pPr>
      <w:r>
        <w:rPr>
          <w:rFonts w:ascii="Times New Roman" w:cs="Times New Roman" w:eastAsia="Times New Roman" w:hAnsi="Times New Roman"/>
          <w:sz w:val="13"/>
          <w:szCs w:val="13"/>
          <w:b w:val="1"/>
          <w:bCs w:val="1"/>
          <w:color w:val="auto"/>
        </w:rPr>
        <w:t>CenterPoint Energy</w:t>
      </w:r>
      <w:r>
        <w:rPr>
          <w:sz w:val="20"/>
          <w:szCs w:val="20"/>
          <w:color w:val="auto"/>
        </w:rPr>
        <w:tab/>
      </w:r>
      <w:r>
        <w:rPr>
          <w:rFonts w:ascii="Times New Roman" w:cs="Times New Roman" w:eastAsia="Times New Roman" w:hAnsi="Times New Roman"/>
          <w:sz w:val="13"/>
          <w:szCs w:val="13"/>
          <w:b w:val="1"/>
          <w:bCs w:val="1"/>
          <w:color w:val="auto"/>
        </w:rPr>
        <w:t>Houston Electric</w:t>
      </w:r>
      <w:r>
        <w:rPr>
          <w:sz w:val="20"/>
          <w:szCs w:val="20"/>
          <w:color w:val="auto"/>
        </w:rPr>
        <w:tab/>
      </w:r>
      <w:r>
        <w:rPr>
          <w:rFonts w:ascii="Times New Roman" w:cs="Times New Roman" w:eastAsia="Times New Roman" w:hAnsi="Times New Roman"/>
          <w:sz w:val="12"/>
          <w:szCs w:val="12"/>
          <w:b w:val="1"/>
          <w:bCs w:val="1"/>
          <w:color w:val="auto"/>
        </w:rPr>
        <w:t>CERC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13970</wp:posOffset>
            </wp:positionV>
            <wp:extent cx="284988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49880" cy="6985"/>
                    </a:xfrm>
                    <a:prstGeom prst="rect">
                      <a:avLst/>
                    </a:prstGeom>
                    <a:noFill/>
                  </pic:spPr>
                </pic:pic>
              </a:graphicData>
            </a:graphic>
          </wp:anchor>
        </w:drawing>
      </w:r>
    </w:p>
    <w:p>
      <w:pPr>
        <w:spacing w:after="0" w:line="11"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plans</w:t>
            </w:r>
          </w:p>
        </w:tc>
        <w:tc>
          <w:tcPr>
            <w:tcW w:w="32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16</w:t>
            </w:r>
          </w:p>
        </w:tc>
        <w:tc>
          <w:tcPr>
            <w:tcW w:w="7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Postretirement benefit plans</w:t>
            </w:r>
          </w:p>
        </w:tc>
        <w:tc>
          <w:tcPr>
            <w:tcW w:w="32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w:t>
            </w:r>
          </w:p>
        </w:tc>
        <w:tc>
          <w:tcPr>
            <w:tcW w:w="72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Regulatory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Equity Return</w:t>
      </w:r>
    </w:p>
    <w:p>
      <w:pPr>
        <w:spacing w:after="0" w:line="202"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9"/>
              </w:rPr>
              <w:t>March 31, 2026</w:t>
            </w: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800" w:type="dxa"/>
            <w:vAlign w:val="bottom"/>
          </w:tcPr>
          <w:p>
            <w:pPr>
              <w:spacing w:after="0"/>
              <w:rPr>
                <w:sz w:val="10"/>
                <w:szCs w:val="10"/>
                <w:color w:val="auto"/>
              </w:rPr>
            </w:pPr>
          </w:p>
        </w:tc>
        <w:tc>
          <w:tcPr>
            <w:tcW w:w="12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Houston Electric (2)</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CERC (3)</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Houston Electric (2)</w:t>
            </w:r>
          </w:p>
        </w:tc>
        <w:tc>
          <w:tcPr>
            <w:tcW w:w="260" w:type="dxa"/>
            <w:vAlign w:val="bottom"/>
          </w:tcPr>
          <w:p>
            <w:pPr>
              <w:spacing w:after="0"/>
              <w:rPr>
                <w:sz w:val="10"/>
                <w:szCs w:val="10"/>
                <w:color w:val="auto"/>
              </w:rPr>
            </w:pPr>
          </w:p>
        </w:tc>
        <w:tc>
          <w:tcPr>
            <w:tcW w:w="96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CERC (3)</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(1)</w:t>
            </w:r>
          </w:p>
        </w:tc>
        <w:tc>
          <w:tcPr>
            <w:tcW w:w="1260" w:type="dxa"/>
            <w:vAlign w:val="bottom"/>
            <w:tcBorders>
              <w:bottom w:val="single" w:sz="8" w:color="auto"/>
            </w:tcBorders>
            <w:gridSpan w:val="2"/>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(1)</w:t>
            </w:r>
          </w:p>
        </w:tc>
        <w:tc>
          <w:tcPr>
            <w:tcW w:w="126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gridSpan w:val="3"/>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Unrecognized equity return</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139</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310</w:t>
            </w:r>
          </w:p>
        </w:tc>
        <w:tc>
          <w:tcPr>
            <w:tcW w:w="56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135</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520" w:hanging="260"/>
        <w:spacing w:after="0" w:line="263" w:lineRule="auto"/>
        <w:tabs>
          <w:tab w:leader="none" w:pos="51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amounts described in (2) and (3) below, primarily includes CenterPoint Energy’s allowed equity return on post in-service carrying cost generally associated with investments in SIGECO.</w:t>
      </w:r>
    </w:p>
    <w:p>
      <w:pPr>
        <w:ind w:left="500" w:hanging="240"/>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Houston Electric’s allowed equity return on TEEEF costs and certain storm restoration costs.</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CERC’s allowed equity return on post in-service carrying cost associated with certain distribution facilities replacement expenditures in Texas and at Indiana Gas.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amount of allowed equity return recognized by each Registrant in its Condensed Statements of Consolidated Income for the period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3800" w:type="dxa"/>
            <w:vAlign w:val="bottom"/>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Allowed equity return recognized</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w:t>
            </w: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February 2021 Winter Storm Event</w:t>
      </w:r>
    </w:p>
    <w:p>
      <w:pPr>
        <w:spacing w:after="0" w:line="202"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cost of natural gas purchased by CenterPoint Energy and CERC of approximately $2 billion. CenterPoint Energy and CERC have completed recovery of natural gas costs in Indiana and Texas, and continue to recover the natural gas cost in Minnesota. As of March 31, 2026 and December 31, 2025, each of CenterPoint Energy and CERC had recorded current regulatory assets of $48 million and $70 million associated with the February 2021 Winter Storm Event.</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11(c) for further information regarding litigation related to the February 2021 Winter Storm Event.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Texas Public Securitization</w:t>
      </w:r>
    </w:p>
    <w:p>
      <w:pPr>
        <w:spacing w:after="0" w:line="202"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4"/>
          <w:szCs w:val="14"/>
          <w:color w:val="auto"/>
        </w:rPr>
        <w:t>The Texas Natural Gas Securitization Finance Corporation issued customer rate relief bonds in March 2023, and on March 23, 2023, CenterPoint Energy and CERC, collectively, received approximately $1.1 billion in cash proceeds from the issuance and sale of the state’s customer rate relief bonds. As CenterPoint Energy and CERC have no future financial obligations for the repayment of the state’s customer rate relief bonds, the customer rate relief bonds are not recorded on CenterPoint Energy’s or CERC’s balance sheets. The state’s customer rate relief bonds are backed in part by customer rate relief property, including customer rate relief charges, which are non-bypassable uniform monthly volumetric charges to be paid by all existing and future sales customers as a component of each regulated utility’s gas cost, separate from their base rate. CERC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Texas Natural Gas Securitization Finance Corporation, and not CenterPoint Energy or CERC, is the owner of the customer rate relief property. The assets of the Texas Natural Gas Securitization Finance Corporation are not available to pay creditors of CenterPoint Energy, CERC, or their affiliates. While the customer rate relief charges will be included by CERC in their monthly billings, the billing amount is established by the Railroad Commission. CERC will remit all customer rate relief charges collected to the financing entity set up by the Railroad Commission. Therefore, the collection and servicing of customer rate relief charges have no impact on the respective Statements of Consolidated Income of CenterPoint Energy or CERC.</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Securitization of Generation Retirements (CenterPoint Energy)</w:t>
      </w:r>
    </w:p>
    <w:p>
      <w:pPr>
        <w:spacing w:after="0" w:line="234"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On June 29, 2023, in connection with the securitization of qualified costs associated with the retirements of Indiana Electric’s A.B. Brown coal-fired generation facilities, the SIGECO Securitization Subsidiary issued $341 million aggregate principal amount of the SIGECO Securitization Bonds and used a portion of the net proceeds from the issuance to purchase the securitization property from SIGECO.</w:t>
      </w:r>
    </w:p>
    <w:p>
      <w:pPr>
        <w:spacing w:after="0" w:line="157"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The SIGECO Securitization Bonds are secured by the securitization property, which includes the right to recover, through non-bypassable securitization charges payable by SIGECO’s retail electric customers, such qualified costs. The SIGECO Securitization Subsidiary, and not SIGECO, is the owner of the securitization property, and the assets of the SIGECO Securitization Subsidiary are not available to pay the creditors of SIGECO or its affiliates, other than the SIGECO Securitization Subsidiary. SIGECO has no payment obligations with respect to the SIGECO Securitization Bonds except to</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remit collections of securitization charges as set forth in a servicing agreement between SIGECO and the SIGECO Securitization Subsidiary.</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TEEEF (CenterPoint Energy and Houston Electric)</w:t>
      </w:r>
    </w:p>
    <w:p>
      <w:pPr>
        <w:spacing w:after="0" w:line="20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Pursuant to Texas legislation passed in 2021, Houston Electric entered into two leases for medium (5.7 MW) and large (27 MW to 32 MW) TEEEF. Houston Electric defers costs associated with the short-term and long-term leases that are probable of recovery and would otherwise be charged to expense in a regulatory asset, including allowed debt returns, and determined that such regulatory assets remain probable of recovery. Expenses associated with the short-term lease, including carrying costs, were deferred in a regulatory asset as a recoverable cost under the 2021 Texas legislation and totaled $75 million and $78 million as of March 31, 2026 and December 31, 2025, respectively. Expenses associated with the long-term lease, including variable costs associated with the operation and maintenance of the TEEEF, depreciation expense on the right of use asset and carrying costs, are deferred in a regulatory asset as a recoverable cost under the 2021 Texas legislation and totaled $104 million and $123 million as of March 31, 2026 and December 31, 2025, respectively.</w:t>
      </w:r>
    </w:p>
    <w:p>
      <w:pPr>
        <w:spacing w:after="0" w:line="16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Right of use finance lease assets, such as assets acquired under the long-term leases that are still included in the rate base of the regulated utility, are evaluated for impairment under the long-lived asset impairment model by assessing if a capital disallowance from a regulator is probable through monitoring the outcome of rate cases and other proceedings. Houston Electric continues to monitor the ongoing proceedings and did not record any impairments or disallowances on its right of use assets or TEEEF regulatory assets during the three months ended March 31, 2026 or 2025.</w:t>
      </w:r>
    </w:p>
    <w:p>
      <w:pPr>
        <w:spacing w:after="0" w:line="15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Effective January 1, 2023, all medium and large TEEEF were leased under the long-term lease agreement. The long-term lease agreement includes up to 519 MW of TEEEF, all of which were delivered as of December 31, 2022, triggering lease commencement at delivery, with an initial term ending in 2029 for all such TEEEF leases. The remaining finance lease liability associated with the commenced long-term TEEEF agreement was not significant as of March 31, 2026 and December 31, 2025 and relates to removal costs that will be incurred at the end of the lease term. As of March 31, 2026, Houston Electric had secured a first lien on the assets leased under the prepayment agreement.</w:t>
      </w:r>
    </w:p>
    <w:p>
      <w:pPr>
        <w:spacing w:after="0" w:line="162"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4"/>
          <w:szCs w:val="14"/>
          <w:color w:val="auto"/>
        </w:rPr>
        <w:t>On December 19, 2024, Houston Electric announced a proposal to release its 15 large TEEEF units to ERCOT at CPS Energy facilities to serve the greater San Antonio region for a period of up to two years. On April 18, 2025, a proposal was filed with the PUCT (Docket 57980) seeking approval of the aforementioned release to ERCOT and CPS Energy, a corresponding reduction to TEEEF fleet capacity and a rate reduction to reflect the removal of the 15 large TEEEF units from Houston Electric’s TEEEF fleet. On June 4, 2025, Houston Electric entered into definitive documentation (the “ERCOT Transaction”), subject to PUCT approval in Docket 57980, to release the 15 large TEEEF units to the San Antonio area until March 2027 unless terminated earlier pursuant to the provisions of the ERCOT Transaction, during which time Houston Electric will not receive revenue or profit from ERCOT and will not charge Houston-area customers for such TEEEF units while they remain in the San Antonio area serving ERCOT. Following the completion of service in the San Antonio area, Houston Electric anticipates that it would complete one or more future transactions involving the large TEEEF units; because the TEEEF units would not be available to serve customers during such time, Houston Electric plans to continue to not charge customers for these units for any future periods. On June 5, 2025, certain intervenors submitted a joint request for hearing. On July 9, 2025, the PUCT referred this docket to the SOAH. On October 13, 2025, intervenor testimony was filed. On November 21, 2025 Houston Electric filed supplemental testimony proposing removal of its five medium TEEEF units from its fleet and rates. On April 10, 2026, Houston Electric requested continued abatement until April 24, 2026 due to continued settlement discussions. Following removal of the large and medium TEEEF units from the regulated utility, as proposed in the aforementioned proceeding, such TEEEF units are subject to impairment testing under ASC 360.</w:t>
      </w:r>
    </w:p>
    <w:p>
      <w:pPr>
        <w:spacing w:after="0" w:line="169"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On September 11, 2024, the TCA filed a complaint with the PUCT requesting that the PUCT modify its rulings with respect to its prior decisions related to Houston Electric’s TEEEF filings made in 2022 and 2023. Specifically, the TCA requested that the PUCT end cost recovery and return on investment on all the large and medium TEEEF units approved in Docket 53442. On June 29, 2025, Order No. 9 was issued to abate this complaint case until a final order is issued in Docket 57980.</w:t>
      </w:r>
    </w:p>
    <w:p>
      <w:pPr>
        <w:spacing w:after="0" w:line="15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Pursuant to Texas legislation passed in 2023, Houston Electric has entered into contractual arrangements to facilitate access to small (200 kW to 1,250 kW) TEEEF units. In January, 2025, the PUCT adopted the TEEEF Rule, which refined the scope of TEEEF filings that can be made pursuant to applicable Texas regulations, and in February 2026, the TEEEF Rule was amended pursuant to Texas Senate Bill 231 to, among other things, prohibit TDUs from entering into, renewing or extending leases for TEEEF units unless such units have a maximum generation capacity of 5 or fewer MW and are rapidly deployable. The TEEEF Rule has specific provisions relating to when and how utilities must request PUCT authorization to lease TEEEF units, and it generally requires a utility to obtain preapproval prior to renewing or entering into a new lease of TEEEF units, with exceptions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for emergency situations or if the lease includes a provision allowing for the alteration of the lease based on applicable PUCT orders or rules. Houston Electric believes that it continues to need small TEEEF units, and on May 27, 2025, Houston Electric filed an application pursuant to the TEEEF Rule requesting preapproval to enter into two leases for a combined approximately 20 MW of TEEEF capacity comprised of 36 small TEEEF units, each with a capacity range of 200 kW to 1,250 kW, for respective terms of 36 months. Approval of Houston Electric’s request in this filing will have no cost impact on customers at this time because cost determination will occur in a future proceeding. On October 13, 2025, Houston Electric filed errata and supplemental testimony to modify its application to instead request preapproval of just one lease for all 36 small TEEEF units. On December 3, 2025, Houston Electric filed a stipulation and settlement agreement. On March 12, 2026, the PUCT issued an order authorizing Houston Electric to enter into a lease for a combined approximately 20 MW of TEEEF capacity comprised of 36 small TEEEF units, each with a capacity range of 200 kW to 1,250 kW, for a term of 36 months.</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May 2024 Storm Events</w:t>
      </w:r>
    </w:p>
    <w:p>
      <w:pPr>
        <w:spacing w:after="0" w:line="202"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Houston Electric’s electric delivery system suffered significant damage as a result of the May 2024 Storm Events. As is common with electric utilities serving coastal regions, the poles, towers, wires, street lights and pole-mounted equipment that comprise Houston Electric’s transmission and distribution system are not covered by property insurance.</w:t>
      </w:r>
    </w:p>
    <w:p>
      <w:pPr>
        <w:spacing w:after="0" w:line="1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September 2025, Restoration Bond Company II issued approximately $401.5 million aggregate principal amount of the Restoration Bond Company II Securitization Bonds and used a portion of the net proceeds from the issuance to purchase the system restoration property, which was composed of system restoration costs previously classified within Regulatory assets and Property, plant and equipment on Houston Electric’s Condensed Consolidated Balance Sheets, from Houston Electric. Subsequent to the issuance of the Restoration Bond Company II Securitization Bonds, the system restoration property is reflected within Regulatory Assets on Houston Electric’s Condensed Consolidated Balance Sheets.</w:t>
      </w:r>
    </w:p>
    <w:p>
      <w:pPr>
        <w:spacing w:after="0" w:line="1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Restoration Bond Company II Securitization Bonds are secured by the system restoration property, which includes the right to recover, through non-bypassable system restoration charges payable by Houston Electric’s retail electric customers, the qualified costs of Houston Electric associated with the May 2024 Storm Events authorized by the PUCT Financing Order. Restoration Bond Company II, not Houston Electric, is the owner of the system restoration property, and the assets of Restoration Bond Company II are not available to pay the creditors of Houston Electric or its affiliates, other than Restoration Bond Company II. Houston Electric has no payment obligations with respect to the Restoration Bond Company II Securitization Bonds except to remit collections of system restoration charges as set forth in a servicing agreement between Houston Electric and Restoration Bond Company II.</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Hurricane Beryl and Subsequent Storm Events</w:t>
      </w:r>
    </w:p>
    <w:p>
      <w:pPr>
        <w:spacing w:after="0" w:line="202" w:lineRule="exact"/>
        <w:rPr>
          <w:sz w:val="20"/>
          <w:szCs w:val="20"/>
          <w:color w:val="auto"/>
        </w:rPr>
      </w:pPr>
    </w:p>
    <w:p>
      <w:pPr>
        <w:ind w:right="4260" w:firstLine="255"/>
        <w:spacing w:after="0" w:line="264" w:lineRule="auto"/>
        <w:rPr>
          <w:sz w:val="20"/>
          <w:szCs w:val="20"/>
          <w:color w:val="auto"/>
        </w:rPr>
      </w:pPr>
      <w:r>
        <w:rPr>
          <w:rFonts w:ascii="Times New Roman" w:cs="Times New Roman" w:eastAsia="Times New Roman" w:hAnsi="Times New Roman"/>
          <w:sz w:val="14"/>
          <w:szCs w:val="14"/>
          <w:color w:val="auto"/>
        </w:rPr>
        <w:t>Houston Electric’s electric delivery system suffered significant damage as a result of Hurricane Beryl and certain other significant storms. As is common with electric utilities serving coastal regions, the poles, towers, wires, street lights and pole-mounted equipment that comprise Houston Electric’s transmission and distribution system are not covered by property insurance.</w:t>
      </w:r>
    </w:p>
    <w:p>
      <w:pPr>
        <w:spacing w:after="0" w:line="162"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In February 2026, Restoration Bond Company III issued approximately $1.193 billion aggregate principal amount of the Restoration Bond Company III Securitization Bonds and used a portion of the net proceeds from the issuance to purchase the system restoration property, which was composed of system restoration costs previously classified within Regulatory assets and Property, plant and equipment on Houston Electric’s Condensed Consolidated Balance Sheets, from Houston Electric. Subsequent to the issuance of the Restoration Bond Company III Securitization Bonds, the system restoration property is reflected within Regulatory Assets on Houston Electric’s Condensed Consolidated Balance Sheets.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Restoration Bond Company III Securitization Bonds are secured by the system restoration property, which includes the right to recover, through non-bypassable system restoration charges payable by Houston Electric’s retail electric customers, the qualified costs of Houston Electric associated with Hurricane Beryl and certain other significant storms authorized by the PUCT in its Financing Order. Restoration Bond Company III, not Houston Electric, is the owner of the system restoration property, and the assets of Restoration Bond Company III are not available to pay the creditors of Houston Electric or its affiliates, other than Restoration Bond Company III. Houston Electric has no payment obligations with respect to the Restoration Bond Company III Securitization Bonds except to remit collections of system restoration charges as set forth in a servicing agreement between Houston Electric and Restoration Bond Company III.</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11(c) for information regarding litigation related to Hurricane Beryl.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Fair Value Measurements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145" w:lineRule="exact"/>
        <w:rPr>
          <w:sz w:val="20"/>
          <w:szCs w:val="20"/>
          <w:color w:val="auto"/>
        </w:rPr>
      </w:pPr>
    </w:p>
    <w:p>
      <w:pPr>
        <w:ind w:left="260" w:right="180"/>
        <w:spacing w:after="0" w:line="287" w:lineRule="auto"/>
        <w:rPr>
          <w:sz w:val="20"/>
          <w:szCs w:val="20"/>
          <w:color w:val="auto"/>
        </w:rPr>
      </w:pPr>
      <w:r>
        <w:rPr>
          <w:rFonts w:ascii="Times New Roman" w:cs="Times New Roman" w:eastAsia="Times New Roman" w:hAnsi="Times New Roman"/>
          <w:sz w:val="14"/>
          <w:szCs w:val="14"/>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145" w:lineRule="exact"/>
        <w:rPr>
          <w:sz w:val="20"/>
          <w:szCs w:val="20"/>
          <w:color w:val="auto"/>
        </w:rPr>
      </w:pPr>
    </w:p>
    <w:p>
      <w:pPr>
        <w:ind w:left="260" w:right="40"/>
        <w:spacing w:after="0" w:line="261" w:lineRule="auto"/>
        <w:rPr>
          <w:sz w:val="20"/>
          <w:szCs w:val="20"/>
          <w:color w:val="auto"/>
        </w:rPr>
      </w:pPr>
      <w:r>
        <w:rPr>
          <w:rFonts w:ascii="Times New Roman" w:cs="Times New Roman" w:eastAsia="Times New Roman" w:hAnsi="Times New Roman"/>
          <w:sz w:val="14"/>
          <w:szCs w:val="14"/>
          <w:color w:val="auto"/>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 category are derivatives with fair values based on inputs from actively quoted markets. A market approach is utilized to value the Registrants’ Level 2 interest rate derivative assets or liabilities and natural gas derivative assets or liabilities, if any. CenterPoint Energy’s Level 2 indexed debt securities derivative is valued using an option model and a discounted cash flow model, which uses projected dividends on the ZENS-Related Securities and a discount rate as observable inputs.</w:t>
      </w:r>
    </w:p>
    <w:p>
      <w:pPr>
        <w:spacing w:after="0" w:line="164"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4"/>
          <w:szCs w:val="14"/>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57"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Registrants determine the appropriate level for each financial asset and liability on a quarterly basis and recognize transfers between levels at the end of the reporting period. As of March 31, 2026 and December 31, 2025, the Registrants did not have any assets or liabilities classified as Level 3.</w:t>
      </w:r>
    </w:p>
    <w:p>
      <w:pPr>
        <w:spacing w:after="0" w:line="145"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Registrants’ assets and liabilities measured at fair value on a recurring basis as of the dates presented and indicate the fair value hierarchy of the valuation techniques utilized by the Registrants to determine such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7"/>
        </w:trPr>
        <w:tc>
          <w:tcPr>
            <w:tcW w:w="4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Investment in equity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555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0" w:type="dxa"/>
            <w:vAlign w:val="bottom"/>
          </w:tcPr>
          <w:p>
            <w:pPr>
              <w:spacing w:after="0"/>
              <w:rPr>
                <w:sz w:val="1"/>
                <w:szCs w:val="1"/>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Investments, including money market funds (1) (3)</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88"/>
        </w:trPr>
        <w:tc>
          <w:tcPr>
            <w:tcW w:w="40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Indexed debt securities derivative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606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0" w:type="dxa"/>
            <w:vAlign w:val="bottom"/>
          </w:tcPr>
          <w:p>
            <w:pPr>
              <w:spacing w:after="0"/>
              <w:rPr>
                <w:sz w:val="1"/>
                <w:szCs w:val="1"/>
                <w:color w:val="auto"/>
              </w:rPr>
            </w:pPr>
          </w:p>
        </w:tc>
      </w:tr>
      <w:tr>
        <w:trPr>
          <w:trHeight w:val="160"/>
        </w:trPr>
        <w:tc>
          <w:tcPr>
            <w:tcW w:w="40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606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61"/>
        </w:trPr>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4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3"/>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7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Investments, including money market funds (2) (3)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0"/>
        </w:trPr>
        <w:tc>
          <w:tcPr>
            <w:tcW w:w="40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61"/>
        </w:trPr>
        <w:tc>
          <w:tcPr>
            <w:tcW w:w="4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4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71"/>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Investments, including money market funds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0"/>
        </w:trPr>
        <w:tc>
          <w:tcPr>
            <w:tcW w:w="41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16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 w:lineRule="exact"/>
        <w:rPr>
          <w:sz w:val="20"/>
          <w:szCs w:val="20"/>
          <w:color w:val="auto"/>
        </w:rPr>
      </w:pPr>
    </w:p>
    <w:p>
      <w:pPr>
        <w:ind w:left="500" w:hanging="240"/>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included in Other non-current assets in the respective Condensed Consolidated Balance Sheets.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included in Prepaid expenses and other current assets in the Condensed Consolidated Balance Sheets.</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associated with capital contributions made to the Bond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Estimated Fair Value of Financial Instruments</w:t>
      </w:r>
    </w:p>
    <w:p>
      <w:pPr>
        <w:spacing w:after="0" w:line="202"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fair values of cash and cash equivalents and investments in equity securities measured at fair value are estimated to be approximately equivalent to carrying amounts and have been excluded from the table below. Additionally, CenterPoint Energy’s ZENS indexed debt securities derivative is stated at fair value and is excluded from the table below. The fair value of each debt instrument included below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9"/>
              </w:rPr>
              <w:t>March 31, 2026</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820" w:type="dxa"/>
            <w:vAlign w:val="bottom"/>
          </w:tcPr>
          <w:p>
            <w:pPr>
              <w:spacing w:after="0"/>
              <w:rPr>
                <w:sz w:val="10"/>
                <w:szCs w:val="10"/>
                <w:color w:val="auto"/>
              </w:rPr>
            </w:pPr>
          </w:p>
        </w:tc>
        <w:tc>
          <w:tcPr>
            <w:tcW w:w="120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Houston Electric (1)</w:t>
            </w:r>
          </w:p>
        </w:tc>
        <w:tc>
          <w:tcPr>
            <w:tcW w:w="300" w:type="dxa"/>
            <w:vAlign w:val="bottom"/>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20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Houston Electric (1)</w:t>
            </w:r>
          </w:p>
        </w:tc>
        <w:tc>
          <w:tcPr>
            <w:tcW w:w="300" w:type="dxa"/>
            <w:vAlign w:val="bottom"/>
          </w:tcPr>
          <w:p>
            <w:pPr>
              <w:spacing w:after="0"/>
              <w:rPr>
                <w:sz w:val="10"/>
                <w:szCs w:val="10"/>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7"/>
        </w:trPr>
        <w:tc>
          <w:tcPr>
            <w:tcW w:w="3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(1)</w:t>
            </w:r>
          </w:p>
        </w:tc>
        <w:tc>
          <w:tcPr>
            <w:tcW w:w="126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(1)</w:t>
            </w:r>
          </w:p>
        </w:tc>
        <w:tc>
          <w:tcPr>
            <w:tcW w:w="126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820" w:type="dxa"/>
            <w:vAlign w:val="bottom"/>
          </w:tcPr>
          <w:p>
            <w:pPr>
              <w:jc w:val="right"/>
              <w:ind w:right="358"/>
              <w:spacing w:after="0" w:line="110" w:lineRule="exact"/>
              <w:rPr>
                <w:sz w:val="20"/>
                <w:szCs w:val="20"/>
                <w:color w:val="auto"/>
              </w:rPr>
            </w:pPr>
            <w:r>
              <w:rPr>
                <w:rFonts w:ascii="Times New Roman" w:cs="Times New Roman" w:eastAsia="Times New Roman" w:hAnsi="Times New Roman"/>
                <w:sz w:val="12"/>
                <w:szCs w:val="12"/>
                <w:b w:val="1"/>
                <w:bCs w:val="1"/>
                <w:color w:val="auto"/>
              </w:rPr>
              <w:t>Short-term borrowings and long-term debt, including current</w:t>
            </w: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gridSpan w:val="3"/>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20" w:type="dxa"/>
            <w:vAlign w:val="bottom"/>
            <w:vMerge w:val="restart"/>
          </w:tcPr>
          <w:p>
            <w:pPr>
              <w:jc w:val="right"/>
              <w:ind w:right="3098"/>
              <w:spacing w:after="0"/>
              <w:rPr>
                <w:sz w:val="20"/>
                <w:szCs w:val="20"/>
                <w:color w:val="auto"/>
              </w:rPr>
            </w:pPr>
            <w:r>
              <w:rPr>
                <w:rFonts w:ascii="Times New Roman" w:cs="Times New Roman" w:eastAsia="Times New Roman" w:hAnsi="Times New Roman"/>
                <w:sz w:val="13"/>
                <w:szCs w:val="13"/>
                <w:b w:val="1"/>
                <w:bCs w:val="1"/>
                <w:color w:val="auto"/>
              </w:rPr>
              <w:t>maturities</w:t>
            </w: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8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820" w:type="dxa"/>
            <w:vAlign w:val="bottom"/>
            <w:shd w:val="clear" w:color="auto" w:fill="CCEEFF"/>
          </w:tcPr>
          <w:p>
            <w:pPr>
              <w:jc w:val="right"/>
              <w:ind w:right="2738"/>
              <w:spacing w:after="0"/>
              <w:rPr>
                <w:sz w:val="20"/>
                <w:szCs w:val="20"/>
                <w:color w:val="auto"/>
              </w:rPr>
            </w:pPr>
            <w:r>
              <w:rPr>
                <w:rFonts w:ascii="Times New Roman" w:cs="Times New Roman" w:eastAsia="Times New Roman" w:hAnsi="Times New Roman"/>
                <w:sz w:val="13"/>
                <w:szCs w:val="13"/>
                <w:color w:val="auto"/>
              </w:rPr>
              <w:t>Carrying amount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24,683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11,557</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22,980</w:t>
            </w: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10,079</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0" w:type="dxa"/>
            <w:vAlign w:val="bottom"/>
          </w:tcPr>
          <w:p>
            <w:pPr>
              <w:spacing w:after="0"/>
              <w:rPr>
                <w:sz w:val="1"/>
                <w:szCs w:val="1"/>
                <w:color w:val="auto"/>
              </w:rPr>
            </w:pPr>
          </w:p>
        </w:tc>
      </w:tr>
      <w:tr>
        <w:trPr>
          <w:trHeight w:val="165"/>
        </w:trPr>
        <w:tc>
          <w:tcPr>
            <w:tcW w:w="3820" w:type="dxa"/>
            <w:vAlign w:val="bottom"/>
          </w:tcPr>
          <w:p>
            <w:pPr>
              <w:jc w:val="right"/>
              <w:ind w:right="3098"/>
              <w:spacing w:after="0"/>
              <w:rPr>
                <w:sz w:val="20"/>
                <w:szCs w:val="20"/>
                <w:color w:val="auto"/>
              </w:rPr>
            </w:pPr>
            <w:r>
              <w:rPr>
                <w:rFonts w:ascii="Times New Roman" w:cs="Times New Roman" w:eastAsia="Times New Roman" w:hAnsi="Times New Roman"/>
                <w:sz w:val="13"/>
                <w:szCs w:val="13"/>
                <w:color w:val="auto"/>
              </w:rPr>
              <w:t>Fair value</w:t>
            </w:r>
          </w:p>
        </w:tc>
        <w:tc>
          <w:tcPr>
            <w:tcW w:w="30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23,968</w:t>
            </w:r>
          </w:p>
        </w:tc>
        <w:tc>
          <w:tcPr>
            <w:tcW w:w="180" w:type="dxa"/>
            <w:vAlign w:val="bottom"/>
          </w:tcPr>
          <w:p>
            <w:pPr>
              <w:spacing w:after="0"/>
              <w:rPr>
                <w:sz w:val="14"/>
                <w:szCs w:val="14"/>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10,606</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22,377</w:t>
            </w:r>
          </w:p>
        </w:tc>
        <w:tc>
          <w:tcPr>
            <w:tcW w:w="48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9,292</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4,711</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00" w:hanging="240"/>
        <w:spacing w:after="0"/>
        <w:tabs>
          <w:tab w:leader="none" w:pos="5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Securitization Bonds.</w:t>
      </w:r>
    </w:p>
    <w:p>
      <w:pPr>
        <w:spacing w:after="0" w:line="197"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Securities and Indexed Debt Securities (ZENS) (CenterPoint Energy)</w:t>
      </w:r>
    </w:p>
    <w:p>
      <w:pPr>
        <w:spacing w:after="0" w:line="19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(a) Equity Securities</w:t>
      </w:r>
    </w:p>
    <w:p>
      <w:pPr>
        <w:spacing w:after="0" w:line="202" w:lineRule="exact"/>
        <w:rPr>
          <w:sz w:val="20"/>
          <w:szCs w:val="20"/>
          <w:color w:val="auto"/>
        </w:rPr>
      </w:pPr>
    </w:p>
    <w:p>
      <w:pPr>
        <w:ind w:right="460" w:firstLine="255"/>
        <w:spacing w:after="0" w:line="287" w:lineRule="auto"/>
        <w:rPr>
          <w:sz w:val="20"/>
          <w:szCs w:val="20"/>
          <w:color w:val="auto"/>
        </w:rPr>
      </w:pPr>
      <w:r>
        <w:rPr>
          <w:rFonts w:ascii="Times New Roman" w:cs="Times New Roman" w:eastAsia="Times New Roman" w:hAnsi="Times New Roman"/>
          <w:sz w:val="14"/>
          <w:szCs w:val="14"/>
          <w:color w:val="auto"/>
        </w:rPr>
        <w:t>Gains and losses on equity securities, net of transaction costs, are recorded in Gain (loss) on equity securities in CenterPoint Energy’s Condensed Statements of Consolidated Income. The following table presents unrealized gains (losses), net on equity securities owned by CenterPoint Energy for each period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320" w:type="dxa"/>
            <w:vAlign w:val="bottom"/>
            <w:tcBorders>
              <w:bottom w:val="single" w:sz="8" w:color="auto"/>
            </w:tcBorders>
            <w:gridSpan w:val="4"/>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3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0" w:type="dxa"/>
            <w:vAlign w:val="bottom"/>
            <w:gridSpan w:val="3"/>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80" w:type="dxa"/>
            <w:vAlign w:val="bottom"/>
          </w:tcPr>
          <w:p>
            <w:pPr>
              <w:spacing w:after="0"/>
              <w:rPr>
                <w:sz w:val="13"/>
                <w:szCs w:val="13"/>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13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1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13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gains on equity securities, net</w:t>
            </w:r>
          </w:p>
        </w:tc>
        <w:tc>
          <w:tcPr>
            <w:tcW w:w="132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3"/>
                <w:szCs w:val="13"/>
                <w:color w:val="auto"/>
              </w:rPr>
            </w:pPr>
          </w:p>
        </w:tc>
        <w:tc>
          <w:tcPr>
            <w:tcW w:w="138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0"/>
        </w:trPr>
        <w:tc>
          <w:tcPr>
            <w:tcW w:w="7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 The following table presents information on CenterPoint Energy’s equity securities for each period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2300" w:type="dxa"/>
            <w:vAlign w:val="bottom"/>
            <w:tcBorders>
              <w:bottom w:val="single" w:sz="8" w:color="auto"/>
            </w:tcBorders>
            <w:gridSpan w:val="3"/>
          </w:tcPr>
          <w:p>
            <w:pPr>
              <w:ind w:left="1580"/>
              <w:spacing w:after="0"/>
              <w:rPr>
                <w:sz w:val="20"/>
                <w:szCs w:val="20"/>
                <w:color w:val="auto"/>
              </w:rPr>
            </w:pPr>
            <w:r>
              <w:rPr>
                <w:rFonts w:ascii="Times New Roman" w:cs="Times New Roman" w:eastAsia="Times New Roman" w:hAnsi="Times New Roman"/>
                <w:sz w:val="13"/>
                <w:szCs w:val="13"/>
                <w:b w:val="1"/>
                <w:bCs w:val="1"/>
                <w:color w:val="auto"/>
              </w:rPr>
              <w:t>Shares Held</w:t>
            </w:r>
          </w:p>
        </w:tc>
        <w:tc>
          <w:tcPr>
            <w:tcW w:w="1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460" w:type="dxa"/>
            <w:vAlign w:val="bottom"/>
            <w:tcBorders>
              <w:bottom w:val="single" w:sz="8" w:color="auto"/>
            </w:tcBorders>
          </w:tcPr>
          <w:p>
            <w:pPr>
              <w:spacing w:after="0"/>
              <w:rPr>
                <w:sz w:val="14"/>
                <w:szCs w:val="14"/>
                <w:color w:val="auto"/>
              </w:rPr>
            </w:pPr>
          </w:p>
        </w:tc>
      </w:tr>
      <w:tr>
        <w:trPr>
          <w:trHeight w:val="161"/>
        </w:trPr>
        <w:tc>
          <w:tcPr>
            <w:tcW w:w="3560" w:type="dxa"/>
            <w:vAlign w:val="bottom"/>
          </w:tcPr>
          <w:p>
            <w:pPr>
              <w:spacing w:after="0"/>
              <w:rPr>
                <w:sz w:val="14"/>
                <w:szCs w:val="14"/>
                <w:color w:val="auto"/>
              </w:rPr>
            </w:pPr>
          </w:p>
        </w:tc>
        <w:tc>
          <w:tcPr>
            <w:tcW w:w="230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52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400" w:type="dxa"/>
            <w:vAlign w:val="bottom"/>
          </w:tcPr>
          <w:p>
            <w:pPr>
              <w:spacing w:after="0"/>
              <w:rPr>
                <w:sz w:val="14"/>
                <w:szCs w:val="14"/>
                <w:color w:val="auto"/>
              </w:rPr>
            </w:pPr>
          </w:p>
        </w:tc>
        <w:tc>
          <w:tcPr>
            <w:tcW w:w="146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r>
      <w:tr>
        <w:trPr>
          <w:trHeight w:val="160"/>
        </w:trPr>
        <w:tc>
          <w:tcPr>
            <w:tcW w:w="356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60" w:type="dxa"/>
            <w:vAlign w:val="bottom"/>
            <w:tcBorders>
              <w:top w:val="single" w:sz="8" w:color="auto"/>
            </w:tcBorders>
          </w:tcPr>
          <w:p>
            <w:pPr>
              <w:spacing w:after="0"/>
              <w:rPr>
                <w:sz w:val="13"/>
                <w:szCs w:val="13"/>
                <w:color w:val="auto"/>
              </w:rPr>
            </w:pPr>
          </w:p>
        </w:tc>
      </w:tr>
      <w:tr>
        <w:trPr>
          <w:trHeight w:val="171"/>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10,212,945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10,212,945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r>
      <w:tr>
        <w:trPr>
          <w:trHeight w:val="168"/>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872,503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872,503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72"/>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2,470,685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2,470,685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68"/>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8"/>
        </w:trPr>
        <w:tc>
          <w:tcPr>
            <w:tcW w:w="3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ZENS</w:t>
      </w:r>
    </w:p>
    <w:p>
      <w:pPr>
        <w:spacing w:after="0" w:line="202" w:lineRule="exact"/>
        <w:rPr>
          <w:sz w:val="20"/>
          <w:szCs w:val="20"/>
          <w:color w:val="auto"/>
        </w:rPr>
      </w:pPr>
    </w:p>
    <w:p>
      <w:pPr>
        <w:jc w:val="both"/>
        <w:ind w:right="320" w:firstLine="255"/>
        <w:spacing w:after="0" w:line="270" w:lineRule="auto"/>
        <w:rPr>
          <w:sz w:val="20"/>
          <w:szCs w:val="20"/>
          <w:color w:val="auto"/>
        </w:rPr>
      </w:pPr>
      <w:r>
        <w:rPr>
          <w:rFonts w:ascii="Times New Roman" w:cs="Times New Roman" w:eastAsia="Times New Roman" w:hAnsi="Times New Roman"/>
          <w:sz w:val="14"/>
          <w:szCs w:val="14"/>
          <w:color w:val="auto"/>
        </w:rPr>
        <w:t>In September 1999, CenterPoint Energy issued ZENS having an original principal amount of $1.0 billion, of which $828 million remained outstanding as of March 31, 2026.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 CenterPoint Energy’s reference shares for each ZENS consisted of the following for the periods presented: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2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1"/>
        </w:trPr>
        <w:tc>
          <w:tcPr>
            <w:tcW w:w="7480" w:type="dxa"/>
            <w:vAlign w:val="bottom"/>
          </w:tcPr>
          <w:p>
            <w:pPr>
              <w:spacing w:after="0"/>
              <w:rPr>
                <w:sz w:val="14"/>
                <w:szCs w:val="14"/>
                <w:color w:val="auto"/>
              </w:rPr>
            </w:pPr>
          </w:p>
        </w:tc>
        <w:tc>
          <w:tcPr>
            <w:tcW w:w="22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(in shares)</w:t>
            </w:r>
          </w:p>
        </w:tc>
        <w:tc>
          <w:tcPr>
            <w:tcW w:w="1520" w:type="dxa"/>
            <w:vAlign w:val="bottom"/>
          </w:tcPr>
          <w:p>
            <w:pPr>
              <w:spacing w:after="0"/>
              <w:rPr>
                <w:sz w:val="14"/>
                <w:szCs w:val="14"/>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2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0.7185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0.7185</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228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rPr>
              <w:t>0.061382</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0.061382</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2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0.173817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0.173817</w:t>
            </w:r>
          </w:p>
        </w:tc>
      </w:tr>
    </w:tbl>
    <w:p>
      <w:pPr>
        <w:spacing w:after="0" w:line="251"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On February 27, 2026, Paramount Skydance Corporation (“Paramount”) and WBD announced they entered into a definitive merger agreement under which Paramount will pay $31.00 per share in cash for all outstanding shares of WBD. If the merger closes, WBD shares would be exchanged for cash and as a result, reference shares would consist of AT&amp;T Common and Charter Common. The merger is expected to close in the third quarter of 2026.</w:t>
      </w:r>
    </w:p>
    <w:p>
      <w:pPr>
        <w:spacing w:after="0" w:line="157"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March 31, 2026, the ZENS, having an original principal amount of $828 million, were outstanding and were exchangeable, at the option of the holders, for cash equal to 95% of the market value of the reference shares attributable to the ZENS.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Short-term Borrowings and Long-term Debt</w:t>
      </w:r>
    </w:p>
    <w:p>
      <w:pPr>
        <w:spacing w:after="0" w:line="200"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Debt Issuances. </w:t>
      </w:r>
      <w:r>
        <w:rPr>
          <w:rFonts w:ascii="Times New Roman" w:cs="Times New Roman" w:eastAsia="Times New Roman" w:hAnsi="Times New Roman"/>
          <w:sz w:val="14"/>
          <w:szCs w:val="14"/>
          <w:color w:val="auto"/>
        </w:rPr>
        <w:t>In January 2026, CERC Corp. entered into a delayed draw term loan agreement pursuant to which the banks party thereto have committed to provide term loans in an aggregate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principal amount of up to $800 million by March 30, 2026 in up to three separate borrowings, subject to the satisfaction or waiver of certain customary conditions. The maturity date of the term loan is July 16, 2027. The borrowings under the term loan agreement bear interest at CERC’s option, at a rate per annum equal to either (i) Term SOFR (as defined in the term loan agreement), plus a margin of 0.85%, or (ii) the Alternate Base Rate (as defined in the term loan agreement). CERC Corp. borrowed $500 million on January 20, 2026 and borrowed the remaining $300 million on March 25, 2026. CERC used the proceeds thereof for general corporate purposes.</w:t>
      </w:r>
    </w:p>
    <w:p>
      <w:pPr>
        <w:spacing w:after="0" w:line="163" w:lineRule="exact"/>
        <w:rPr>
          <w:sz w:val="20"/>
          <w:szCs w:val="20"/>
          <w:color w:val="auto"/>
        </w:rPr>
      </w:pPr>
    </w:p>
    <w:p>
      <w:pPr>
        <w:jc w:val="both"/>
        <w:ind w:right="200" w:firstLine="255"/>
        <w:spacing w:after="0" w:line="270" w:lineRule="auto"/>
        <w:rPr>
          <w:sz w:val="20"/>
          <w:szCs w:val="20"/>
          <w:color w:val="auto"/>
        </w:rPr>
      </w:pPr>
      <w:r>
        <w:rPr>
          <w:rFonts w:ascii="Times New Roman" w:cs="Times New Roman" w:eastAsia="Times New Roman" w:hAnsi="Times New Roman"/>
          <w:sz w:val="14"/>
          <w:szCs w:val="14"/>
          <w:color w:val="auto"/>
        </w:rPr>
        <w:t>In February 2026, Restoration Bond Company III issued and sold approximately $1.193 billion aggregate principal amount of the Restoration Bond Company III Securitization Bonds in three tranches with initial principal amounts of $298,370,000, $397,825,000 and $497,279,000, with interest rates of 3.899%, 4.480% and 4.864% and scheduled final payment dates of December 2030, June 2035 and December 2039, respectively. Restoration Bond Company III used the net proceeds from the issuance to purchase the system restoration property from Houston Electric.</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In February 2026, Houston Electric issued and sold $800 million aggregate principal amount of its 4.85% General Mortgage Bonds, Series AR, due 2036. Total proceeds, net of transaction expenses and fees, were approximately $791 million, which was used for general limited liability company purposes, including capital expenditures and working capital purposes.</w:t>
      </w:r>
    </w:p>
    <w:p>
      <w:pPr>
        <w:spacing w:after="0" w:line="143" w:lineRule="exact"/>
        <w:rPr>
          <w:sz w:val="20"/>
          <w:szCs w:val="20"/>
          <w:color w:val="auto"/>
        </w:rPr>
      </w:pPr>
    </w:p>
    <w:p>
      <w:pPr>
        <w:ind w:right="32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2029 Convertible Senior Notes. </w:t>
      </w:r>
      <w:r>
        <w:rPr>
          <w:rFonts w:ascii="Times New Roman" w:cs="Times New Roman" w:eastAsia="Times New Roman" w:hAnsi="Times New Roman"/>
          <w:sz w:val="14"/>
          <w:szCs w:val="14"/>
          <w:color w:val="auto"/>
        </w:rPr>
        <w:t>In February 2026, CenterPoint Energy issued and sold $650 million aggregate principal amount of the 2029 Convertible Senior Notes. The 2029 Convertible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Notes bear interest at a rate of 2.875% per year. Total proceeds, net of transaction expenses and fees, were approximately $642 million, which were used for general corporate purposes.</w:t>
      </w:r>
    </w:p>
    <w:p>
      <w:pPr>
        <w:spacing w:after="0" w:line="143" w:lineRule="exact"/>
        <w:rPr>
          <w:sz w:val="20"/>
          <w:szCs w:val="20"/>
          <w:color w:val="auto"/>
        </w:rPr>
      </w:pPr>
    </w:p>
    <w:p>
      <w:pPr>
        <w:ind w:right="120" w:firstLine="255"/>
        <w:spacing w:after="0" w:line="307" w:lineRule="auto"/>
        <w:rPr>
          <w:sz w:val="20"/>
          <w:szCs w:val="20"/>
          <w:color w:val="auto"/>
        </w:rPr>
      </w:pPr>
      <w:r>
        <w:rPr>
          <w:rFonts w:ascii="Times New Roman" w:cs="Times New Roman" w:eastAsia="Times New Roman" w:hAnsi="Times New Roman"/>
          <w:sz w:val="14"/>
          <w:szCs w:val="14"/>
          <w:color w:val="auto"/>
        </w:rPr>
        <w:t>Interest on the 2029 Convertible Notes is payable semiannually in arrears on May 15 and November 15 of each year, beginning on November 15, 2026. The 2029 Convertible Notes will mature on May 15, 2029, unless earlier converted or repurchased by CenterPoint Energy in accordance with their terms</w:t>
      </w:r>
      <w:r>
        <w:rPr>
          <w:rFonts w:ascii="Arial" w:cs="Arial" w:eastAsia="Arial" w:hAnsi="Arial"/>
          <w:sz w:val="16"/>
          <w:szCs w:val="16"/>
          <w:color w:val="auto"/>
        </w:rPr>
        <w:t>.</w:t>
      </w:r>
    </w:p>
    <w:p>
      <w:pPr>
        <w:spacing w:after="0" w:line="120"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Prior to the close of business on the business day immediately preceding February 15, 2029, the 2029 Convertible Notes are convertible only under certain conditions. On or after February 15, 2029 until the close of business on the second scheduled trading day immediately preceding the maturity date, holders of the 2029 Convertible Notes may convert all or any portion of their 2029 Convertible Notes at any time at the conversion rate then in effect, irrespective of the conditions. CenterPoint Energy may not redeem the 2029 Convertible Notes prior to the maturity date.</w:t>
      </w:r>
    </w:p>
    <w:p>
      <w:pPr>
        <w:spacing w:after="0" w:line="15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Upon conversion of the 2029 Convertible Notes, CenterPoint Energy will pay cash up to the aggregate principal amount of the 2029 Convertible Notes to be converted and pay or deliver, as the case may be, cash, shares of Common Stock, or a combination of cash and shares of Common Stock, at CenterPoint Energy’s election, in respect of the remainder, if any, of CenterPoint Energy’s conversion obligation in excess of the aggregate principal amount of the 2029 Convertible Notes being converted. The conversion rate for the 2029 Convertible Notes is initially 18.6524 shares of Common Stock per $1,000 principal amount of 2029 Convertible Notes (equivalent to an initial conversion price of approximately $53.61 per share of Common Stock). The initial conversion price of the 2029 Convertible Notes represents a premium of approximately 25.0% over the last reported sale price of the Common Stock on the NYSE on February 23, 2026. Initially, a maximum of 15,155,010 shares of Common Stock may be issued upon conversion of the 2029 Convertible Notes based on the initial maximum conversion rate of 23.3154 shares of Common Stock per $1,000 principal amount of 2029 Convertible Notes. The conversion rate will be subject to adjustment in some events (as described in the 2029 Convertible Notes Indenture) but will not be adjusted for any accrued and unpaid interest.</w:t>
      </w:r>
    </w:p>
    <w:p>
      <w:pPr>
        <w:spacing w:after="0" w:line="168" w:lineRule="exact"/>
        <w:rPr>
          <w:sz w:val="20"/>
          <w:szCs w:val="20"/>
          <w:color w:val="auto"/>
        </w:rPr>
      </w:pPr>
    </w:p>
    <w:p>
      <w:pPr>
        <w:jc w:val="both"/>
        <w:ind w:right="20" w:firstLine="255"/>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Debt Repayments. </w:t>
      </w:r>
      <w:r>
        <w:rPr>
          <w:rFonts w:ascii="Times New Roman" w:cs="Times New Roman" w:eastAsia="Times New Roman" w:hAnsi="Times New Roman"/>
          <w:sz w:val="14"/>
          <w:szCs w:val="14"/>
          <w:color w:val="auto"/>
        </w:rPr>
        <w:t>On February 11, 2026, CERC Corp. commenced sending out notices of full prepayment relating to (i) $10 million aggregate principal amount of its 4.25% Senior Notes, Series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 due June 5, 2043, (ii) $40 million aggregate principal amount of its 4.36% Senior Notes, Series B, due December 15, 2045, (iii) $35 million aggregate principal amount of its 5.99% Senior Notes, Series C, due November 30, 2041, (iv) $60 million aggregate principal amount of its 5.02% Senior Notes, Series B, due November 30, 2026 and (v) $100 million aggregate principal amount of its</w:t>
      </w:r>
    </w:p>
    <w:p>
      <w:pPr>
        <w:spacing w:after="0" w:line="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5.00% Senior Notes due February 3, 2042, pursuant to Note Purchase Agreements, each dated as of May 27, 2022, by and among CERC Corp. and the purchasers party thereto. Such notes were prepaid on March 27, 2026 at 100% of the principal amount plus accrued and unpaid interest and a Make-Whole Amount (as defined in the respective Note Purchase Agreements). Each of CenterPoint Energy and CERC recognized a loss on early extinguishment of debt of approximately $13 million for the three months ended March 31, 2026, which is included in Interest expense and other finance charges on their respective Statements of Consolidated Income.</w:t>
      </w:r>
    </w:p>
    <w:p>
      <w:pPr>
        <w:spacing w:after="0" w:line="162"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In February 2026, Houston Electric repaid the $500 million outstanding amount of its term loan, including accrued and unpaid interest thereon, and, following the repayment, the term loan agreement was terminated.</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right="4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Credit Facilities</w:t>
      </w:r>
      <w:r>
        <w:rPr>
          <w:rFonts w:ascii="Times New Roman" w:cs="Times New Roman" w:eastAsia="Times New Roman" w:hAnsi="Times New Roman"/>
          <w:sz w:val="14"/>
          <w:szCs w:val="14"/>
          <w:color w:val="auto"/>
        </w:rPr>
        <w:t>. On January 29, 2025, CenterPoint Energy, Houston Electric, CERC and SIGECO each entered into extension agreements to, among other things, extend the maturity date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lenders’ commitments under each of their respective credit agreements by one year, from December 6, 2027 to December 6, 2028. The Registrants had the following revolving credit facilities as of March 31, 2026: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Financial Covenant</w:t>
            </w:r>
          </w:p>
        </w:tc>
        <w:tc>
          <w:tcPr>
            <w:tcW w:w="320" w:type="dxa"/>
            <w:vAlign w:val="bottom"/>
          </w:tcPr>
          <w:p>
            <w:pPr>
              <w:spacing w:after="0"/>
              <w:rPr>
                <w:sz w:val="12"/>
                <w:szCs w:val="12"/>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Debt for Borrowed</w:t>
            </w: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Execution</w:t>
            </w:r>
          </w:p>
        </w:tc>
        <w:tc>
          <w:tcPr>
            <w:tcW w:w="180" w:type="dxa"/>
            <w:vAlign w:val="bottom"/>
          </w:tcPr>
          <w:p>
            <w:pPr>
              <w:spacing w:after="0"/>
              <w:rPr>
                <w:sz w:val="11"/>
                <w:szCs w:val="11"/>
                <w:color w:val="auto"/>
              </w:rPr>
            </w:pPr>
          </w:p>
        </w:tc>
        <w:tc>
          <w:tcPr>
            <w:tcW w:w="1060" w:type="dxa"/>
            <w:vAlign w:val="bottom"/>
            <w:vMerge w:val="restart"/>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8"/>
              </w:rPr>
              <w:t>Size of</w:t>
            </w:r>
          </w:p>
        </w:tc>
        <w:tc>
          <w:tcPr>
            <w:tcW w:w="8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Draw Rate of</w:t>
            </w:r>
          </w:p>
        </w:tc>
        <w:tc>
          <w:tcPr>
            <w:tcW w:w="13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Limit on Debt for</w:t>
            </w:r>
          </w:p>
        </w:tc>
        <w:tc>
          <w:tcPr>
            <w:tcW w:w="320" w:type="dxa"/>
            <w:vAlign w:val="bottom"/>
          </w:tcPr>
          <w:p>
            <w:pPr>
              <w:spacing w:after="0"/>
              <w:rPr>
                <w:sz w:val="11"/>
                <w:szCs w:val="11"/>
                <w:color w:val="auto"/>
              </w:rPr>
            </w:pPr>
          </w:p>
        </w:tc>
        <w:tc>
          <w:tcPr>
            <w:tcW w:w="13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Money to Capital</w:t>
            </w: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1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Borrowed Money to</w:t>
            </w:r>
          </w:p>
        </w:tc>
        <w:tc>
          <w:tcPr>
            <w:tcW w:w="320" w:type="dxa"/>
            <w:vAlign w:val="bottom"/>
          </w:tcPr>
          <w:p>
            <w:pPr>
              <w:spacing w:after="0"/>
              <w:rPr>
                <w:sz w:val="11"/>
                <w:szCs w:val="11"/>
                <w:color w:val="auto"/>
              </w:rPr>
            </w:pPr>
          </w:p>
        </w:tc>
        <w:tc>
          <w:tcPr>
            <w:tcW w:w="13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Ratio as of</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0" w:type="dxa"/>
            <w:vAlign w:val="bottom"/>
          </w:tcPr>
          <w:p>
            <w:pPr>
              <w:spacing w:after="0"/>
              <w:rPr>
                <w:sz w:val="1"/>
                <w:szCs w:val="1"/>
                <w:color w:val="auto"/>
              </w:rPr>
            </w:pPr>
          </w:p>
        </w:tc>
      </w:tr>
      <w:tr>
        <w:trPr>
          <w:trHeight w:val="169"/>
        </w:trPr>
        <w:tc>
          <w:tcPr>
            <w:tcW w:w="2040" w:type="dxa"/>
            <w:vAlign w:val="bottom"/>
            <w:gridSpan w:val="2"/>
            <w:vMerge w:val="continue"/>
          </w:tcPr>
          <w:p>
            <w:pPr>
              <w:spacing w:after="0"/>
              <w:rPr>
                <w:sz w:val="14"/>
                <w:szCs w:val="14"/>
                <w:color w:val="auto"/>
              </w:rPr>
            </w:pP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80" w:type="dxa"/>
            <w:vAlign w:val="bottom"/>
          </w:tcPr>
          <w:p>
            <w:pPr>
              <w:spacing w:after="0"/>
              <w:rPr>
                <w:sz w:val="14"/>
                <w:szCs w:val="14"/>
                <w:color w:val="auto"/>
              </w:rPr>
            </w:pPr>
          </w:p>
        </w:tc>
        <w:tc>
          <w:tcPr>
            <w:tcW w:w="106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5"/>
              </w:rPr>
              <w:t>Facility</w:t>
            </w:r>
          </w:p>
        </w:tc>
        <w:tc>
          <w:tcPr>
            <w:tcW w:w="8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SOFR plus (1)</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Capital Ratio</w:t>
            </w:r>
          </w:p>
        </w:tc>
        <w:tc>
          <w:tcPr>
            <w:tcW w:w="32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March 31, 2026 (2)</w:t>
            </w: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8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December 6, 2022</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114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9"/>
              </w:rPr>
              <w:t>1.500%</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65.0%</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2"/>
              </w:rPr>
              <w:t>(3)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59.6%</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(4)</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December 6, 2022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14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9"/>
              </w:rPr>
              <w:t>1.125%</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65.0%</w:t>
            </w:r>
          </w:p>
        </w:tc>
        <w:tc>
          <w:tcPr>
            <w:tcW w:w="3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45.0%</w:t>
            </w:r>
          </w:p>
        </w:tc>
        <w:tc>
          <w:tcPr>
            <w:tcW w:w="100" w:type="dxa"/>
            <w:vAlign w:val="bottom"/>
          </w:tcPr>
          <w:p>
            <w:pPr>
              <w:spacing w:after="0"/>
              <w:rPr>
                <w:sz w:val="14"/>
                <w:szCs w:val="14"/>
                <w:color w:val="auto"/>
              </w:rPr>
            </w:pPr>
          </w:p>
        </w:tc>
        <w:tc>
          <w:tcPr>
            <w:tcW w:w="18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72"/>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December 6, 2022</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14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9"/>
              </w:rPr>
              <w:t>1.250%</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67.5%</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2"/>
              </w:rPr>
              <w:t>(3)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51.8%</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19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December 6, 2022</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14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9"/>
              </w:rPr>
              <w:t>1.125%</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65.0%</w:t>
            </w:r>
          </w:p>
        </w:tc>
        <w:tc>
          <w:tcPr>
            <w:tcW w:w="3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40.3%</w:t>
            </w:r>
          </w:p>
        </w:tc>
        <w:tc>
          <w:tcPr>
            <w:tcW w:w="1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credit ratings as of March 31, 2026.</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revolving credit facility agreements, excluding Securitization Bonds.</w:t>
      </w:r>
    </w:p>
    <w:p>
      <w:pPr>
        <w:spacing w:after="0" w:line="8" w:lineRule="exact"/>
        <w:rPr>
          <w:rFonts w:ascii="Times New Roman" w:cs="Times New Roman" w:eastAsia="Times New Roman" w:hAnsi="Times New Roman"/>
          <w:sz w:val="14"/>
          <w:szCs w:val="14"/>
          <w:color w:val="auto"/>
        </w:rPr>
      </w:pPr>
    </w:p>
    <w:p>
      <w:pPr>
        <w:ind w:left="520" w:right="20" w:hanging="260"/>
        <w:spacing w:after="0" w:line="253" w:lineRule="auto"/>
        <w:tabs>
          <w:tab w:leader="none" w:pos="51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ind w:left="500" w:hanging="24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credit facility was issued by SIGECO.</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as well as the subsidiaries of CenterPoint Energy discussed above, were in compliance with all financial debt covenants as of March 31, 2026.</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utilization of the Registrants’ respective revolving credit facilities: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3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Letters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220" w:type="dxa"/>
            <w:vAlign w:val="bottom"/>
          </w:tcPr>
          <w:p>
            <w:pPr>
              <w:spacing w:after="0"/>
              <w:rPr>
                <w:sz w:val="10"/>
                <w:szCs w:val="10"/>
                <w:color w:val="auto"/>
              </w:rPr>
            </w:pPr>
          </w:p>
        </w:tc>
        <w:tc>
          <w:tcPr>
            <w:tcW w:w="1160" w:type="dxa"/>
            <w:vAlign w:val="bottom"/>
          </w:tcPr>
          <w:p>
            <w:pPr>
              <w:ind w:left="140"/>
              <w:spacing w:after="0" w:line="120" w:lineRule="exact"/>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tcPr>
          <w:p>
            <w:pPr>
              <w:spacing w:after="0"/>
              <w:rPr>
                <w:sz w:val="10"/>
                <w:szCs w:val="10"/>
                <w:color w:val="auto"/>
              </w:rPr>
            </w:pPr>
          </w:p>
        </w:tc>
        <w:tc>
          <w:tcPr>
            <w:tcW w:w="900" w:type="dxa"/>
            <w:vAlign w:val="bottom"/>
            <w:gridSpan w:val="2"/>
          </w:tcPr>
          <w:p>
            <w:pPr>
              <w:ind w:left="120"/>
              <w:spacing w:after="0" w:line="120" w:lineRule="exact"/>
              <w:rPr>
                <w:sz w:val="20"/>
                <w:szCs w:val="20"/>
                <w:color w:val="auto"/>
              </w:rPr>
            </w:pPr>
            <w:r>
              <w:rPr>
                <w:rFonts w:ascii="Times New Roman" w:cs="Times New Roman" w:eastAsia="Times New Roman" w:hAnsi="Times New Roman"/>
                <w:sz w:val="13"/>
                <w:szCs w:val="13"/>
                <w:b w:val="1"/>
                <w:bCs w:val="1"/>
                <w:color w:val="auto"/>
              </w:rPr>
              <w:t>Letters</w:t>
            </w:r>
          </w:p>
        </w:tc>
        <w:tc>
          <w:tcPr>
            <w:tcW w:w="160" w:type="dxa"/>
            <w:vAlign w:val="bottom"/>
          </w:tcPr>
          <w:p>
            <w:pPr>
              <w:spacing w:after="0"/>
              <w:rPr>
                <w:sz w:val="10"/>
                <w:szCs w:val="10"/>
                <w:color w:val="auto"/>
              </w:rPr>
            </w:pPr>
          </w:p>
        </w:tc>
        <w:tc>
          <w:tcPr>
            <w:tcW w:w="980" w:type="dxa"/>
            <w:vAlign w:val="bottom"/>
          </w:tcPr>
          <w:p>
            <w:pPr>
              <w:jc w:val="right"/>
              <w:ind w:right="176"/>
              <w:spacing w:after="0" w:line="120"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1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69"/>
        </w:trPr>
        <w:tc>
          <w:tcPr>
            <w:tcW w:w="23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of Credit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Paper</w:t>
            </w:r>
          </w:p>
        </w:tc>
        <w:tc>
          <w:tcPr>
            <w:tcW w:w="22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of Credit</w:t>
            </w:r>
          </w:p>
        </w:tc>
        <w:tc>
          <w:tcPr>
            <w:tcW w:w="160" w:type="dxa"/>
            <w:vAlign w:val="bottom"/>
          </w:tcPr>
          <w:p>
            <w:pPr>
              <w:spacing w:after="0"/>
              <w:rPr>
                <w:sz w:val="14"/>
                <w:szCs w:val="14"/>
                <w:color w:val="auto"/>
              </w:rPr>
            </w:pP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Paper</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0" w:type="dxa"/>
            <w:vAlign w:val="bottom"/>
          </w:tcPr>
          <w:p>
            <w:pPr>
              <w:spacing w:after="0"/>
              <w:rPr>
                <w:sz w:val="1"/>
                <w:szCs w:val="1"/>
                <w:color w:val="auto"/>
              </w:rPr>
            </w:pPr>
          </w:p>
        </w:tc>
      </w:tr>
      <w:tr>
        <w:trPr>
          <w:trHeight w:val="160"/>
        </w:trPr>
        <w:tc>
          <w:tcPr>
            <w:tcW w:w="2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600" w:type="dxa"/>
            <w:vAlign w:val="bottom"/>
            <w:tcBorders>
              <w:top w:val="single" w:sz="8" w:color="auto"/>
            </w:tcBorders>
            <w:gridSpan w:val="9"/>
          </w:tcPr>
          <w:p>
            <w:pPr>
              <w:ind w:left="80"/>
              <w:spacing w:after="0"/>
              <w:rPr>
                <w:sz w:val="20"/>
                <w:szCs w:val="20"/>
                <w:color w:val="auto"/>
              </w:rPr>
            </w:pPr>
            <w:r>
              <w:rPr>
                <w:rFonts w:ascii="Times New Roman" w:cs="Times New Roman" w:eastAsia="Times New Roman" w:hAnsi="Times New Roman"/>
                <w:sz w:val="13"/>
                <w:szCs w:val="13"/>
                <w:b w:val="1"/>
                <w:bCs w:val="1"/>
                <w:color w:val="auto"/>
              </w:rPr>
              <w:t>(in millions, except weighted average interest rate)</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(1)</w:t>
            </w: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3.78 %</w:t>
            </w:r>
          </w:p>
        </w:tc>
        <w:tc>
          <w:tcPr>
            <w:tcW w:w="0" w:type="dxa"/>
            <w:vAlign w:val="bottom"/>
          </w:tcPr>
          <w:p>
            <w:pPr>
              <w:spacing w:after="0"/>
              <w:rPr>
                <w:sz w:val="1"/>
                <w:szCs w:val="1"/>
                <w:color w:val="auto"/>
              </w:rPr>
            </w:pPr>
          </w:p>
        </w:tc>
      </w:tr>
      <w:tr>
        <w:trPr>
          <w:trHeight w:val="168"/>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(2)</w:t>
            </w:r>
          </w:p>
        </w:tc>
        <w:tc>
          <w:tcPr>
            <w:tcW w:w="70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2"/>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7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 (1)</w:t>
            </w:r>
          </w:p>
        </w:tc>
        <w:tc>
          <w:tcPr>
            <w:tcW w:w="70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3.86 %</w:t>
            </w:r>
          </w:p>
        </w:tc>
        <w:tc>
          <w:tcPr>
            <w:tcW w:w="0" w:type="dxa"/>
            <w:vAlign w:val="bottom"/>
          </w:tcPr>
          <w:p>
            <w:pPr>
              <w:spacing w:after="0"/>
              <w:rPr>
                <w:sz w:val="1"/>
                <w:szCs w:val="1"/>
                <w:color w:val="auto"/>
              </w:rPr>
            </w:pPr>
          </w:p>
        </w:tc>
      </w:tr>
      <w:tr>
        <w:trPr>
          <w:trHeight w:val="188"/>
        </w:trPr>
        <w:tc>
          <w:tcPr>
            <w:tcW w:w="232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520" w:right="200" w:hanging="260"/>
        <w:spacing w:after="0" w:line="263" w:lineRule="auto"/>
        <w:tabs>
          <w:tab w:leader="none" w:pos="51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and CERC’s outstanding commercial paper generally have maturities of up to 60 days and 30 days, respectively, and are backstopped by the respective issuer’s long-term revolving credit facility.</w:t>
      </w:r>
    </w:p>
    <w:p>
      <w:pPr>
        <w:ind w:left="500" w:hanging="240"/>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credit facility was issued by SIGECO.</w:t>
      </w:r>
    </w:p>
    <w:p>
      <w:pPr>
        <w:spacing w:after="0" w:line="183"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Liens. </w:t>
      </w:r>
      <w:r>
        <w:rPr>
          <w:rFonts w:ascii="Times New Roman" w:cs="Times New Roman" w:eastAsia="Times New Roman" w:hAnsi="Times New Roman"/>
          <w:sz w:val="14"/>
          <w:szCs w:val="14"/>
          <w:color w:val="auto"/>
        </w:rPr>
        <w:t>As of March 31, 2026, Houston Electric’s assets were subject to liens securing approximately $10.1 billion of general mortgage bonds outstanding under the General Mortgage,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$68 million held in trust to secure pollution control bonds that mature in 2028 for which CenterPoint Energy is obligated. The general mortgage bonds that are held in trust to secure pollution control bonds are not reflected in Houston Electric’s condensed consolidated financial statements because of the contingent nature of the obligations. Houston Electric may issue additional general mortgage bonds on the basis of retired bonds, 70% of property additions or cash deposited with the trustee. As of March 31, 2026, approximately $4.8 billion of additional general mortgage bonds could be issued on the basis of retired bonds and 70% of property additions. No first mortgage bonds are outstanding under the M&amp;DOT, and Houston Electric is contractually obligated to not issue any additional first mortgage bonds under the M&amp;DOT and is undertaking actions to release the lien of the M&amp;DOT and terminate the M&amp;DOT.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As of March 31, 2026, SIGECO had approximately $1.5 billion aggregate principal amount of first mortgage bonds outstanding. Generally, all of SIGECO’s real and tangible property is subject to the lien of SIGECO’s mortgage indenture which was amended and restated effective as of January 1, 2023. As of March 31, 2026, SIGECO was permitted to issue additional bonds under its mortgage indenture up to 70% of then currently unfunded property additions and approximately $947 million of additional first mortgage bonds could be issued on this basis.</w:t>
      </w:r>
    </w:p>
    <w:p>
      <w:pPr>
        <w:spacing w:after="0" w:line="155" w:lineRule="exact"/>
        <w:rPr>
          <w:sz w:val="20"/>
          <w:szCs w:val="20"/>
          <w:color w:val="auto"/>
        </w:rPr>
      </w:pPr>
    </w:p>
    <w:p>
      <w:pPr>
        <w:ind w:left="280" w:hanging="275"/>
        <w:spacing w:after="0"/>
        <w:tabs>
          <w:tab w:leader="none" w:pos="280"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Registrants reported the following effective tax rates for the periods presented:</w:t>
      </w:r>
    </w:p>
    <w:p>
      <w:pPr>
        <w:spacing w:after="0" w:line="11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500" w:type="dxa"/>
            <w:vAlign w:val="bottom"/>
            <w:tcBorders>
              <w:bottom w:val="single" w:sz="8" w:color="CCEEFF"/>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60"/>
        </w:trPr>
        <w:tc>
          <w:tcPr>
            <w:tcW w:w="75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 xml:space="preserve">CenterPoint Energy </w:t>
            </w:r>
            <w:r>
              <w:rPr>
                <w:rFonts w:ascii="Times New Roman" w:cs="Times New Roman" w:eastAsia="Times New Roman" w:hAnsi="Times New Roman"/>
                <w:sz w:val="11"/>
                <w:szCs w:val="11"/>
                <w:color w:val="auto"/>
              </w:rPr>
              <w:t>(1)</w:t>
            </w:r>
          </w:p>
        </w:tc>
        <w:tc>
          <w:tcPr>
            <w:tcW w:w="13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78"/>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Houston Electric </w:t>
            </w:r>
            <w:r>
              <w:rPr>
                <w:rFonts w:ascii="Times New Roman" w:cs="Times New Roman" w:eastAsia="Times New Roman" w:hAnsi="Times New Roman"/>
                <w:sz w:val="11"/>
                <w:szCs w:val="11"/>
                <w:color w:val="auto"/>
              </w:rPr>
              <w:t>(2)</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183"/>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CERC </w:t>
            </w:r>
            <w:r>
              <w:rPr>
                <w:rFonts w:ascii="Times New Roman" w:cs="Times New Roman" w:eastAsia="Times New Roman" w:hAnsi="Times New Roman"/>
                <w:sz w:val="11"/>
                <w:szCs w:val="11"/>
                <w:color w:val="auto"/>
              </w:rPr>
              <w:t>(3)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r>
    </w:tbl>
    <w:p>
      <w:pPr>
        <w:spacing w:after="0" w:line="240" w:lineRule="exact"/>
        <w:rPr>
          <w:sz w:val="20"/>
          <w:szCs w:val="20"/>
          <w:color w:val="auto"/>
        </w:rPr>
      </w:pPr>
    </w:p>
    <w:p>
      <w:pPr>
        <w:ind w:left="520" w:right="300" w:hanging="260"/>
        <w:spacing w:after="0" w:line="263" w:lineRule="auto"/>
        <w:tabs>
          <w:tab w:leader="none" w:pos="51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higher effective tax rate for the three months ended March 31, 2026 compared to the three months ended March 31, 2025 was due primarily to a decrease in excess deferred income tax amortization of a regulatory liability resulting from the sale of Louisiana and Mississippi natural gas LDC businesses in the first quarter of 2025.</w:t>
      </w:r>
    </w:p>
    <w:p>
      <w:pPr>
        <w:ind w:left="500" w:hanging="240"/>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Electric’s effective tax rate for the three months ended March 31, 2026 compared to the three months ended March 31, 2025 was unchanged.</w:t>
      </w:r>
    </w:p>
    <w:p>
      <w:pPr>
        <w:spacing w:after="0" w:line="8" w:lineRule="exact"/>
        <w:rPr>
          <w:rFonts w:ascii="Times New Roman" w:cs="Times New Roman" w:eastAsia="Times New Roman" w:hAnsi="Times New Roman"/>
          <w:sz w:val="14"/>
          <w:szCs w:val="14"/>
          <w:color w:val="auto"/>
        </w:rPr>
      </w:pPr>
    </w:p>
    <w:p>
      <w:pPr>
        <w:ind w:left="520" w:right="60" w:hanging="260"/>
        <w:spacing w:after="0" w:line="259" w:lineRule="auto"/>
        <w:tabs>
          <w:tab w:leader="none" w:pos="51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CERC’s effective tax rate for the three months ended March 31, 2026 compared to the three months ended March 31, 2025 was unchanged. The impact of the decrease in excess deferred tax amortization of a regulatory liability resulting from the sale of Louisiana and Mississippi natural gas LDC businesses in the first quarter of 2025 offsets the decrease in state taxes from the sale of these businesses.</w:t>
      </w:r>
    </w:p>
    <w:p>
      <w:pPr>
        <w:spacing w:after="0" w:line="165"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reported a net uncertain tax liability, inclusive of interest and penalties, of $24 million as of March 31, 2026. The Registrants believe that it is reasonably possible that the Registrants will recognize an $18 million tax benefit, including penalties and interest, in the next 12 months as a result of a lapse of statutes on older exposures, a tax settlement, and/or a resolution of open audits.</w:t>
      </w:r>
    </w:p>
    <w:p>
      <w:pPr>
        <w:spacing w:after="0" w:line="155" w:lineRule="exact"/>
        <w:rPr>
          <w:sz w:val="20"/>
          <w:szCs w:val="20"/>
          <w:color w:val="auto"/>
        </w:rPr>
      </w:pPr>
    </w:p>
    <w:p>
      <w:pPr>
        <w:ind w:right="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Tax Audits and Settlements</w:t>
      </w:r>
      <w:r>
        <w:rPr>
          <w:rFonts w:ascii="Times New Roman" w:cs="Times New Roman" w:eastAsia="Times New Roman" w:hAnsi="Times New Roman"/>
          <w:sz w:val="14"/>
          <w:szCs w:val="14"/>
          <w:color w:val="auto"/>
        </w:rPr>
        <w:t>. Tax years through 2023 have been audited and settled with the IRS for CenterPoint Energy. For tax years 2024, 2025 and 2026, the Registrants are participants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IRS’s Compliance Assurance Process.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 Purchase Obligations (CenterPoint Energy and CERC)</w:t>
      </w:r>
    </w:p>
    <w:p>
      <w:pPr>
        <w:spacing w:after="0" w:line="202" w:lineRule="exact"/>
        <w:rPr>
          <w:sz w:val="20"/>
          <w:szCs w:val="20"/>
          <w:color w:val="auto"/>
        </w:rPr>
      </w:pPr>
    </w:p>
    <w:p>
      <w:pPr>
        <w:ind w:right="360" w:firstLine="255"/>
        <w:spacing w:after="0" w:line="264" w:lineRule="auto"/>
        <w:rPr>
          <w:sz w:val="20"/>
          <w:szCs w:val="20"/>
          <w:color w:val="auto"/>
        </w:rPr>
      </w:pPr>
      <w:r>
        <w:rPr>
          <w:rFonts w:ascii="Times New Roman" w:cs="Times New Roman" w:eastAsia="Times New Roman" w:hAnsi="Times New Roman"/>
          <w:sz w:val="14"/>
          <w:szCs w:val="14"/>
          <w:color w:val="auto"/>
        </w:rPr>
        <w:t>Commitments include minimum purchase obligations related to CenterPoint Energy’s and CERC’s Natural Gas reportable segment and CenterPoint Energy’s Electric reportable segment. Contracts with minimum payment obligations have various quantity requirements and durations and are not classified as non-trading derivative assets and liabilities in CenterPoint Energy’s and CERC’s Condensed Consolidated Balance Sheets as of March 31, 2026 and December 31, 2025 because these contracts meet an exception as “normal purchases contracts” or do not meet the definition of a derivative. Natural gas supply commitments also include transportation contracts that do not meet the definition of a derivative.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31, 2026, CenterPoint Energy and CERC had the following undiscounted minimum purchase obligations: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1"/>
        </w:trPr>
        <w:tc>
          <w:tcPr>
            <w:tcW w:w="2660" w:type="dxa"/>
            <w:vAlign w:val="bottom"/>
          </w:tcPr>
          <w:p>
            <w:pPr>
              <w:spacing w:after="0"/>
              <w:rPr>
                <w:sz w:val="14"/>
                <w:szCs w:val="14"/>
                <w:color w:val="auto"/>
              </w:rPr>
            </w:pPr>
          </w:p>
        </w:tc>
        <w:tc>
          <w:tcPr>
            <w:tcW w:w="16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Natural Gas Supply</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Electric Supply (1)</w:t>
            </w: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Other (2)</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Natural Gas Supply</w:t>
            </w:r>
          </w:p>
        </w:tc>
      </w:tr>
      <w:tr>
        <w:trPr>
          <w:trHeight w:val="160"/>
        </w:trPr>
        <w:tc>
          <w:tcPr>
            <w:tcW w:w="26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3"/>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7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Remainder of 2026</w:t>
            </w:r>
          </w:p>
        </w:tc>
        <w:tc>
          <w:tcPr>
            <w:tcW w:w="1660" w:type="dxa"/>
            <w:vAlign w:val="bottom"/>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w:t>
            </w:r>
          </w:p>
        </w:tc>
      </w:tr>
      <w:tr>
        <w:trPr>
          <w:trHeight w:val="17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w:t>
            </w: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r>
      <w:tr>
        <w:trPr>
          <w:trHeight w:val="17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1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w:t>
            </w:r>
          </w:p>
        </w:tc>
      </w:tr>
      <w:tr>
        <w:trPr>
          <w:trHeight w:val="168"/>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1,343</w:t>
            </w:r>
          </w:p>
        </w:tc>
      </w:tr>
      <w:tr>
        <w:trPr>
          <w:trHeight w:val="188"/>
        </w:trPr>
        <w:tc>
          <w:tcPr>
            <w:tcW w:w="2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660" w:type="dxa"/>
            <w:vAlign w:val="bottom"/>
            <w:tcBorders>
              <w:bottom w:val="single" w:sz="8" w:color="auto"/>
            </w:tcBorders>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2,073</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3,981</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PPAs with commitments ranging from 20 years to 27 years.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technology hardware and software agreements.</w:t>
      </w:r>
    </w:p>
    <w:p>
      <w:pPr>
        <w:spacing w:after="0" w:line="185"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Excluded from the table above are estimates for cash outlays from other PPAs through Indiana Electric that do not have minimum thresholds but require payment when energy is generated by the provider. Costs arising from certain of these commitments are pass-through costs, generally collected dollar-for-dollar from retail customers through regulator-approved cost recovery mechanisms.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Guarantees (CenterPoint Energy)</w:t>
      </w:r>
    </w:p>
    <w:p>
      <w:pPr>
        <w:spacing w:after="0" w:line="202"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recognizes guarantee obligations at fair value. CenterPoint Energy discloses parent company guarantees of a subsidiary’s obligation when that guarantee results in the exposure of a material obligation of the parent company even if the probability of fulfilling such obligation is considered remote.</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May 21, 2023, CenterPoint Energy, through Vectren Energy Services, entered into the Equity Purchase Agreement to sell Energy Systems Group. The sale closed on June 30, 2023.</w:t>
      </w:r>
    </w:p>
    <w:p>
      <w:pPr>
        <w:spacing w:after="0" w:line="200"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 xml:space="preserve">In the normal course of business prior to the consummation of the transaction on June 30, 2023, CenterPoint Energy, primarily through Vectren, issued parent company level guarantees supporting </w:t>
      </w:r>
      <w:r>
        <w:rPr>
          <w:rFonts w:ascii="Times New Roman" w:cs="Times New Roman" w:eastAsia="Times New Roman" w:hAnsi="Times New Roman"/>
          <w:sz w:val="14"/>
          <w:szCs w:val="14"/>
          <w:color w:val="221F1F"/>
        </w:rPr>
        <w:t>Energy Systems Group</w:t>
      </w:r>
      <w:r>
        <w:rPr>
          <w:rFonts w:ascii="Times New Roman" w:cs="Times New Roman" w:eastAsia="Times New Roman" w:hAnsi="Times New Roman"/>
          <w:sz w:val="14"/>
          <w:szCs w:val="14"/>
          <w:color w:val="auto"/>
        </w:rPr>
        <w:t>’s obligations. When Energy Systems Group was wholly-owned by CenterPoint Energy, these guarantees did not represent incremental consolidated obligations, but rather, these guarantees represented guarantees of Energy Systems Group’s obligations to allow it to conduct business without posting other forms of assurance. For those obligations where potential exposure can be estimated, management estimated the maximum exposure under these guarantees to be approximately $430 million as of March 31, 2026 and expects the exposure to decrease pro rata. This exposure primarily relates to energy savings guarantees on federal energy savings performance contracts. Other parent company level guarantees, certain of which do not contain a cap on potential liability, were issued prior to the sale of Energy Systems Group in support of federal operations and maintenance projects for which a maximum exposure cannot be estimated based on the nature of the projects.</w:t>
      </w:r>
    </w:p>
    <w:p>
      <w:pPr>
        <w:spacing w:after="0" w:line="168"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Under the terms of the Equity Purchase Agreement, ESG Holdings Group must generally use reasonable best efforts to replace existing CenterPoint Energy guarantees with credit support provided by a party other than CenterPoint Energy as of and after the closing of the transaction. The Equity Purchase Agreement also requires certain protections to be provided for any damages incurred by CenterPoint Energy in relation to these guarantees not released by closing. No additional guarantees were provided by CenterPoint Energy in favor of Energy Systems Group subsequent to the closing of the sale on June 30, 2023.</w:t>
      </w:r>
    </w:p>
    <w:p>
      <w:pPr>
        <w:spacing w:after="0" w:line="162"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 xml:space="preserve">While there can be no assurance that performance under any of these parent company guarantees will not be required in the future, CenterPoint Energy considers the likelihood of a material amount being incurred to be remote. CenterPoint Energy believes that, from </w:t>
      </w:r>
      <w:r>
        <w:rPr>
          <w:rFonts w:ascii="Times New Roman" w:cs="Times New Roman" w:eastAsia="Times New Roman" w:hAnsi="Times New Roman"/>
          <w:sz w:val="14"/>
          <w:szCs w:val="14"/>
          <w:color w:val="221F1F"/>
        </w:rPr>
        <w:t>Energy Systems Group</w:t>
      </w:r>
      <w:r>
        <w:rPr>
          <w:rFonts w:ascii="Times New Roman" w:cs="Times New Roman" w:eastAsia="Times New Roman" w:hAnsi="Times New Roman"/>
          <w:sz w:val="14"/>
          <w:szCs w:val="14"/>
          <w:color w:val="auto"/>
        </w:rPr>
        <w:t xml:space="preserve">’s inception in 1994 to the closing of the sale of Energy Systems Group on June 30, 2023, </w:t>
      </w:r>
      <w:r>
        <w:rPr>
          <w:rFonts w:ascii="Times New Roman" w:cs="Times New Roman" w:eastAsia="Times New Roman" w:hAnsi="Times New Roman"/>
          <w:sz w:val="14"/>
          <w:szCs w:val="14"/>
          <w:color w:val="221F1F"/>
        </w:rPr>
        <w:t>Energy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21F1F"/>
        </w:rPr>
        <w:t xml:space="preserve">Systems Group </w:t>
      </w:r>
      <w:r>
        <w:rPr>
          <w:rFonts w:ascii="Times New Roman" w:cs="Times New Roman" w:eastAsia="Times New Roman" w:hAnsi="Times New Roman"/>
          <w:sz w:val="14"/>
          <w:szCs w:val="14"/>
          <w:color w:val="000000"/>
        </w:rPr>
        <w:t>had a history of generally meeting its performance obligations and energy savings guarantees and its installed products operated effectively. CenterPoint Energy recorded no amounts</w:t>
      </w:r>
      <w:r>
        <w:rPr>
          <w:rFonts w:ascii="Times New Roman" w:cs="Times New Roman" w:eastAsia="Times New Roman" w:hAnsi="Times New Roman"/>
          <w:sz w:val="14"/>
          <w:szCs w:val="14"/>
          <w:color w:val="221F1F"/>
        </w:rPr>
        <w:t xml:space="preserve"> </w:t>
      </w:r>
      <w:r>
        <w:rPr>
          <w:rFonts w:ascii="Times New Roman" w:cs="Times New Roman" w:eastAsia="Times New Roman" w:hAnsi="Times New Roman"/>
          <w:sz w:val="14"/>
          <w:szCs w:val="14"/>
          <w:color w:val="000000"/>
        </w:rPr>
        <w:t>on its Condensed Consolidated Balance Sheets as of March 31, 2026 and December 31, 2025 related to its obligation under the outstanding guarantees.</w:t>
      </w:r>
    </w:p>
    <w:p>
      <w:pPr>
        <w:spacing w:after="0" w:line="160" w:lineRule="exact"/>
        <w:rPr>
          <w:sz w:val="20"/>
          <w:szCs w:val="20"/>
          <w:color w:val="auto"/>
        </w:rPr>
      </w:pPr>
    </w:p>
    <w:p>
      <w:pPr>
        <w:ind w:left="140" w:right="8440" w:firstLine="120"/>
        <w:spacing w:after="0" w:line="537" w:lineRule="auto"/>
        <w:tabs>
          <w:tab w:leader="none" w:pos="460" w:val="left"/>
        </w:tabs>
        <w:numPr>
          <w:ilvl w:val="0"/>
          <w:numId w:val="2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Legal, Environmental and Other Matters Legal Matters</w:t>
      </w:r>
    </w:p>
    <w:p>
      <w:pPr>
        <w:spacing w:after="0" w:line="1" w:lineRule="exact"/>
        <w:rPr>
          <w:sz w:val="20"/>
          <w:szCs w:val="20"/>
          <w:color w:val="auto"/>
        </w:rPr>
      </w:pPr>
    </w:p>
    <w:p>
      <w:pPr>
        <w:ind w:right="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Litigation Related to Hurricane Beryl. </w:t>
      </w:r>
      <w:r>
        <w:rPr>
          <w:rFonts w:ascii="Times New Roman" w:cs="Times New Roman" w:eastAsia="Times New Roman" w:hAnsi="Times New Roman"/>
          <w:sz w:val="14"/>
          <w:szCs w:val="14"/>
          <w:color w:val="auto"/>
        </w:rPr>
        <w:t>Various federal, state and local governmental and regulatory agencies and other entities called for or conducted inquiries and investigations into Hurricane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Beryl, the efforts made by Houston Electric to</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prepare for, and respond to, this event, including the electric service outage issues, and the procurement of TEEEF. Moreover, additional governmental and regulatory agencies and other entities may conduct such inquiries and investigations. Ongoing and future inquiries, investigations and proposed legislation regarding Hurricane Beryl could adversely affect our business, financial condition, results of operations and cash flows, including with respect to our recovery of costs incurred as a result of Hurricane Beryl or future severe weather events; the assessment of financial penalties; changes to Houston Electric’s system, service territories, operations and/or regulatory treatment; and the viability for Houston Electric to continue leasing TEEEF. Further, on January 22, 2025, a putative shareholder of CenterPoint Energy, Donel Davidson, filed a derivative petition in Harris County District Court, Texas, alleging breach of fiduciary duty and unjust enrichment on behalf of CenterPoint Energy against certain of its current and former directors and officers citing, in part, the topics of these inquiries and investigations. The action seeks to recover damages and other relief from the defendants on behalf of CenterPoint Energy. The action was removed to the Texas Business Courts, and on June 18, 2025, the parties filed an agreed upon stipulation to stay the case, which was approved by the court on June 24, 2025. As of March 31, 2026, the case remains stayed. Additionally, on February 12, 2025, a second putative shareholder of CenterPoint Energy made a demand on the Board to investigate the same basic allegations raised in the derivative petition filed by Donel Davidson.</w:t>
      </w:r>
    </w:p>
    <w:p>
      <w:pPr>
        <w:spacing w:after="0" w:line="16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4"/>
          <w:szCs w:val="14"/>
          <w:color w:val="auto"/>
        </w:rPr>
        <w:t>CenterPoint Energy, CenterPoint Energy Service Company, LLC and Houston Electric are subject to current and potential future litigation and claims arising out of Hurricane Beryl, which litigation and claims could include allegations of, among other things, personal injury, wrongful death, property damage, various economic losses in connection with loss of power, unlawful business practices, and others. Following Hurricane Beryl, several putative class actions were filed against CenterPoint Energy and/or Houston Electric in the District Courts of Harris County, Texas, on behalf of individuals or entities who claim losses due to power outages lasting at least 48 hours as a result of Hurricane Beryl, such actions consisting of the following proposed classes: (1) all restaurants in Harris County, Galveston County, and Montgomery County; (2) all residential customers; and (3) all health, wellness, medical and beauty facilities in Harris County. These putative classes asserted claims and theories of negligence, gross negligence, nuisance, fraud, and/or violation of Houston Electric’s tariff for retail delivery service, and each seeks damages in excess of $100 million for, among other things, business interruption, property damage and loss, cost of repair, loss of use and market value, lost income, nuisance, extreme mental anguish and/or punitive damages. On July 30, 2025, the plaintiffs in the putative class action on behalf of all residential customers nonsuited without prejudice all claims and causes of action. In addition, the plaintiffs in the other two putative class actions have amended their petitions to remove all class action allegations and assert claims of negligence, gross negligence, nuisance and/or intentional misconduct. One of those lawsuits is brought by approximately 220 individually named plaintiffs, and the other lawsuit includes approximately 50 individually named plaintiffs. Several individual actions have also been filed in Harris County District Courts asserting claims of negligence, negligence per se, negligent undertaking and/or gross negligence against CenterPoint Energy, CenterPoint Energy Service Company, LLC and/or Houston Electric. Certain plaintiffs in these actions allege personal injury or property damage and seek damages in excess of $1 million. These cases have been transferred to the designated MDL pretrial court. CenterPoint Energy, CenterPoint Energy Service Company, LLC and/or Houston Electric filed dispositive motions in the two former putative class action cases and certain of the individual actions. On December 1, 2025, the MDL pretrial court granted Houston Electric’s dispositive motion in one of the individual actions brought by a business alleging losses due to a power outage following Hurricane Beryl. On January 28, 2026, the MDL pretrial court denied dispositive motions filed by CenterPoint Energy, CenterPoint Energy Service Company, LLC and/or Houston Electric in individual actions alleging personal injury or property damage. Houston Electric filed notices of appeal of these orders, and its opening briefs were filed on April 13, 2026. On March 19, 2026, the MDL pretrial court ruled on CenterPoint Energy and/or Houston Electric’s dispositive motions in the two former putative class actions, granting the motions as to the plaintiffs’ claims for negligence, fraud and nuisance but denying them as to plaintiffs’ gross negligence claims. CenterPoint Energy, CenterPoint Energy Service Company, LLC and Houston Electric intend to vigorously defend themselves against the lawsuits. CenterPoint Energy and its subsidiaries have general and excess liability insurance policies that provide coverage for third party bodily injury and property damage claims. Given the nature of some allegations, certain insurers have disputed, and more insurers may dispute, coverage for some types of claims or damages that have been or may in the future be alleged by plaintiffs. For example, CenterPoint Energy has received from two insurers denials of indemnity coverage in the cases arising out of power outages based on the failure to supply exclusion, and those insurers have also reserved their rights with respect to coverage in those actions. CenterPoint Energy, CenterPoint Energy Service Company, LLC and Houston Electric intend to continue to pursue all available insurance coverage for all of these matters. 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number of parties and complexity of issues involved, and the uncertainties of litigation, CenterPoint Energy and its subsidiaries are unable to predict the outcome or consequences of any of the foregoing matters or to estimate a range of potential losses.</w:t>
      </w:r>
    </w:p>
    <w:p>
      <w:pPr>
        <w:spacing w:after="0" w:line="173" w:lineRule="exact"/>
        <w:rPr>
          <w:sz w:val="20"/>
          <w:szCs w:val="20"/>
          <w:color w:val="auto"/>
        </w:rPr>
      </w:pPr>
    </w:p>
    <w:p>
      <w:pPr>
        <w:jc w:val="both"/>
        <w:ind w:right="46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Litigation Related to the February 2021 Winter Storm Event. </w:t>
      </w:r>
      <w:r>
        <w:rPr>
          <w:rFonts w:ascii="Times New Roman" w:cs="Times New Roman" w:eastAsia="Times New Roman" w:hAnsi="Times New Roman"/>
          <w:sz w:val="14"/>
          <w:szCs w:val="14"/>
          <w:color w:val="auto"/>
        </w:rPr>
        <w:t>Various legal proceedings are still pending against numerous entities with respect to the February 2021 Winter Storm Event,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against CenterPoint Energy, Houston Electric, and CERC. Like other Texas energy companies and TDUs, CenterPoint Energy and Houston Electric have become involved in certain investigations, litigation and other regulatory and legal proceedings regarding their efforts to restore power during the</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storm and their compliance with NERC, ERCOT and PUCT rules and directives. Additionally, like other natural gas market participants, CERC has been named in litigation alleging gas market manipulation.</w:t>
      </w:r>
    </w:p>
    <w:p>
      <w:pPr>
        <w:spacing w:after="0" w:line="145"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4"/>
          <w:szCs w:val="14"/>
          <w:color w:val="auto"/>
        </w:rPr>
        <w:t>CenterPoint Energy, Utility Holding, and Houston Electric, along with hundreds of other defendants (including ERCOT, power generation companies, other TDUs, natural gas producers, REPs, and other entities) received claims and lawsuits filed by plaintiffs alleging wrongful death, personal injury, property damage and other injuries and damages. As of March 31, 2026, there were approximately 220 pending lawsuits that are consolidated in Texas state court in Harris County, Texas, as part of the MDL proceeding related to the February 2021 Winter Storm Event, and CenterPoint Energy and Houston Electric, along with numerous other entities, have been named as defendants in approximately 150 of those lawsuits. The plaintiffs in the lawsuits asserted negligence, gross negligence and nuisance causes of action, among others, against CenterPoint Energy, Utility Holding and Houston Electric. Following the filing of dispositive motions under Rule 91a of the Texas Rules of Civil Procedure in five representative or “bellwether” cases in the MDL proceeding and related mandamus proceedings in the court of appeals and the Supreme Court of Texas, the plaintiffs’ claims against CenterPoint Energy and Houston Electric have been dismissed with the exception of the plaintiffs’ gross negligence claims. With respect to the plaintiffs’ gross negligence claims, the Supreme Court of Texas concluded that the plaintiffs should be given the opportunity to replead those claims. Following issuance of the decision of the Supreme Court of Texas on September 11, 2025, most plaintiffs filed amended petitions, and four bellwether cases have been selected for another round of motions to dismiss based on plaintiffs’ petitions. The MDL judge issued the briefing schedule for these pleadings-based motions, and the TDUs filed their initial briefing on April 17, 2026. The claims against Utility Holding have been dismissed in light of the judge’s initial rulings on the Rule 91a dispositive motions. The TDUs (including Houston Electric) also filed a motion to dismiss under Chapter 150 of the Texas Civil Practice and Remedies Code in one of the bellwether cases and argued that all of plaintiffs’ claims should be dismissed because the plaintiffs did not include a sufficient certificate of merit by a qualified engineer with their petition, as required by Texas law. On November 13, 2024, the MDL judge granted the TDUs’ motion to dismiss under Chapter 150, and on December 3, 2024, the plaintiffs filed a notice of appeal of that ruling. Briefing in this appellate proceeding is complete. Aside from the filing of amended pleadings and certain dispositive motions in response, all litigation otherwise remains stayed in the MDL. CenterPoint Energy and Houston Electric intend to vigorously defend themselves against the remaining claims.</w:t>
      </w:r>
    </w:p>
    <w:p>
      <w:pPr>
        <w:spacing w:after="0" w:line="172"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4"/>
          <w:szCs w:val="14"/>
          <w:color w:val="auto"/>
        </w:rPr>
        <w:t>In February 2023, multiple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a defendant, along with “CenterPoint Energy Services, Inc.,” incorrectly identifying it as CERC’s parent company (CenterPoint Energy previously divested CenterPoint Energy Services, Inc.). There are two main remaining lawsuits—one filed in Harris County and one in Tom Green County—which were brought by an entity that purports to be an assignee of the claims of tens of thousands of persons and entities. These suits, generally allege that the defendants engaged in gas market manipulation, including by intentionally withholding, suppressing, or diverting supplies of natural gas in connection with the February 2021 Winter Storm Event. Plaintiffs allege that this manipulation impacted gas supply and prices and caused blackouts and other damage. Plaintiffs assert claims for tortious interference with existing contract, private nuisance, and unjust enrichment. The lawsuits do not specify the amount of damages sought, but seek broad categories of actual, compensatory, consequential, economic and punitive damages; restitution and disgorgement; pre- and post-judgment interest; costs and attorneys’ fees; and other relief. All of these lawsuits have been transferred to the existing MDL proceeding referenced above. These gas market cases are in addition to the 220 cases noted above regarding electric market issues.</w:t>
      </w:r>
    </w:p>
    <w:p>
      <w:pPr>
        <w:spacing w:after="0" w:line="167"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CERC has vigorously defended itself against the claims raised in the gas market cases. On February 2, 2024, CERC filed pleas to the jurisdiction in the three cases in which it was served on February 2, 2024 and again on May 17, 2024; CERC also partially joined the other defendants’ motions to dismiss and additional pleas to the jurisdiction. On November 7, 2024 and November 11, 2024, the MDL judge granted defendants’ motion to dismiss and CERC’s plea to the jurisdiction in all three cases. As a result of these rulings, all claims against CERC were dismissed with prejudice. Plaintiffs have appealed these rulings, and the appeals have been assigned to the Court of Appeals for the First District of Texas. One of the three cases against CERC was a putative class action, but that case has been dismissed. On January 17, 2025, the plaintiffs in the putative class action case filed an unopposed motion to dismiss their appeal, which the Court of Appeals granted on February 4, 2025. CERC is still a defendant in two remaining cases. The parties have completed their briefing for the Court of Appeals for the First District of Texas and await a ruling.</w:t>
      </w:r>
    </w:p>
    <w:p>
      <w:pPr>
        <w:spacing w:after="0" w:line="167"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4"/>
          <w:szCs w:val="14"/>
          <w:color w:val="auto"/>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number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As CenterPoint Energy previously noted, given the nature of certain of the plaintiffs’ allegations, insurance coverage may not be available other than</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for third party bodily injury and property damage claims caused by an accident, and one of CenterPoint Energy’s insurers has reserved its rights with respect to coverage for plaintiffs’ claims in the gas market cases. CenterPoint Energy and its subsidiaries intend to continue to pursue all available insurance coverage for all of these matters.</w:t>
      </w:r>
    </w:p>
    <w:p>
      <w:pPr>
        <w:spacing w:after="0" w:line="143"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i w:val="1"/>
          <w:iCs w:val="1"/>
          <w:color w:val="auto"/>
        </w:rPr>
        <w:t>Jefferson Parish</w:t>
      </w:r>
      <w:r>
        <w:rPr>
          <w:rFonts w:ascii="Times New Roman" w:cs="Times New Roman" w:eastAsia="Times New Roman" w:hAnsi="Times New Roman"/>
          <w:sz w:val="14"/>
          <w:szCs w:val="14"/>
          <w:color w:val="auto"/>
        </w:rPr>
        <w:t>. Several parishes and the State of Louisiana filed 42 suits under Louisiana’s State and Local Coastal Resources Management Act against hundreds of oil and gas companies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seeking compensatory damages for contamination and erosion of the Louisiana coastline allegedly caused by historical oil and gas operations. One of the defendants in one of the lawsuits (filed in 2013 by the Parish of Jefferson) is Primary Fuels, Inc., a predecessor company of CenterPoint Energy, which operated in the oilfield at issue in the case from 1983-1989. All 42 suits were removed to Louisiana federal courts twice and were stayed for several years pending the federal courts’ consideration of various motions to remand and multiple appeals of remand orders. Several cases involving other parishes were remanded to Louisiana state court. To date, two of the 42 suits have substantially progressed in state court. The first case, </w:t>
      </w:r>
      <w:r>
        <w:rPr>
          <w:rFonts w:ascii="Times New Roman" w:cs="Times New Roman" w:eastAsia="Times New Roman" w:hAnsi="Times New Roman"/>
          <w:sz w:val="14"/>
          <w:szCs w:val="14"/>
          <w:i w:val="1"/>
          <w:iCs w:val="1"/>
          <w:color w:val="auto"/>
        </w:rPr>
        <w:t>Cameron Parish v. Auster Oil &amp; Gas, Inc., 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al.</w:t>
      </w:r>
      <w:r>
        <w:rPr>
          <w:rFonts w:ascii="Times New Roman" w:cs="Times New Roman" w:eastAsia="Times New Roman" w:hAnsi="Times New Roman"/>
          <w:sz w:val="14"/>
          <w:szCs w:val="14"/>
          <w:color w:val="auto"/>
        </w:rPr>
        <w:t>, settled shortly before trial on confidential terms. The second case,</w:t>
      </w:r>
      <w:r>
        <w:rPr>
          <w:rFonts w:ascii="Times New Roman" w:cs="Times New Roman" w:eastAsia="Times New Roman" w:hAnsi="Times New Roman"/>
          <w:sz w:val="14"/>
          <w:szCs w:val="14"/>
          <w:i w:val="1"/>
          <w:iCs w:val="1"/>
          <w:color w:val="auto"/>
        </w:rPr>
        <w:t xml:space="preserve"> Plaquemines Parish v. Rozel Operating Co., et al</w:t>
      </w:r>
      <w:r>
        <w:rPr>
          <w:rFonts w:ascii="Times New Roman" w:cs="Times New Roman" w:eastAsia="Times New Roman" w:hAnsi="Times New Roman"/>
          <w:sz w:val="14"/>
          <w:szCs w:val="14"/>
          <w:color w:val="auto"/>
        </w:rPr>
        <w:t>., was tried against one defendant, Chevron Corporation, and on April 4,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 jury returned a verdict of $744.6 million. Before final judgment was entered, the </w:t>
      </w:r>
      <w:r>
        <w:rPr>
          <w:rFonts w:ascii="Times New Roman" w:cs="Times New Roman" w:eastAsia="Times New Roman" w:hAnsi="Times New Roman"/>
          <w:sz w:val="14"/>
          <w:szCs w:val="14"/>
          <w:i w:val="1"/>
          <w:iCs w:val="1"/>
          <w:color w:val="auto"/>
        </w:rPr>
        <w:t>Rozel</w:t>
      </w:r>
      <w:r>
        <w:rPr>
          <w:rFonts w:ascii="Times New Roman" w:cs="Times New Roman" w:eastAsia="Times New Roman" w:hAnsi="Times New Roman"/>
          <w:sz w:val="14"/>
          <w:szCs w:val="14"/>
          <w:color w:val="auto"/>
        </w:rPr>
        <w:t xml:space="preserve"> case was stayed until the United States Supreme Court rules on the merits of a jurisdictional issue in a related case that does not include Primary Fuels, Inc. On April 17, 2026, the United States Supreme Court ruled on the jurisdictional issue in the related case, holding that the defendants satisfied a key requirement for federal jurisdiction in that case. The Supreme Court did not resolve whether defendants in other cases can satisfy the requirements for federal court jurisdiction. As of March 31, 2026, the federal district court had not ruled on Jefferson Parish’s motion to remand to state court the lawsuit which includes Primary Fuels, Inc. among the defendants. The timing of further progress in the Jefferson Parish case is uncertain and dependent in part on the court’s ruling on the motion to remand and further developments in other related cases. </w:t>
      </w:r>
    </w:p>
    <w:p>
      <w:pPr>
        <w:spacing w:after="0" w:line="171"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Because of the procedurally preliminary nature of the proceedings in the case in which Primary Fuels, Inc. is a defendant, lack of information about both the scope of and damages for Jefferson Parish’s claim against Primary Fuels, Inc., the number of parties and complexity of issues involved, and the uncertainties of litigation, CenterPoint Energy and its subsidiaries are unable to predict the outcome or consequences of this matter or to estimate a range of potential losses. CenterPoint Energy intends to continue to vigorously defend itself against the claims raised and pursue any and all available insurance coverage.</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200"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MGP Sites. </w:t>
      </w:r>
      <w:r>
        <w:rPr>
          <w:rFonts w:ascii="Times New Roman" w:cs="Times New Roman" w:eastAsia="Times New Roman" w:hAnsi="Times New Roman"/>
          <w:sz w:val="14"/>
          <w:szCs w:val="14"/>
          <w:color w:val="auto"/>
        </w:rPr>
        <w:t>CenterPoint Energy, CERC and their predecessors, including predecessors of Vectren, operated MGPs in the past. The costs CenterPoint Energy or CERC, as applicable, expect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159" w:lineRule="exact"/>
        <w:rPr>
          <w:sz w:val="20"/>
          <w:szCs w:val="20"/>
          <w:color w:val="auto"/>
        </w:rPr>
      </w:pPr>
    </w:p>
    <w:p>
      <w:pPr>
        <w:ind w:left="520" w:hanging="260"/>
        <w:spacing w:after="0" w:line="271" w:lineRule="auto"/>
        <w:tabs>
          <w:tab w:leader="none" w:pos="51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Minnesota MGPs (CenterPoint Energy and CERC)</w:t>
      </w:r>
      <w:r>
        <w:rPr>
          <w:rFonts w:ascii="Times New Roman" w:cs="Times New Roman" w:eastAsia="Times New Roman" w:hAnsi="Times New Roman"/>
          <w:sz w:val="14"/>
          <w:szCs w:val="14"/>
          <w:color w:val="auto"/>
        </w:rPr>
        <w:t>. With respect to certain Minnesota MGP sites, CenterPoint Energy and CERC have completed state-ordered remediation and continue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state-ordered monitoring and water treatment. CenterPoint Energy and CERC recorded a liability as reflected in the table below for continued monitoring and any future remediation required by regulators in Minnesota.</w:t>
      </w:r>
    </w:p>
    <w:p>
      <w:pPr>
        <w:spacing w:after="0" w:line="154"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Indiana MGPs (CenterPoint Energy and CERC)</w:t>
      </w:r>
      <w:r>
        <w:rPr>
          <w:rFonts w:ascii="Times New Roman" w:cs="Times New Roman" w:eastAsia="Times New Roman" w:hAnsi="Times New Roman"/>
          <w:sz w:val="14"/>
          <w:szCs w:val="14"/>
          <w:color w:val="auto"/>
        </w:rPr>
        <w:t>. In the Indiana Gas service territory, the existence, location and certain general characteristics of 26 gas manufacturing and storage sites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w:t>
      </w:r>
    </w:p>
    <w:p>
      <w:pPr>
        <w:ind w:left="520" w:right="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157" w:lineRule="exact"/>
        <w:rPr>
          <w:rFonts w:ascii="Times New Roman" w:cs="Times New Roman" w:eastAsia="Times New Roman" w:hAnsi="Times New Roman"/>
          <w:sz w:val="14"/>
          <w:szCs w:val="14"/>
          <w:color w:val="auto"/>
        </w:rPr>
      </w:pPr>
    </w:p>
    <w:p>
      <w:pPr>
        <w:ind w:left="520" w:right="280" w:hanging="260"/>
        <w:spacing w:after="0" w:line="290"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MGPs (CenterPoint Energy and CERC). </w:t>
      </w:r>
      <w:r>
        <w:rPr>
          <w:rFonts w:ascii="Times New Roman" w:cs="Times New Roman" w:eastAsia="Times New Roman" w:hAnsi="Times New Roman"/>
          <w:sz w:val="14"/>
          <w:szCs w:val="14"/>
          <w:color w:val="auto"/>
        </w:rPr>
        <w:t>In addition to the Minnesota and Indiana sites, the EPA and other regulators have investigated MGP sites that were owned or operated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CenterPoint Energy or CERC or may have been owned by one of their former affiliates.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2"/>
          </w:tcPr>
          <w:p>
            <w:pPr>
              <w:jc w:val="center"/>
              <w:ind w:left="876"/>
              <w:spacing w:after="0"/>
              <w:rPr>
                <w:sz w:val="20"/>
                <w:szCs w:val="20"/>
                <w:color w:val="auto"/>
              </w:rPr>
            </w:pPr>
            <w:r>
              <w:rPr>
                <w:rFonts w:ascii="Times New Roman" w:cs="Times New Roman" w:eastAsia="Times New Roman" w:hAnsi="Times New Roman"/>
                <w:sz w:val="13"/>
                <w:szCs w:val="13"/>
                <w:b w:val="1"/>
                <w:bCs w:val="1"/>
                <w:color w:val="auto"/>
                <w:w w:val="97"/>
              </w:rPr>
              <w:t>March 31, 2026</w:t>
            </w:r>
          </w:p>
        </w:tc>
        <w:tc>
          <w:tcPr>
            <w:tcW w:w="116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7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2"/>
          </w:tcPr>
          <w:p>
            <w:pPr>
              <w:jc w:val="center"/>
              <w:ind w:left="876"/>
              <w:spacing w:after="0"/>
              <w:rPr>
                <w:sz w:val="20"/>
                <w:szCs w:val="20"/>
                <w:color w:val="auto"/>
              </w:rPr>
            </w:pPr>
            <w:r>
              <w:rPr>
                <w:rFonts w:ascii="Times New Roman" w:cs="Times New Roman" w:eastAsia="Times New Roman" w:hAnsi="Times New Roman"/>
                <w:sz w:val="13"/>
                <w:szCs w:val="13"/>
                <w:b w:val="1"/>
                <w:bCs w:val="1"/>
                <w:color w:val="auto"/>
                <w:w w:val="98"/>
              </w:rPr>
              <w:t>(in millions, except years)</w:t>
            </w:r>
          </w:p>
        </w:tc>
        <w:tc>
          <w:tcPr>
            <w:tcW w:w="1160" w:type="dxa"/>
            <w:vAlign w:val="bottom"/>
          </w:tcPr>
          <w:p>
            <w:pPr>
              <w:spacing w:after="0"/>
              <w:rPr>
                <w:sz w:val="13"/>
                <w:szCs w:val="13"/>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 accrued for remediation</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Minimum estimated remediation costs</w:t>
            </w:r>
          </w:p>
        </w:tc>
        <w:tc>
          <w:tcPr>
            <w:tcW w:w="220" w:type="dxa"/>
            <w:vAlign w:val="bottom"/>
          </w:tcPr>
          <w:p>
            <w:pPr>
              <w:spacing w:after="0"/>
              <w:rPr>
                <w:sz w:val="14"/>
                <w:szCs w:val="14"/>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w:t>
            </w:r>
          </w:p>
        </w:tc>
        <w:tc>
          <w:tcPr>
            <w:tcW w:w="7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estimated remediation costs</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49</w:t>
            </w:r>
          </w:p>
        </w:tc>
        <w:tc>
          <w:tcPr>
            <w:tcW w:w="7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Minimum years of remediation</w:t>
            </w:r>
          </w:p>
        </w:tc>
        <w:tc>
          <w:tcPr>
            <w:tcW w:w="2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7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years of remediation</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7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bl>
    <w:p>
      <w:pPr>
        <w:spacing w:after="0" w:line="240" w:lineRule="exact"/>
        <w:rPr>
          <w:sz w:val="20"/>
          <w:szCs w:val="20"/>
          <w:color w:val="auto"/>
        </w:rPr>
      </w:pPr>
    </w:p>
    <w:p>
      <w:pPr>
        <w:ind w:right="700" w:firstLine="255"/>
        <w:spacing w:after="0" w:line="287" w:lineRule="auto"/>
        <w:rPr>
          <w:sz w:val="20"/>
          <w:szCs w:val="20"/>
          <w:color w:val="auto"/>
        </w:rPr>
      </w:pPr>
      <w:r>
        <w:rPr>
          <w:rFonts w:ascii="Times New Roman" w:cs="Times New Roman" w:eastAsia="Times New Roman" w:hAnsi="Times New Roman"/>
          <w:sz w:val="14"/>
          <w:szCs w:val="14"/>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45"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and CERC do not expect the ultimate outcome of these matters to have a material adverse effect on the financial condition, results of operations or cash flows of either CenterPoint Energy or CERC.</w:t>
      </w:r>
    </w:p>
    <w:p>
      <w:pPr>
        <w:spacing w:after="0" w:line="143"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CCR Legacy Rule (CenterPoint Energy). </w:t>
      </w:r>
      <w:r>
        <w:rPr>
          <w:rFonts w:ascii="Times New Roman" w:cs="Times New Roman" w:eastAsia="Times New Roman" w:hAnsi="Times New Roman"/>
          <w:sz w:val="14"/>
          <w:szCs w:val="14"/>
          <w:color w:val="auto"/>
        </w:rPr>
        <w:t>On April 25, 2024, the EPA released its final Hazardous and Solid Waste Management System; Disposal of Coal Combustion Residuals from Electric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Utilities; Legacy CCR Surface Impoundments rule (CCR Legacy Rule), which was published in the Federal Register in May 2024. The CCR Legacy Rule requires companies to investigate previously closed impoundments that were used historically for ash disposal or locations which have had ash placed on them in amounts set forth in the CCR Legacy Rule. On February 10, 2026, the EPA published a final rule extending various deadlines under the CCR Legacy Rule, including those related to facility evaluation requirements. The Registrants have completed their preliminary review of potential sites that will require further investigation under the CCR Legacy Rule and identified certain sites in Indiana for further evaluation. During 2024, Indiana Electric recorded an approximate $11 million ARO with a corresponding increase of $11 million to Property, plant and equipment for amounts recoverable for electric generation stations that are currently in service. These estimates reflect the discounted value of future estimated capping costs for an area of historic ash placement at F.B. Culley. Indiana Electric will continue to refine the assumptions, engineering analyses and resulting cost estimates associated with this ARO and such refinement could materially impact the amount of the estimated ARO. On April 13, 2026, the EPA published amendments to the CCR Legacy Rule which, if finalized, could rescind further investigation and remediation requirements for those Indiana Electric sites referenced above.</w:t>
      </w:r>
    </w:p>
    <w:p>
      <w:pPr>
        <w:spacing w:after="0" w:line="358"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Other Environmental. </w:t>
      </w:r>
      <w:r>
        <w:rPr>
          <w:rFonts w:ascii="Times New Roman" w:cs="Times New Roman" w:eastAsia="Times New Roman" w:hAnsi="Times New Roman"/>
          <w:sz w:val="14"/>
          <w:szCs w:val="14"/>
          <w:color w:val="auto"/>
        </w:rPr>
        <w:t>From time to time, the Registrants identify the presence of environmental contaminants during operations or on property where their predecessors have conducted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Proceedings</w:t>
      </w:r>
    </w:p>
    <w:p>
      <w:pPr>
        <w:spacing w:after="0" w:line="20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Earnings Per Share (CenterPoint Energy)</w:t>
      </w:r>
    </w:p>
    <w:p>
      <w:pPr>
        <w:spacing w:after="0" w:line="202"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methodology for calculating basic and diluted earnings per share was disclosed in our combined 2025 Form 10-K. Except as described below, there have been no material changes in those disclosures.</w:t>
      </w:r>
    </w:p>
    <w:p>
      <w:pPr>
        <w:spacing w:after="0" w:line="145"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Until settlement of the equity forwards executed in April 2025 and May 2025 further described in Note 15, dilutive earnings per common share reflects the dilutive impact of potential issuances of shares of Common Stock associated with the outstanding equity forwards. The dilutive effect of equity forwards is determined under the treasury stock method. Share dilution occurs when the average market price of Common Stock is higher than the forward sales price at the end of the reporting period.</w:t>
      </w:r>
    </w:p>
    <w:p>
      <w:pPr>
        <w:spacing w:after="0" w:line="157"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color w:val="auto"/>
        </w:rPr>
        <w:t>Diluted earnings per common share will also reflect the dilutive effect of potential conversions of our convertible notes into shares of Common Stock. Convertible debt in which the principal amount must be settled in cash is excluded from the calculation of diluted earnings per common share. There would be no interest expense adjustment to the numerator for the cash-settled portion of the convertible notes because that portion will always be settled in cash. The conversion spread value in shares will be included in diluted earnings per common share using the if-converted method if the average market price of Common Stock is higher than the conversion price. The denominator of diluted earnings per common share is determined by dividing the conversion spread value of the share-settled portion of the convertible notes as of the reporting date by the average share price over the reporting period. For further details about the convertible notes, see Note 9</w:t>
      </w:r>
      <w:r>
        <w:rPr>
          <w:rFonts w:ascii="Times New Roman" w:cs="Times New Roman" w:eastAsia="Times New Roman" w:hAnsi="Times New Roman"/>
          <w:sz w:val="15"/>
          <w:szCs w:val="15"/>
          <w:color w:val="auto"/>
        </w:rPr>
        <w:t>.</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numerators and denominators of CenterPoint Energy’s basic and diluted earnings per common share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74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Borders>
              <w:bottom w:val="single" w:sz="8" w:color="auto"/>
            </w:tcBorders>
          </w:tcPr>
          <w:p>
            <w:pPr>
              <w:spacing w:after="0"/>
              <w:rPr>
                <w:sz w:val="14"/>
                <w:szCs w:val="14"/>
                <w:color w:val="auto"/>
              </w:rPr>
            </w:pPr>
          </w:p>
        </w:tc>
      </w:tr>
      <w:tr>
        <w:trPr>
          <w:trHeight w:val="159"/>
        </w:trPr>
        <w:tc>
          <w:tcPr>
            <w:tcW w:w="7480" w:type="dxa"/>
            <w:vAlign w:val="bottom"/>
          </w:tcPr>
          <w:p>
            <w:pPr>
              <w:spacing w:after="0"/>
              <w:rPr>
                <w:sz w:val="13"/>
                <w:szCs w:val="13"/>
                <w:color w:val="auto"/>
              </w:rPr>
            </w:pPr>
          </w:p>
        </w:tc>
        <w:tc>
          <w:tcPr>
            <w:tcW w:w="3800" w:type="dxa"/>
            <w:vAlign w:val="bottom"/>
            <w:gridSpan w:val="5"/>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(in millions, except per share and share amounts)</w:t>
            </w:r>
          </w:p>
        </w:tc>
      </w:tr>
      <w:tr>
        <w:trPr>
          <w:trHeight w:val="170"/>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w:t>
            </w:r>
          </w:p>
        </w:tc>
      </w:tr>
      <w:tr>
        <w:trPr>
          <w:trHeight w:val="169"/>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653,417,000</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652,161,000</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Plus: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7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Restricted stock</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2,542,000</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1,158,000</w:t>
            </w:r>
          </w:p>
        </w:tc>
      </w:tr>
      <w:tr>
        <w:trPr>
          <w:trHeight w:val="168"/>
        </w:trPr>
        <w:tc>
          <w:tcPr>
            <w:tcW w:w="7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 forwards</w:t>
            </w:r>
          </w:p>
        </w:tc>
        <w:tc>
          <w:tcPr>
            <w:tcW w:w="1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3,320,000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Convertible notes (1)</w:t>
            </w:r>
          </w:p>
        </w:tc>
        <w:tc>
          <w:tcPr>
            <w:tcW w:w="1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114,000</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 diluted</w:t>
            </w:r>
          </w:p>
        </w:tc>
        <w:tc>
          <w:tcPr>
            <w:tcW w:w="1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659,393,000</w:t>
            </w:r>
          </w:p>
        </w:tc>
        <w:tc>
          <w:tcPr>
            <w:tcW w:w="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653,319,000</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31"/>
        </w:trPr>
        <w:tc>
          <w:tcPr>
            <w:tcW w:w="74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9"/>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7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0.48</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7480" w:type="dxa"/>
            <w:vAlign w:val="bottom"/>
          </w:tcPr>
          <w:p>
            <w:pPr>
              <w:ind w:left="100"/>
              <w:spacing w:after="0" w:line="133" w:lineRule="exact"/>
              <w:rPr>
                <w:sz w:val="20"/>
                <w:szCs w:val="20"/>
                <w:color w:val="auto"/>
              </w:rPr>
            </w:pPr>
            <w:r>
              <w:rPr>
                <w:rFonts w:ascii="Times New Roman" w:cs="Times New Roman" w:eastAsia="Times New Roman" w:hAnsi="Times New Roman"/>
                <w:sz w:val="13"/>
                <w:szCs w:val="13"/>
                <w:color w:val="auto"/>
              </w:rPr>
              <w:t>Diluted</w:t>
            </w:r>
          </w:p>
        </w:tc>
        <w:tc>
          <w:tcPr>
            <w:tcW w:w="1100" w:type="dxa"/>
            <w:vAlign w:val="bottom"/>
            <w:tcBorders>
              <w:bottom w:val="single" w:sz="8" w:color="auto"/>
            </w:tcBorders>
          </w:tcPr>
          <w:p>
            <w:pPr>
              <w:jc w:val="right"/>
              <w:ind w:right="9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0.48</w:t>
            </w:r>
          </w:p>
        </w:tc>
        <w:tc>
          <w:tcPr>
            <w:tcW w:w="80" w:type="dxa"/>
            <w:vAlign w:val="bottom"/>
          </w:tcPr>
          <w:p>
            <w:pPr>
              <w:spacing w:after="0"/>
              <w:rPr>
                <w:sz w:val="11"/>
                <w:szCs w:val="11"/>
                <w:color w:val="auto"/>
              </w:rPr>
            </w:pPr>
          </w:p>
        </w:tc>
        <w:tc>
          <w:tcPr>
            <w:tcW w:w="1120" w:type="dxa"/>
            <w:vAlign w:val="bottom"/>
            <w:tcBorders>
              <w:bottom w:val="single" w:sz="8" w:color="auto"/>
            </w:tcBorders>
          </w:tcPr>
          <w:p>
            <w:pPr>
              <w:jc w:val="right"/>
              <w:ind w:right="9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0.45</w:t>
            </w:r>
          </w:p>
        </w:tc>
      </w:tr>
      <w:tr>
        <w:trPr>
          <w:trHeight w:val="20"/>
        </w:trPr>
        <w:tc>
          <w:tcPr>
            <w:tcW w:w="7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the 2026 Convertible Notes.</w:t>
      </w:r>
    </w:p>
    <w:p>
      <w:pPr>
        <w:spacing w:after="0" w:line="197"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Reportable Segments</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Registrants’ determination of reportable segments considers the strategic operating units under which the CODM manages sales, allocates resources and assesses performance of various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products and services to wholesale or retail customers in differing regulatory environments.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31, 2026, reportable segments by Registrant and information about each Registrant’s CODM were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202" w:lineRule="exact"/>
        <w:rPr>
          <w:sz w:val="20"/>
          <w:szCs w:val="20"/>
          <w:color w:val="auto"/>
        </w:rPr>
      </w:pPr>
    </w:p>
    <w:p>
      <w:pPr>
        <w:ind w:left="520" w:right="1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Electric reportable segment consisted of (i) electric transmission and distribution services in the Texas Gulf Coast area in the ERCOT region; (ii) electric transmission and distribution services primarily to southwestern Indiana; and (iii) power generation and wholesale power operations in the MISO region.</w:t>
      </w:r>
    </w:p>
    <w:p>
      <w:pPr>
        <w:spacing w:after="0" w:line="145"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Natural Gas reportable segment following the closing of the sale of the Louisiana and Mississippi natural gas LDC businesses on March 31, 2025 consisted of (i) intrastate natural gas sales to, and natural gas transportation and distribution for residential, commercial, and industrial customers in Indiana, Minnesota, Ohio</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520" w:right="60"/>
        <w:spacing w:after="0" w:line="270" w:lineRule="auto"/>
        <w:rPr>
          <w:sz w:val="20"/>
          <w:szCs w:val="20"/>
          <w:color w:val="auto"/>
        </w:rPr>
      </w:pPr>
      <w:r>
        <w:rPr>
          <w:rFonts w:ascii="Times New Roman" w:cs="Times New Roman" w:eastAsia="Times New Roman" w:hAnsi="Times New Roman"/>
          <w:sz w:val="14"/>
          <w:szCs w:val="14"/>
          <w:color w:val="auto"/>
        </w:rPr>
        <w:t>and Texas; and (ii) permanent pipeline connections through interconnects with various interstate and intrastate pipeline companies through CEIP. On October 20, 2025, CenterPoint Energy, through CERC Corp., entered into the Ohio Securities Purchase Agreement to sell all of the issued and outstanding equity interests in CEOH. The transaction is expected to close in the fourth quarter of 2026, subject to the satisfaction of customary closing conditions. For further information, see Note 3 to the Interim Condensed Financial Statements.</w:t>
      </w:r>
    </w:p>
    <w:p>
      <w:pPr>
        <w:spacing w:after="0" w:line="157" w:lineRule="exact"/>
        <w:rPr>
          <w:sz w:val="20"/>
          <w:szCs w:val="20"/>
          <w:color w:val="auto"/>
        </w:rPr>
      </w:pPr>
    </w:p>
    <w:p>
      <w:pPr>
        <w:ind w:left="520" w:right="1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Corporate and Other reportable segment consisted of corporate support operations that support all of CenterPoint Energy’s business operations. CenterPoint Energy’s Corporate and Other also includes office buildings and other real estate used for business operations.</w:t>
      </w:r>
    </w:p>
    <w:p>
      <w:pPr>
        <w:spacing w:after="0" w:line="145"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CODM, the President and Chief Executive Officer, evaluates performance for all of its reportable segments based on segment net income. The CODM uses segment net income to allocate resources as part of the budgeting and forecasting process as well as during periodic budget-to-actual reviews.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ind w:left="520" w:right="60" w:hanging="260"/>
        <w:spacing w:after="0" w:line="287" w:lineRule="auto"/>
        <w:tabs>
          <w:tab w:leader="none" w:pos="516"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Houston Electric’s single reportable segment consisted of electric transmission services to transmission service customers in the ERCOT region and distribution service to REPs serving the Texas Gulf Coast area that includes the city of Houston.</w:t>
      </w:r>
    </w:p>
    <w:p>
      <w:pPr>
        <w:spacing w:after="0" w:line="145"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Houston Electric’s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2" w:lineRule="exact"/>
        <w:rPr>
          <w:sz w:val="20"/>
          <w:szCs w:val="20"/>
          <w:color w:val="auto"/>
        </w:rPr>
      </w:pPr>
    </w:p>
    <w:p>
      <w:pPr>
        <w:ind w:left="520" w:hanging="260"/>
        <w:spacing w:after="0" w:line="261" w:lineRule="auto"/>
        <w:tabs>
          <w:tab w:leader="none" w:pos="516"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CERC’s single reportable segment following the closing of the sale of the Louisiana and Mississippi natural gas LDC businesses on March 31, 2025 consisted of (i) intrastate natural gas sales to, and natural gas transportation and distribution for, residential, commercial, and industrial customers in Indiana, Minnesota, Ohio and Texas; and (ii) permanent pipeline connections through interconnects with various interstate and intrastate pipeline companies through CEIP. On October 20, 2025, CenterPoint Energy, through CERC Corp., entered into the Ohio Securities Purchase Agreement to sell all of the issued and outstanding equity interests in CEOH. The transaction is expected to close in the fourth quarter of 2026, subject to the satisfaction of customary closing conditions. For further information, see Note 3 to the Interim Condensed Financial Statements.</w:t>
      </w:r>
    </w:p>
    <w:p>
      <w:pPr>
        <w:spacing w:after="0" w:line="164"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CERC’s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Expenditures for long-lived assets include property, plant and equipment. Intersegment sales are eliminated in consolidation, except as described in Note 1.</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Financial data for reportable segments is as follows for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 2026</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7"/>
              </w:rPr>
              <w:t>Corporate and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8"/>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w:t>
            </w:r>
          </w:p>
        </w:tc>
        <w:tc>
          <w:tcPr>
            <w:tcW w:w="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w:t>
            </w:r>
          </w:p>
        </w:tc>
        <w:tc>
          <w:tcPr>
            <w:tcW w:w="20" w:type="dxa"/>
            <w:vAlign w:val="bottom"/>
            <w:shd w:val="clear" w:color="auto" w:fill="CCEEFF"/>
          </w:tcPr>
          <w:p>
            <w:pPr>
              <w:spacing w:after="0"/>
              <w:rPr>
                <w:sz w:val="14"/>
                <w:szCs w:val="1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center"/>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Intersegment revenues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 (1)</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net (2)</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2025</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60" w:type="dxa"/>
            <w:vAlign w:val="bottom"/>
          </w:tcPr>
          <w:p>
            <w:pPr>
              <w:spacing w:after="0"/>
              <w:rPr>
                <w:sz w:val="10"/>
                <w:szCs w:val="10"/>
                <w:color w:val="auto"/>
              </w:rPr>
            </w:pPr>
          </w:p>
        </w:tc>
        <w:tc>
          <w:tcPr>
            <w:tcW w:w="1280" w:type="dxa"/>
            <w:vAlign w:val="bottom"/>
            <w:gridSpan w:val="5"/>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tcPr>
          <w:p>
            <w:pPr>
              <w:jc w:val="center"/>
              <w:ind w:right="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8"/>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w:t>
            </w:r>
          </w:p>
        </w:tc>
        <w:tc>
          <w:tcPr>
            <w:tcW w:w="20" w:type="dxa"/>
            <w:vAlign w:val="bottom"/>
            <w:shd w:val="clear" w:color="auto" w:fill="CCEEFF"/>
          </w:tcPr>
          <w:p>
            <w:pPr>
              <w:spacing w:after="0"/>
              <w:rPr>
                <w:sz w:val="14"/>
                <w:szCs w:val="14"/>
                <w:color w:val="auto"/>
              </w:rPr>
            </w:pPr>
          </w:p>
        </w:tc>
        <w:tc>
          <w:tcPr>
            <w:tcW w:w="24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2,920</w:t>
            </w:r>
          </w:p>
        </w:tc>
        <w:tc>
          <w:tcPr>
            <w:tcW w:w="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Intersegment revenues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747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 (1)</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expense (income), net (2)</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Borders>
              <w:top w:val="single" w:sz="8" w:color="auto"/>
              <w:bottom w:val="single" w:sz="8" w:color="auto"/>
            </w:tcBorders>
            <w:gridSpan w:val="2"/>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520" w:right="580" w:hanging="260"/>
        <w:spacing w:after="0" w:line="263" w:lineRule="auto"/>
        <w:tabs>
          <w:tab w:leader="none" w:pos="46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earned on cash and cash equivalents related to VIEs of less than $1 million for each of the three months ended March 31, 2026 and 2025 is included in Other income (expense), net on CenterPoint Energy’s Condensed Statements of Consolidated Income.</w:t>
      </w:r>
    </w:p>
    <w:p>
      <w:pPr>
        <w:ind w:left="520" w:right="540" w:hanging="260"/>
        <w:spacing w:after="0" w:line="266" w:lineRule="auto"/>
        <w:tabs>
          <w:tab w:leader="none" w:pos="46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(expense), net primarily includes AFUDC equity, non-service cost for pension and postretirement benefits, Gain (loss) on equity securities, Gain (loss) on indexed debt securities and Loss on sale.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3400" w:type="dxa"/>
            <w:vAlign w:val="bottom"/>
            <w:tcBorders>
              <w:bottom w:val="single" w:sz="8" w:color="auto"/>
            </w:tcBorders>
            <w:gridSpan w:val="4"/>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8"/>
              </w:rPr>
              <w:t>Expenditures for Long-lived Assets</w:t>
            </w:r>
          </w:p>
        </w:tc>
        <w:tc>
          <w:tcPr>
            <w:tcW w:w="40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3400" w:type="dxa"/>
            <w:vAlign w:val="bottom"/>
            <w:tcBorders>
              <w:bottom w:val="single" w:sz="8" w:color="auto"/>
            </w:tcBorders>
            <w:gridSpan w:val="4"/>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400" w:type="dxa"/>
            <w:vAlign w:val="bottom"/>
            <w:tcBorders>
              <w:bottom w:val="single" w:sz="8" w:color="auto"/>
            </w:tcBorders>
          </w:tcPr>
          <w:p>
            <w:pPr>
              <w:spacing w:after="0"/>
              <w:rPr>
                <w:sz w:val="14"/>
                <w:szCs w:val="14"/>
                <w:color w:val="auto"/>
              </w:rPr>
            </w:pPr>
          </w:p>
        </w:tc>
      </w:tr>
      <w:tr>
        <w:trPr>
          <w:trHeight w:val="160"/>
        </w:trPr>
        <w:tc>
          <w:tcPr>
            <w:tcW w:w="7460" w:type="dxa"/>
            <w:vAlign w:val="bottom"/>
          </w:tcPr>
          <w:p>
            <w:pPr>
              <w:spacing w:after="0"/>
              <w:rPr>
                <w:sz w:val="13"/>
                <w:szCs w:val="13"/>
                <w:color w:val="auto"/>
              </w:rPr>
            </w:pPr>
          </w:p>
        </w:tc>
        <w:tc>
          <w:tcPr>
            <w:tcW w:w="14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3"/>
                <w:szCs w:val="13"/>
                <w:color w:val="auto"/>
              </w:rPr>
            </w:pPr>
          </w:p>
        </w:tc>
      </w:tr>
      <w:tr>
        <w:trPr>
          <w:trHeight w:val="160"/>
        </w:trPr>
        <w:tc>
          <w:tcPr>
            <w:tcW w:w="7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0" w:type="dxa"/>
            <w:vAlign w:val="bottom"/>
            <w:gridSpan w:val="3"/>
          </w:tcPr>
          <w:p>
            <w:pPr>
              <w:jc w:val="center"/>
              <w:ind w:right="91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00" w:type="dxa"/>
            <w:vAlign w:val="bottom"/>
          </w:tcPr>
          <w:p>
            <w:pPr>
              <w:spacing w:after="0"/>
              <w:rPr>
                <w:sz w:val="13"/>
                <w:szCs w:val="13"/>
                <w:color w:val="auto"/>
              </w:rPr>
            </w:pPr>
          </w:p>
        </w:tc>
      </w:tr>
      <w:tr>
        <w:trPr>
          <w:trHeight w:val="17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0"/>
        </w:trPr>
        <w:tc>
          <w:tcPr>
            <w:tcW w:w="74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Consolidated</w:t>
            </w:r>
          </w:p>
        </w:tc>
        <w:tc>
          <w:tcPr>
            <w:tcW w:w="140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80" w:type="dxa"/>
            <w:vAlign w:val="bottom"/>
          </w:tcPr>
          <w:p>
            <w:pPr>
              <w:spacing w:after="0"/>
              <w:rPr>
                <w:sz w:val="13"/>
                <w:szCs w:val="13"/>
                <w:color w:val="auto"/>
              </w:rPr>
            </w:pPr>
          </w:p>
        </w:tc>
        <w:tc>
          <w:tcPr>
            <w:tcW w:w="1460" w:type="dxa"/>
            <w:vAlign w:val="bottom"/>
            <w:tcBorders>
              <w:bottom w:val="single" w:sz="8" w:color="auto"/>
            </w:tcBorders>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1,340</w:t>
            </w:r>
          </w:p>
        </w:tc>
      </w:tr>
      <w:tr>
        <w:trPr>
          <w:trHeight w:val="20"/>
        </w:trPr>
        <w:tc>
          <w:tcPr>
            <w:tcW w:w="7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415"/>
        </w:trPr>
        <w:tc>
          <w:tcPr>
            <w:tcW w:w="746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936"/>
              <w:spacing w:after="0"/>
              <w:rPr>
                <w:sz w:val="20"/>
                <w:szCs w:val="20"/>
                <w:color w:val="auto"/>
              </w:rPr>
            </w:pPr>
            <w:r>
              <w:rPr>
                <w:rFonts w:ascii="Times New Roman" w:cs="Times New Roman" w:eastAsia="Times New Roman" w:hAnsi="Times New Roman"/>
                <w:sz w:val="13"/>
                <w:szCs w:val="13"/>
                <w:b w:val="1"/>
                <w:bCs w:val="1"/>
                <w:color w:val="auto"/>
                <w:w w:val="94"/>
              </w:rPr>
              <w:t>Total Assets</w:t>
            </w:r>
          </w:p>
        </w:tc>
        <w:tc>
          <w:tcPr>
            <w:tcW w:w="400" w:type="dxa"/>
            <w:vAlign w:val="bottom"/>
            <w:tcBorders>
              <w:bottom w:val="single" w:sz="8" w:color="auto"/>
            </w:tcBorders>
          </w:tcPr>
          <w:p>
            <w:pPr>
              <w:spacing w:after="0"/>
              <w:rPr>
                <w:sz w:val="24"/>
                <w:szCs w:val="24"/>
                <w:color w:val="auto"/>
              </w:rPr>
            </w:pPr>
          </w:p>
        </w:tc>
      </w:tr>
      <w:tr>
        <w:trPr>
          <w:trHeight w:val="161"/>
        </w:trPr>
        <w:tc>
          <w:tcPr>
            <w:tcW w:w="746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0" w:type="dxa"/>
            <w:vAlign w:val="bottom"/>
            <w:tcBorders>
              <w:bottom w:val="single" w:sz="8" w:color="auto"/>
            </w:tcBorders>
          </w:tcPr>
          <w:p>
            <w:pPr>
              <w:spacing w:after="0"/>
              <w:rPr>
                <w:sz w:val="14"/>
                <w:szCs w:val="14"/>
                <w:color w:val="auto"/>
              </w:rPr>
            </w:pPr>
          </w:p>
        </w:tc>
      </w:tr>
      <w:tr>
        <w:trPr>
          <w:trHeight w:val="160"/>
        </w:trPr>
        <w:tc>
          <w:tcPr>
            <w:tcW w:w="7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0" w:type="dxa"/>
            <w:vAlign w:val="bottom"/>
            <w:gridSpan w:val="3"/>
          </w:tcPr>
          <w:p>
            <w:pPr>
              <w:jc w:val="center"/>
              <w:ind w:right="91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00" w:type="dxa"/>
            <w:vAlign w:val="bottom"/>
          </w:tcPr>
          <w:p>
            <w:pPr>
              <w:spacing w:after="0"/>
              <w:rPr>
                <w:sz w:val="13"/>
                <w:szCs w:val="13"/>
                <w:color w:val="auto"/>
              </w:rPr>
            </w:pPr>
          </w:p>
        </w:tc>
      </w:tr>
      <w:tr>
        <w:trPr>
          <w:trHeight w:val="17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28,051</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26,649</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1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18,399</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18,405</w:t>
            </w:r>
          </w:p>
        </w:tc>
      </w:tr>
      <w:tr>
        <w:trPr>
          <w:trHeight w:val="17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 (1)</w:t>
            </w:r>
          </w:p>
        </w:tc>
        <w:tc>
          <w:tcPr>
            <w:tcW w:w="14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w:t>
            </w:r>
          </w:p>
        </w:tc>
      </w:tr>
      <w:tr>
        <w:trPr>
          <w:trHeight w:val="163"/>
        </w:trPr>
        <w:tc>
          <w:tcPr>
            <w:tcW w:w="74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Consolidated</w:t>
            </w:r>
          </w:p>
        </w:tc>
        <w:tc>
          <w:tcPr>
            <w:tcW w:w="140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47,837</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46,534</w:t>
            </w:r>
          </w:p>
        </w:tc>
      </w:tr>
      <w:tr>
        <w:trPr>
          <w:trHeight w:val="20"/>
        </w:trPr>
        <w:tc>
          <w:tcPr>
            <w:tcW w:w="7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Total assets included pension and other postemployment-related regulatory assets of $377 million and $383 million as of March 31, 2026 and December 31, 2025,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jc w:val="both"/>
        <w:ind w:right="240" w:firstLine="255"/>
        <w:spacing w:after="0" w:line="270" w:lineRule="auto"/>
        <w:rPr>
          <w:sz w:val="20"/>
          <w:szCs w:val="20"/>
          <w:color w:val="auto"/>
        </w:rPr>
      </w:pPr>
      <w:r>
        <w:rPr>
          <w:rFonts w:ascii="Times New Roman" w:cs="Times New Roman" w:eastAsia="Times New Roman" w:hAnsi="Times New Roman"/>
          <w:sz w:val="14"/>
          <w:szCs w:val="14"/>
          <w:color w:val="auto"/>
        </w:rPr>
        <w:t>Houston Electric consists of a single reportable segment. For financial data related to income and expenses for the single reportable segment, see Houston Electric’s Condensed Statements of Consolidated Income. For financial data related to segment total assets, see Houston Electric’s Condensed Consolidated Balance Sheets. Expenditures for long-lived assets were $768 million and $579 million for the three months ended March 31, 2026 and 2025, respectively. Financial data related to interest income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3340" w:type="dxa"/>
            <w:vAlign w:val="bottom"/>
            <w:tcBorders>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46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13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r>
      <w:tr>
        <w:trPr>
          <w:trHeight w:val="160"/>
        </w:trPr>
        <w:tc>
          <w:tcPr>
            <w:tcW w:w="7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20" w:type="dxa"/>
            <w:vAlign w:val="bottom"/>
            <w:gridSpan w:val="2"/>
          </w:tcPr>
          <w:p>
            <w:pPr>
              <w:jc w:val="center"/>
              <w:ind w:right="77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60" w:type="dxa"/>
            <w:vAlign w:val="bottom"/>
          </w:tcPr>
          <w:p>
            <w:pPr>
              <w:spacing w:after="0"/>
              <w:rPr>
                <w:sz w:val="13"/>
                <w:szCs w:val="13"/>
                <w:color w:val="auto"/>
              </w:rPr>
            </w:pPr>
          </w:p>
        </w:tc>
      </w:tr>
      <w:tr>
        <w:trPr>
          <w:trHeight w:val="17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13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w:t>
            </w:r>
          </w:p>
        </w:tc>
        <w:tc>
          <w:tcPr>
            <w:tcW w:w="146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60" w:lineRule="exact"/>
        <w:rPr>
          <w:sz w:val="20"/>
          <w:szCs w:val="20"/>
          <w:color w:val="auto"/>
        </w:rPr>
      </w:pPr>
    </w:p>
    <w:p>
      <w:pPr>
        <w:ind w:left="520" w:right="160" w:hanging="260"/>
        <w:spacing w:after="0" w:line="287" w:lineRule="auto"/>
        <w:tabs>
          <w:tab w:leader="none" w:pos="51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Other income (expense), net on Houston Electric’s Condensed Statements of Consolidated Income and includes interest income earned on cash and cash equivalents related to VIEs of less than $1 million for each of the three months ended March 31, 2026 and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2" w:lineRule="exact"/>
        <w:rPr>
          <w:sz w:val="20"/>
          <w:szCs w:val="20"/>
          <w:color w:val="auto"/>
        </w:rPr>
      </w:pPr>
    </w:p>
    <w:p>
      <w:pPr>
        <w:jc w:val="both"/>
        <w:ind w:right="140" w:firstLine="255"/>
        <w:spacing w:after="0" w:line="270" w:lineRule="auto"/>
        <w:rPr>
          <w:sz w:val="20"/>
          <w:szCs w:val="20"/>
          <w:color w:val="auto"/>
        </w:rPr>
      </w:pPr>
      <w:r>
        <w:rPr>
          <w:rFonts w:ascii="Times New Roman" w:cs="Times New Roman" w:eastAsia="Times New Roman" w:hAnsi="Times New Roman"/>
          <w:sz w:val="14"/>
          <w:szCs w:val="14"/>
          <w:color w:val="auto"/>
        </w:rPr>
        <w:t>CERC consists of a single reportable segment. For financial data related to income and expenses for the single reportable segment, see CERC’s Condensed Statements of Consolidated Income. For financial data related to segment total assets, see CERC’s Condensed Consolidated Balance Sheets. Expenditures for long-lived assets were $319 million and $291 million for the three months ended March 31, 2026 and 2025, respectively. Financial data related to interest income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3340" w:type="dxa"/>
            <w:vAlign w:val="bottom"/>
            <w:tcBorders>
              <w:bottom w:val="single" w:sz="8" w:color="auto"/>
            </w:tcBorders>
            <w:gridSpan w:val="2"/>
          </w:tcPr>
          <w:p>
            <w:pPr>
              <w:jc w:val="center"/>
              <w:ind w:left="396"/>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46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13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r>
      <w:tr>
        <w:trPr>
          <w:trHeight w:val="160"/>
        </w:trPr>
        <w:tc>
          <w:tcPr>
            <w:tcW w:w="7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20" w:type="dxa"/>
            <w:vAlign w:val="bottom"/>
          </w:tcPr>
          <w:p>
            <w:pPr>
              <w:jc w:val="center"/>
              <w:ind w:right="77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60" w:type="dxa"/>
            <w:vAlign w:val="bottom"/>
          </w:tcPr>
          <w:p>
            <w:pPr>
              <w:spacing w:after="0"/>
              <w:rPr>
                <w:sz w:val="13"/>
                <w:szCs w:val="13"/>
                <w:color w:val="auto"/>
              </w:rPr>
            </w:pPr>
          </w:p>
        </w:tc>
      </w:tr>
      <w:tr>
        <w:trPr>
          <w:trHeight w:val="17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13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202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60" w:lineRule="exact"/>
        <w:rPr>
          <w:sz w:val="20"/>
          <w:szCs w:val="20"/>
          <w:color w:val="auto"/>
        </w:rPr>
      </w:pPr>
    </w:p>
    <w:p>
      <w:pPr>
        <w:ind w:left="500" w:hanging="240"/>
        <w:spacing w:after="0"/>
        <w:tabs>
          <w:tab w:leader="none" w:pos="50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Other income (expense), net on CERC’s Condensed Statements of Consolidated Income.</w:t>
      </w:r>
    </w:p>
    <w:p>
      <w:pPr>
        <w:spacing w:after="0" w:line="197"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 (Houston Electric and CERC)</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Houston Electric and CERC participate in CenterPoint Energy’s money pool through which they can borrow or invest on a short-term basis. Funding needs are aggregated and external borrowing</w:t>
      </w:r>
    </w:p>
    <w:p>
      <w:pPr>
        <w:spacing w:after="0" w:line="2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4"/>
          <w:szCs w:val="14"/>
          <w:color w:val="auto"/>
        </w:rPr>
        <w:t>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CenterPoint Energy money pool activity as of the periods presented: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00" w:type="dxa"/>
            <w:vAlign w:val="bottom"/>
            <w:tcBorders>
              <w:bottom w:val="single" w:sz="8" w:color="auto"/>
            </w:tcBorders>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60" w:type="dxa"/>
            <w:vAlign w:val="bottom"/>
            <w:gridSpan w:val="4"/>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rPr>
              <w:t>(in millions, except interest rates)</w:t>
            </w: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pool investments (borrowings) (1)</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764</w:t>
            </w:r>
          </w:p>
        </w:tc>
        <w:tc>
          <w:tcPr>
            <w:tcW w:w="60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w:t>
            </w:r>
          </w:p>
        </w:tc>
        <w:tc>
          <w:tcPr>
            <w:tcW w:w="64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(291)</w:t>
            </w:r>
          </w:p>
        </w:tc>
      </w:tr>
      <w:tr>
        <w:trPr>
          <w:trHeight w:val="165"/>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interest rate</w:t>
            </w: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3.74 %</w:t>
            </w:r>
          </w:p>
        </w:tc>
        <w:tc>
          <w:tcPr>
            <w:tcW w:w="6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3.83 %</w:t>
            </w:r>
          </w:p>
        </w:tc>
        <w:tc>
          <w:tcPr>
            <w:tcW w:w="6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3.83 %</w:t>
            </w:r>
          </w:p>
        </w:tc>
      </w:tr>
    </w:tbl>
    <w:p>
      <w:pPr>
        <w:spacing w:after="0" w:line="53" w:lineRule="exact"/>
        <w:rPr>
          <w:sz w:val="20"/>
          <w:szCs w:val="20"/>
          <w:color w:val="auto"/>
        </w:rPr>
      </w:pPr>
    </w:p>
    <w:p>
      <w:pPr>
        <w:jc w:val="both"/>
        <w:ind w:left="520" w:hanging="260"/>
        <w:spacing w:after="0" w:line="270" w:lineRule="auto"/>
        <w:tabs>
          <w:tab w:leader="none" w:pos="51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and notes receivable–affiliated companies in Houston Electric’s and Accounts and notes payable–affiliated companies in CERC’s respective Condensed Consolidated Balance Sheets as of March 31, 2026 and Accounts and notes payable–affiliated companies in Houston Electric’s and CERC’s respective Condensed Consolidated Balance Sheets as of December 31, 2025.</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 and CERC affiliate-related transactions were as follows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61"/>
        </w:trPr>
        <w:tc>
          <w:tcPr>
            <w:tcW w:w="70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2025</w:t>
            </w:r>
          </w:p>
        </w:tc>
        <w:tc>
          <w:tcPr>
            <w:tcW w:w="780" w:type="dxa"/>
            <w:vAlign w:val="bottom"/>
            <w:tcBorders>
              <w:bottom w:val="single" w:sz="8" w:color="auto"/>
            </w:tcBorders>
          </w:tcPr>
          <w:p>
            <w:pPr>
              <w:spacing w:after="0"/>
              <w:rPr>
                <w:sz w:val="14"/>
                <w:szCs w:val="14"/>
                <w:color w:val="auto"/>
              </w:rPr>
            </w:pPr>
          </w:p>
        </w:tc>
      </w:tr>
      <w:tr>
        <w:trPr>
          <w:trHeight w:val="160"/>
        </w:trPr>
        <w:tc>
          <w:tcPr>
            <w:tcW w:w="704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(expense), net (1)</w:t>
            </w:r>
          </w:p>
        </w:tc>
        <w:tc>
          <w:tcPr>
            <w:tcW w:w="4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w w:val="85"/>
              </w:rPr>
              <w:t>2</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bl>
    <w:p>
      <w:pPr>
        <w:spacing w:after="0" w:line="60" w:lineRule="exact"/>
        <w:rPr>
          <w:sz w:val="20"/>
          <w:szCs w:val="20"/>
          <w:color w:val="auto"/>
        </w:rPr>
      </w:pPr>
    </w:p>
    <w:p>
      <w:pPr>
        <w:ind w:left="520" w:hanging="260"/>
        <w:spacing w:after="0" w:line="287" w:lineRule="auto"/>
        <w:tabs>
          <w:tab w:leader="none" w:pos="47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included in Other income, net and interest expense is included in Interest expense and other finance charges on Houston Electric’s and CERC’s respective Condensed Statements of Consolidated Income.</w:t>
      </w:r>
    </w:p>
    <w:p>
      <w:pPr>
        <w:spacing w:after="0" w:line="145"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CenterPoint Energy and its affiliates provide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and CERC provide other miscellaneous services to affiliates of CenterPoint Energy. Houston Electric provides certain services to CERC, including fleet services, shop services, geographic services, surveying and right-of-way services, radio communications, data circuit management and field operations. Additionally, CERC provides certain services to Houston Electric, including line locating and other miscellaneous services. Each of these services are billed at actual cost, either directly or as an allocation. These billings and charges are not necessarily indicative of what would have been incurred had subsidiaries of CenterPoint Energy, Houston Electric and CERC not been affiliates.</w:t>
      </w:r>
    </w:p>
    <w:p>
      <w:pPr>
        <w:spacing w:after="0" w:line="167"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The table below presents charges (billings) for these services, which are included primarily in Operation and maintenance expenses on Houston Electric’s and CERC’s respective Condensed Statements of Consolidated Income for the periods presented: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61"/>
        </w:trPr>
        <w:tc>
          <w:tcPr>
            <w:tcW w:w="7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780" w:type="dxa"/>
            <w:vAlign w:val="bottom"/>
            <w:tcBorders>
              <w:bottom w:val="single" w:sz="8" w:color="auto"/>
            </w:tcBorders>
          </w:tcPr>
          <w:p>
            <w:pPr>
              <w:spacing w:after="0"/>
              <w:rPr>
                <w:sz w:val="14"/>
                <w:szCs w:val="14"/>
                <w:color w:val="auto"/>
              </w:rPr>
            </w:pPr>
          </w:p>
        </w:tc>
      </w:tr>
      <w:tr>
        <w:trPr>
          <w:trHeight w:val="160"/>
        </w:trPr>
        <w:tc>
          <w:tcPr>
            <w:tcW w:w="704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3"/>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service charges</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43</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65"/>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Affiliate service charges (billings), net</w:t>
            </w:r>
          </w:p>
        </w:tc>
        <w:tc>
          <w:tcPr>
            <w:tcW w:w="46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Equity (CenterPoint Energy)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Declared and Paid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Energy’s dividends declared and dividends paid are presented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right="516"/>
              <w:spacing w:after="0"/>
              <w:rPr>
                <w:sz w:val="20"/>
                <w:szCs w:val="20"/>
                <w:color w:val="auto"/>
              </w:rPr>
            </w:pPr>
            <w:r>
              <w:rPr>
                <w:rFonts w:ascii="Times New Roman" w:cs="Times New Roman" w:eastAsia="Times New Roman" w:hAnsi="Times New Roman"/>
                <w:sz w:val="13"/>
                <w:szCs w:val="13"/>
                <w:b w:val="1"/>
                <w:bCs w:val="1"/>
                <w:color w:val="auto"/>
                <w:w w:val="96"/>
              </w:rPr>
              <w:t>Dividends Declared Per Share</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center"/>
              <w:ind w:right="513"/>
              <w:spacing w:after="0"/>
              <w:rPr>
                <w:sz w:val="20"/>
                <w:szCs w:val="20"/>
                <w:color w:val="auto"/>
              </w:rPr>
            </w:pPr>
            <w:r>
              <w:rPr>
                <w:rFonts w:ascii="Times New Roman" w:cs="Times New Roman" w:eastAsia="Times New Roman" w:hAnsi="Times New Roman"/>
                <w:sz w:val="13"/>
                <w:szCs w:val="13"/>
                <w:b w:val="1"/>
                <w:bCs w:val="1"/>
                <w:color w:val="auto"/>
                <w:w w:val="98"/>
              </w:rPr>
              <w:t>Dividends Paid Per Share</w:t>
            </w:r>
          </w:p>
        </w:tc>
        <w:tc>
          <w:tcPr>
            <w:tcW w:w="560" w:type="dxa"/>
            <w:vAlign w:val="bottom"/>
            <w:tcBorders>
              <w:bottom w:val="single" w:sz="8" w:color="auto"/>
            </w:tcBorders>
          </w:tcPr>
          <w:p>
            <w:pPr>
              <w:spacing w:after="0"/>
              <w:rPr>
                <w:sz w:val="14"/>
                <w:szCs w:val="14"/>
                <w:color w:val="auto"/>
              </w:rPr>
            </w:pPr>
          </w:p>
        </w:tc>
      </w:tr>
      <w:tr>
        <w:trPr>
          <w:trHeight w:val="161"/>
        </w:trPr>
        <w:tc>
          <w:tcPr>
            <w:tcW w:w="3600" w:type="dxa"/>
            <w:vAlign w:val="bottom"/>
          </w:tcPr>
          <w:p>
            <w:pPr>
              <w:spacing w:after="0"/>
              <w:rPr>
                <w:sz w:val="14"/>
                <w:szCs w:val="14"/>
                <w:color w:val="auto"/>
              </w:rPr>
            </w:pPr>
          </w:p>
        </w:tc>
        <w:tc>
          <w:tcPr>
            <w:tcW w:w="3300" w:type="dxa"/>
            <w:vAlign w:val="bottom"/>
            <w:tcBorders>
              <w:bottom w:val="single" w:sz="8" w:color="auto"/>
            </w:tcBorders>
            <w:gridSpan w:val="4"/>
          </w:tcPr>
          <w:p>
            <w:pPr>
              <w:jc w:val="center"/>
              <w:ind w:left="42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Borders>
              <w:bottom w:val="single" w:sz="8" w:color="auto"/>
            </w:tcBorders>
            <w:gridSpan w:val="4"/>
          </w:tcPr>
          <w:p>
            <w:pPr>
              <w:jc w:val="center"/>
              <w:ind w:left="514"/>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560" w:type="dxa"/>
            <w:vAlign w:val="bottom"/>
            <w:tcBorders>
              <w:bottom w:val="single" w:sz="8" w:color="auto"/>
            </w:tcBorders>
          </w:tcPr>
          <w:p>
            <w:pPr>
              <w:spacing w:after="0"/>
              <w:rPr>
                <w:sz w:val="14"/>
                <w:szCs w:val="14"/>
                <w:color w:val="auto"/>
              </w:rPr>
            </w:pPr>
          </w:p>
        </w:tc>
      </w:tr>
      <w:tr>
        <w:trPr>
          <w:trHeight w:val="172"/>
        </w:trPr>
        <w:tc>
          <w:tcPr>
            <w:tcW w:w="3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2240" w:type="dxa"/>
            <w:vAlign w:val="bottom"/>
            <w:gridSpan w:val="3"/>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4"/>
                <w:szCs w:val="14"/>
                <w:color w:val="auto"/>
              </w:rPr>
            </w:pPr>
          </w:p>
        </w:tc>
      </w:tr>
      <w:tr>
        <w:trPr>
          <w:trHeight w:val="160"/>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60" w:type="dxa"/>
            <w:vAlign w:val="bottom"/>
            <w:tcBorders>
              <w:top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0.230</w:t>
            </w: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0.220</w:t>
            </w: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(CenterPoint Energy)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Equity Distribution Agreement</w:t>
      </w:r>
    </w:p>
    <w:p>
      <w:pPr>
        <w:spacing w:after="0" w:line="202" w:lineRule="exact"/>
        <w:rPr>
          <w:sz w:val="20"/>
          <w:szCs w:val="20"/>
          <w:color w:val="auto"/>
        </w:rPr>
      </w:pPr>
    </w:p>
    <w:p>
      <w:pPr>
        <w:jc w:val="both"/>
        <w:ind w:right="220" w:firstLine="255"/>
        <w:spacing w:after="0" w:line="264" w:lineRule="auto"/>
        <w:rPr>
          <w:sz w:val="20"/>
          <w:szCs w:val="20"/>
          <w:color w:val="auto"/>
        </w:rPr>
      </w:pPr>
      <w:r>
        <w:rPr>
          <w:rFonts w:ascii="Times New Roman" w:cs="Times New Roman" w:eastAsia="Times New Roman" w:hAnsi="Times New Roman"/>
          <w:sz w:val="14"/>
          <w:szCs w:val="14"/>
          <w:color w:val="auto"/>
        </w:rPr>
        <w:t>On January 10, 2024, CenterPoint Energy entered into an Equity Distribution Agreement with certain financial institutions with respect to the offering and sale from time to time of shares of Common Stock, having an aggregate gross sales price of up to $500 million. Sales of Common Stock may be made by any method permitted by applicable law and deemed to be an “at the market offering” as defined in Rule 415 of the Securities Act. The offer and sale of Common Stock under the Equity Distribution Agreement will terminate upon the earliest of (1) the sale of all Common Stock subject to the Equity Distribution Agreement, (2) termination of the Equity Distribution Agreement, or (3) May 17, 2026.</w:t>
      </w:r>
    </w:p>
    <w:p>
      <w:pPr>
        <w:spacing w:after="0" w:line="162"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In April 2025, CenterPoint Energy entered into separate forward sale agreements pursuant to the Equity Distribution Agreement with certain of the ATM Forward Purchasers relating to 3,277,764 shares and 680,902 shares of Common Stock at an initial forward price of $36.29 per share and $36.72 per share, respectively. In May 2025, CenterPoint Energy entered into a forward sale agreement with an ATM Forward Purchaser relating to 521,962 shares of Common Stock at an initial forward price of $37.49 per share. On a settlement date or dates, if CenterPoint Energy elects to physically settle the forward sale agreements, CenterPoint Energy will issue shares of Common Stock to the counterparties at the then-applicable forward sale price. The forward price used to determine amounts due at settlement is calculated based on a floating interest rate factor equal to the overnight bank funding rate less a spread of 75 basis points, and will be subject to decrease on certain dates specified in the forward sale agreements by specified amounts related to expected dividends on the shares of the Common Stock during the term of the forward sale agreements. If the overnight bank funding rate is less than or more than the spread on any day, the interest rate factor will result in a reduction or an increase, respectively, of the forward sale price. As initial pricing terms were based on market prices for Common Stock, no amounts were recorded at the execution of the forward sale agreements. CenterPoint Energy will receive proceeds when settlement occurs and will record the proceeds in equity.</w:t>
      </w:r>
    </w:p>
    <w:p>
      <w:pPr>
        <w:spacing w:after="0" w:line="167"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The forward sale agreements require CenterPoint Energy to, at its election on or prior to May 14, 2026, either (1) physically settle the transactions by issuing the total of 4,480,628 shares of Common Stock to the counterparties in exchange for cash of approximately $165 million or (2) net settle the transactions in whole or in part through the delivery or receipt of cash or shares of Common Stock. Pursuant to such net settlement provisions, these agreements could have been settled on March 31, 2026 by CenterPoint Energy’s delivery of approximately $29 million of cash or 663,633 shares of Common Stock to the banking counterparties if CenterPoint Energy unilaterally elected net cash or net share settlement, respectively. As of March 31, 2026, CenterPoint Energy had approximately $85 million of remaining capacity available under the at-the-market program. For the period covered by this Quarterly Report, CenterPoint Energy made no sales under the Equity Distribution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Forward Sale Agreements</w:t>
      </w:r>
    </w:p>
    <w:p>
      <w:pPr>
        <w:spacing w:after="0" w:line="202" w:lineRule="exact"/>
        <w:rPr>
          <w:sz w:val="20"/>
          <w:szCs w:val="20"/>
          <w:color w:val="auto"/>
        </w:rPr>
      </w:pPr>
    </w:p>
    <w:p>
      <w:pPr>
        <w:jc w:val="both"/>
        <w:ind w:right="220" w:firstLine="255"/>
        <w:spacing w:after="0" w:line="270" w:lineRule="auto"/>
        <w:rPr>
          <w:sz w:val="20"/>
          <w:szCs w:val="20"/>
          <w:color w:val="auto"/>
        </w:rPr>
      </w:pPr>
      <w:r>
        <w:rPr>
          <w:rFonts w:ascii="Times New Roman" w:cs="Times New Roman" w:eastAsia="Times New Roman" w:hAnsi="Times New Roman"/>
          <w:sz w:val="14"/>
          <w:szCs w:val="14"/>
          <w:color w:val="auto"/>
        </w:rPr>
        <w:t>In May 2025, CenterPoint Energy entered into separate forward sale agreements with certain financial institutions relating to an aggregate of 24,864,865 shares of Common Stock at an initial forward price of $36.26 per share. As initial pricing terms were based on market prices for Common Stock, no amounts were recorded at the execution of the forward sale agreements. CenterPoint Energy will receive proceeds when settlement occurs and will record the proceeds in equity.</w:t>
      </w:r>
    </w:p>
    <w:p>
      <w:pPr>
        <w:spacing w:after="0" w:line="157"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The forward sale agreements require CenterPoint Energy to, at its election on or prior to February 25, 2027, either (1) physically settle the transactions by issuing the total of 24,864,865 shares of Common Stock to the counterparties in exchange for cash of $907 million or (2) net settle the transactions in whole or in part through the delivery or receipt of cash or shares of Common Stock. Pursuant to such net settlement provisions, these agreements could also have been settled on March 31, 2026 by CenterPoint Energy’s delivery of approximately $164 million of cash or 3,791,203 shares of Common Stock to the banking counterparties if CenterPoint Energy unilaterally elected net cash or net share settlement,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Subsequent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Declared (CenterPoint Energy)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00" w:type="dxa"/>
            <w:vAlign w:val="bottom"/>
            <w:gridSpan w:val="2"/>
          </w:tcPr>
          <w:p>
            <w:pPr>
              <w:ind w:left="1700"/>
              <w:spacing w:after="0"/>
              <w:rPr>
                <w:sz w:val="20"/>
                <w:szCs w:val="20"/>
                <w:color w:val="auto"/>
              </w:rPr>
            </w:pPr>
            <w:r>
              <w:rPr>
                <w:rFonts w:ascii="Times New Roman" w:cs="Times New Roman" w:eastAsia="Times New Roman" w:hAnsi="Times New Roman"/>
                <w:sz w:val="11"/>
                <w:szCs w:val="11"/>
                <w:b w:val="1"/>
                <w:bCs w:val="1"/>
                <w:color w:val="auto"/>
              </w:rPr>
              <w:t>Equity Instrument</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Declaration Date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184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260" w:type="dxa"/>
            <w:vAlign w:val="bottom"/>
          </w:tcPr>
          <w:p>
            <w:pPr>
              <w:spacing w:after="0"/>
              <w:rPr>
                <w:sz w:val="13"/>
                <w:szCs w:val="13"/>
                <w:color w:val="auto"/>
              </w:rPr>
            </w:pPr>
          </w:p>
        </w:tc>
        <w:tc>
          <w:tcPr>
            <w:tcW w:w="1060" w:type="dxa"/>
            <w:vAlign w:val="bottom"/>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Per Share</w:t>
            </w:r>
          </w:p>
        </w:tc>
      </w:tr>
      <w:tr>
        <w:trPr>
          <w:trHeight w:val="170"/>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April 16, 2026</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May 21, 2026</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June 11, 2026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640" w:right="680" w:hanging="636"/>
        <w:spacing w:after="0" w:line="290"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 OF CENTERPOINT ENERGY, INC. AND SUBSIDIARIES</w:t>
      </w:r>
    </w:p>
    <w:p>
      <w:pPr>
        <w:spacing w:after="0" w:line="141"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combined discussion and analysis should be read in combination with the Interim Condensed Financial Statements contained in Item 1 herein and the Registrants’ combined 2025 Form 10-K. The discussion of CenterPoint Energy’s consolidated financial information includes the results of CenterPoint Energy Houston Electric, LLC and CenterPoint Energy Resources Corp., which, along with CenterPoint Energy, Inc. are collectively referred to as the Registrants. Where appropriate, information relating to a specific Registrant has been segregated and labeled as such. Unless the context indicates otherwise, specific references to Houston Electric and CERC also pertain to CenterPoint Energy. In this combined Form 10-Q, the terms “our,” “we” and “us” are used as abbreviated references to CenterPoint Energy, Inc. together with its consolidated subsidiaries, including Houston Electric and CERC, unless otherwise stated. No Registrant makes any representation as to the information relating to the other Registrants or the subsidiaries of CenterPoint Energy, Inc. other than itself or its subsidiaries.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RECENT EVENTS</w:t>
      </w:r>
    </w:p>
    <w:p>
      <w:pPr>
        <w:spacing w:after="0" w:line="200" w:lineRule="exact"/>
        <w:rPr>
          <w:sz w:val="20"/>
          <w:szCs w:val="20"/>
          <w:color w:val="auto"/>
        </w:rPr>
      </w:pPr>
    </w:p>
    <w:p>
      <w:pPr>
        <w:ind w:right="220"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CenterPoint Energy Appointment of Chief Accounting Officer. </w:t>
      </w:r>
      <w:r>
        <w:rPr>
          <w:rFonts w:ascii="Times New Roman" w:cs="Times New Roman" w:eastAsia="Times New Roman" w:hAnsi="Times New Roman"/>
          <w:sz w:val="14"/>
          <w:szCs w:val="14"/>
          <w:color w:val="auto"/>
        </w:rPr>
        <w:t>On February 23, 2026, CenterPoint Energy announced the appointment of Russell K. Wright to the position of Vice President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Chief Accounting Officer of CenterPoint Energy, effective March 2, 2026.</w:t>
      </w:r>
    </w:p>
    <w:p>
      <w:pPr>
        <w:spacing w:after="0" w:line="141"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Updated 10-Year Capital Plan. </w:t>
      </w:r>
      <w:r>
        <w:rPr>
          <w:rFonts w:ascii="Times New Roman" w:cs="Times New Roman" w:eastAsia="Times New Roman" w:hAnsi="Times New Roman"/>
          <w:sz w:val="14"/>
          <w:szCs w:val="14"/>
          <w:color w:val="auto"/>
        </w:rPr>
        <w:t>On February 19, 2026, CenterPoint Energy announced an increase in the 10-year capital plan of $500 million to reflect total capital expenditures of approximately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$65.5 billion through 2035.The plan is expected to advance economic growth, enhance the experience of the Registrants’ customers and deliver consistent value for stakeholders across the Registrants’ jurisdictions.</w:t>
      </w:r>
    </w:p>
    <w:p>
      <w:pPr>
        <w:spacing w:after="0" w:line="155" w:lineRule="exact"/>
        <w:rPr>
          <w:sz w:val="20"/>
          <w:szCs w:val="20"/>
          <w:color w:val="auto"/>
        </w:rPr>
      </w:pPr>
    </w:p>
    <w:p>
      <w:pPr>
        <w:ind w:right="320"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Treasury Notice 2026-7. </w:t>
      </w:r>
      <w:r>
        <w:rPr>
          <w:rFonts w:ascii="Times New Roman" w:cs="Times New Roman" w:eastAsia="Times New Roman" w:hAnsi="Times New Roman"/>
          <w:sz w:val="14"/>
          <w:szCs w:val="14"/>
          <w:color w:val="auto"/>
        </w:rPr>
        <w:t>On February 18, 2026, Treasury Notice 2026-7 was issued. This notice allows an election to modify the computation of AFSI by including an adjustment to deduct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certain repair and maintenance costs that are capitalized in the applicable financial statement.</w:t>
      </w:r>
    </w:p>
    <w:p>
      <w:pPr>
        <w:spacing w:after="0" w:line="141"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TEEEF. </w:t>
      </w:r>
      <w:r>
        <w:rPr>
          <w:rFonts w:ascii="Times New Roman" w:cs="Times New Roman" w:eastAsia="Times New Roman" w:hAnsi="Times New Roman"/>
          <w:sz w:val="14"/>
          <w:szCs w:val="14"/>
          <w:color w:val="auto"/>
        </w:rPr>
        <w:t>In June 2025, Houston Electric entered into the ERCOT Transaction, subject to PUCT approval, to release its 15 large (27 MW to 32 MW) TEEEF units to ERCOT at CPS Energy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facilities to serve the greater San Antonio region until March 2027 unless terminated earlier pursuant to the provisions of the ERCOT Transaction, reduce its TEEEF fleet capacity and reduce its rates to reflect removal of the large TEEEF units from its fleet. Following the completion of service in the San Antonio area, Houston Electric anticipates that it would complete one or more future transactions involving its large TEEEF units. As the large TEEEF units would not be available to serve Houston Electric customers during such time, Houston Electric plans to continue to not charge customers for these units for any future periods. In November 2025, Houston Electric proposed to remove its five medium (5.7 MW) TEEEF units and to remove the associated lease costs from its rates effective January 1, 2026. On April 10, 2026, Houston Electric requested continued abatement until April 24, 2026 due to continued settlement discussions. For additional information, see Note 6 to the Interim Condensed Financial Statements.</w:t>
      </w:r>
    </w:p>
    <w:p>
      <w:pPr>
        <w:spacing w:after="0" w:line="163"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Regulatory Proceedings. </w:t>
      </w:r>
      <w:r>
        <w:rPr>
          <w:rFonts w:ascii="Times New Roman" w:cs="Times New Roman" w:eastAsia="Times New Roman" w:hAnsi="Times New Roman"/>
          <w:sz w:val="14"/>
          <w:szCs w:val="14"/>
          <w:color w:val="auto"/>
        </w:rPr>
        <w:t>For further information, see Note 6 to the Interim Condensed Financial Statements. For information related to our pending and completed regulatory proceedings to date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2026, see “Liquidity and Capital Resources —Regulatory Matters” below.</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Debt Transactions. </w:t>
      </w:r>
      <w:r>
        <w:rPr>
          <w:rFonts w:ascii="Times New Roman" w:cs="Times New Roman" w:eastAsia="Times New Roman" w:hAnsi="Times New Roman"/>
          <w:sz w:val="14"/>
          <w:szCs w:val="14"/>
          <w:color w:val="auto"/>
        </w:rPr>
        <w:t>For information about debt transactions to date in 2026, see Note 9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CENTERPOINT ENERGY CONSOLIDATED RESULTS OF OPERATIONS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regarding factors that may affect the future results of our consolidated operations, see “Risk Factors” in Part I, Item 1A of the Registrants’ combined 2025 Form 10-K.</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(loss) for the three months ended March 31, 2026 and 2025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1440" w:type="dxa"/>
            <w:vAlign w:val="bottom"/>
            <w:tcBorders>
              <w:bottom w:val="single" w:sz="8" w:color="auto"/>
            </w:tcBorders>
          </w:tcPr>
          <w:p>
            <w:pPr>
              <w:spacing w:after="0"/>
              <w:rPr>
                <w:sz w:val="14"/>
                <w:szCs w:val="14"/>
                <w:color w:val="auto"/>
              </w:rPr>
            </w:pPr>
          </w:p>
        </w:tc>
      </w:tr>
      <w:tr>
        <w:trPr>
          <w:trHeight w:val="161"/>
        </w:trPr>
        <w:tc>
          <w:tcPr>
            <w:tcW w:w="6500" w:type="dxa"/>
            <w:vAlign w:val="bottom"/>
          </w:tcPr>
          <w:p>
            <w:pPr>
              <w:spacing w:after="0"/>
              <w:rPr>
                <w:sz w:val="14"/>
                <w:szCs w:val="14"/>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6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2"/>
              </w:rPr>
              <w:t>140</w:t>
            </w:r>
          </w:p>
        </w:tc>
        <w:tc>
          <w:tcPr>
            <w:tcW w:w="380" w:type="dxa"/>
            <w:vAlign w:val="bottom"/>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center"/>
              <w:ind w:left="1136"/>
              <w:spacing w:after="0"/>
              <w:rPr>
                <w:sz w:val="20"/>
                <w:szCs w:val="20"/>
                <w:color w:val="auto"/>
              </w:rPr>
            </w:pPr>
            <w:r>
              <w:rPr>
                <w:rFonts w:ascii="Times New Roman" w:cs="Times New Roman" w:eastAsia="Times New Roman" w:hAnsi="Times New Roman"/>
                <w:sz w:val="13"/>
                <w:szCs w:val="13"/>
                <w:color w:val="auto"/>
                <w:w w:val="91"/>
              </w:rPr>
              <w:t>32</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1100" w:type="dxa"/>
            <w:vAlign w:val="bottom"/>
          </w:tcPr>
          <w:p>
            <w:pPr>
              <w:spacing w:after="0"/>
              <w:rPr>
                <w:sz w:val="14"/>
                <w:szCs w:val="14"/>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92"/>
              </w:rPr>
              <w:t>250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ind w:left="1136"/>
              <w:spacing w:after="0"/>
              <w:rPr>
                <w:sz w:val="20"/>
                <w:szCs w:val="20"/>
                <w:color w:val="auto"/>
              </w:rPr>
            </w:pPr>
            <w:r>
              <w:rPr>
                <w:rFonts w:ascii="Times New Roman" w:cs="Times New Roman" w:eastAsia="Times New Roman" w:hAnsi="Times New Roman"/>
                <w:sz w:val="13"/>
                <w:szCs w:val="13"/>
                <w:color w:val="auto"/>
                <w:w w:val="91"/>
              </w:rPr>
              <w:t>22</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 (1)</w:t>
            </w: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w w:val="92"/>
              </w:rPr>
              <w:t>(39)</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center"/>
              <w:ind w:left="1116"/>
              <w:spacing w:after="0"/>
              <w:rPr>
                <w:sz w:val="20"/>
                <w:szCs w:val="20"/>
                <w:color w:val="auto"/>
              </w:rPr>
            </w:pPr>
            <w:r>
              <w:rPr>
                <w:rFonts w:ascii="Times New Roman" w:cs="Times New Roman" w:eastAsia="Times New Roman" w:hAnsi="Times New Roman"/>
                <w:sz w:val="13"/>
                <w:szCs w:val="13"/>
                <w:color w:val="auto"/>
              </w:rPr>
              <w:t>(35)</w:t>
            </w:r>
          </w:p>
        </w:tc>
      </w:tr>
      <w:tr>
        <w:trPr>
          <w:trHeight w:val="160"/>
        </w:trPr>
        <w:tc>
          <w:tcPr>
            <w:tcW w:w="6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CenterPoint Energy</w:t>
            </w: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w w:val="92"/>
              </w:rPr>
              <w:t>316</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center"/>
              <w:ind w:left="1136"/>
              <w:spacing w:after="0"/>
              <w:rPr>
                <w:sz w:val="20"/>
                <w:szCs w:val="20"/>
                <w:color w:val="auto"/>
              </w:rPr>
            </w:pPr>
            <w:r>
              <w:rPr>
                <w:rFonts w:ascii="Times New Roman" w:cs="Times New Roman" w:eastAsia="Times New Roman" w:hAnsi="Times New Roman"/>
                <w:sz w:val="13"/>
                <w:szCs w:val="13"/>
                <w:color w:val="auto"/>
                <w:w w:val="91"/>
              </w:rPr>
              <w:t>19</w:t>
            </w:r>
          </w:p>
        </w:tc>
      </w:tr>
      <w:tr>
        <w:trPr>
          <w:trHeight w:val="20"/>
        </w:trPr>
        <w:tc>
          <w:tcPr>
            <w:tcW w:w="6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Includes unallocated corporate costs, interest income and interest expense and intercompany eliminations.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2026 compared to three months ended March 31, 2025</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increased $19 million primarily due to the following items:</w:t>
      </w:r>
    </w:p>
    <w:p>
      <w:pPr>
        <w:spacing w:after="0" w:line="200"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net income of $32 million for the Electric reportable segment, as further discussed below;</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net income of $22 million for the Natural Gas reportable segment, as further discussed below;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net loss of $35 million for the Corporate and Other reportable segment, primarily due to the impact of accrued income tax expense offset in other segments.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10 to the Interim Condensed Financial Statements.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ENERGY’S RESULTS OF OPERATIONS BY REPORTABLE SEGMENT</w:t>
      </w:r>
    </w:p>
    <w:p>
      <w:pPr>
        <w:spacing w:after="0" w:line="202"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CODM views net income as the measure of profit or loss for the reportable segments. Segment results include inter-segment interest income and expense, which may result in inter-segment profit and loss.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discussion of CenterPoint Energy’s results of operations is further separated into two reportable segments, Electric and Natural Gas.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Electric (CenterPoint Energy)</w:t>
      </w:r>
    </w:p>
    <w:p>
      <w:pPr>
        <w:spacing w:after="0" w:line="202"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For information regarding factors that may affect the future results of operations of CenterPoint Energy’s Electric reportable segment, see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Part I, Item 1A of the Registrants’ combined 2025 Form 10-K.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CenterPoint Energy’s Electric reportable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r>
      <w:tr>
        <w:trPr>
          <w:trHeight w:val="161"/>
        </w:trPr>
        <w:tc>
          <w:tcPr>
            <w:tcW w:w="5860" w:type="dxa"/>
            <w:vAlign w:val="bottom"/>
          </w:tcPr>
          <w:p>
            <w:pPr>
              <w:spacing w:after="0"/>
              <w:rPr>
                <w:sz w:val="14"/>
                <w:szCs w:val="14"/>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2026</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5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72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 except operating statistics)</w:t>
            </w:r>
          </w:p>
        </w:tc>
        <w:tc>
          <w:tcPr>
            <w:tcW w:w="1600" w:type="dxa"/>
            <w:vAlign w:val="bottom"/>
          </w:tcPr>
          <w:p>
            <w:pPr>
              <w:spacing w:after="0"/>
              <w:rPr>
                <w:sz w:val="13"/>
                <w:szCs w:val="13"/>
                <w:color w:val="auto"/>
              </w:rPr>
            </w:pPr>
          </w:p>
        </w:tc>
      </w:tr>
      <w:tr>
        <w:trPr>
          <w:trHeight w:val="17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1,209</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1,066</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143</w:t>
            </w:r>
          </w:p>
        </w:tc>
      </w:tr>
      <w:tr>
        <w:trPr>
          <w:trHeight w:val="148"/>
        </w:trPr>
        <w:tc>
          <w:tcPr>
            <w:tcW w:w="5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72"/>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5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11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513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484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r>
      <w:tr>
        <w:trPr>
          <w:trHeight w:val="172"/>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(59)</w:t>
            </w:r>
          </w:p>
        </w:tc>
      </w:tr>
      <w:tr>
        <w:trPr>
          <w:trHeight w:val="168"/>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(7)</w:t>
            </w:r>
          </w:p>
        </w:tc>
      </w:tr>
      <w:tr>
        <w:trPr>
          <w:trHeight w:val="163"/>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948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846</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(102)</w:t>
            </w:r>
          </w:p>
        </w:tc>
      </w:tr>
      <w:tr>
        <w:trPr>
          <w:trHeight w:val="158"/>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100" w:type="dxa"/>
            <w:vAlign w:val="bottom"/>
          </w:tcPr>
          <w:p>
            <w:pPr>
              <w:spacing w:after="0"/>
              <w:rPr>
                <w:sz w:val="13"/>
                <w:szCs w:val="13"/>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41</w:t>
            </w:r>
          </w:p>
        </w:tc>
      </w:tr>
      <w:tr>
        <w:trPr>
          <w:trHeight w:val="17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68"/>
        </w:trPr>
        <w:tc>
          <w:tcPr>
            <w:tcW w:w="5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110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(30)</w:t>
            </w:r>
          </w:p>
        </w:tc>
      </w:tr>
      <w:tr>
        <w:trPr>
          <w:trHeight w:val="172"/>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r>
      <w:tr>
        <w:trPr>
          <w:trHeight w:val="158"/>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100" w:type="dxa"/>
            <w:vAlign w:val="bottom"/>
          </w:tcPr>
          <w:p>
            <w:pPr>
              <w:spacing w:after="0"/>
              <w:rPr>
                <w:sz w:val="13"/>
                <w:szCs w:val="13"/>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r>
      <w:tr>
        <w:trPr>
          <w:trHeight w:val="170"/>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r>
      <w:tr>
        <w:trPr>
          <w:trHeight w:val="163"/>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32</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31"/>
        </w:trPr>
        <w:tc>
          <w:tcPr>
            <w:tcW w:w="58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GWh):</w:t>
            </w:r>
          </w:p>
        </w:tc>
        <w:tc>
          <w:tcPr>
            <w:tcW w:w="1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r>
      <w:tr>
        <w:trPr>
          <w:trHeight w:val="168"/>
        </w:trPr>
        <w:tc>
          <w:tcPr>
            <w:tcW w:w="5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24,957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24,749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68"/>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Weather (percentage of normal weather for service area):</w:t>
            </w: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Cooling degree days</w:t>
            </w: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81 %</w:t>
            </w:r>
          </w:p>
        </w:tc>
      </w:tr>
      <w:tr>
        <w:trPr>
          <w:trHeight w:val="168"/>
        </w:trPr>
        <w:tc>
          <w:tcPr>
            <w:tcW w:w="5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68"/>
        </w:trPr>
        <w:tc>
          <w:tcPr>
            <w:tcW w:w="5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2,688,307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2,651,381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72"/>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3,023,460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2,983,906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March 31, 2026 compared to the three months ended March 31, 2025 by major income statement caption for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Energy’s Electric reportable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8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50"/>
        </w:trPr>
        <w:tc>
          <w:tcPr>
            <w:tcW w:w="856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3"/>
                <w:szCs w:val="13"/>
                <w:b w:val="1"/>
                <w:bCs w:val="1"/>
                <w:color w:val="auto"/>
                <w:w w:val="98"/>
              </w:rPr>
              <w:t>Revenues</w:t>
            </w:r>
          </w:p>
        </w:tc>
        <w:tc>
          <w:tcPr>
            <w:tcW w:w="30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rates and the impact of the change in rate design</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Transmission Revenues, including TCOS and TCRF, inclusive of costs billed by transmission providers, partially offset in operation and maintenance below</w:t>
            </w:r>
          </w:p>
        </w:tc>
        <w:tc>
          <w:tcPr>
            <w:tcW w:w="3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30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partially offset in operation and maintenance below</w:t>
            </w:r>
          </w:p>
        </w:tc>
        <w:tc>
          <w:tcPr>
            <w:tcW w:w="3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Pass-through revenues, offset in operation and maintenance below</w:t>
            </w:r>
          </w:p>
        </w:tc>
        <w:tc>
          <w:tcPr>
            <w:tcW w:w="30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Miscellaneous revenues, including service connections and off-system sales</w:t>
            </w:r>
          </w:p>
        </w:tc>
        <w:tc>
          <w:tcPr>
            <w:tcW w:w="3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below</w:t>
            </w:r>
          </w:p>
        </w:tc>
        <w:tc>
          <w:tcPr>
            <w:tcW w:w="30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Weather, efficiency improvements and other usage impacts</w:t>
            </w:r>
          </w:p>
        </w:tc>
        <w:tc>
          <w:tcPr>
            <w:tcW w:w="3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fuel and purchased power, offset in utility natural gas, fuel and purchased power below</w:t>
            </w:r>
          </w:p>
        </w:tc>
        <w:tc>
          <w:tcPr>
            <w:tcW w:w="30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8"/>
        </w:trPr>
        <w:tc>
          <w:tcPr>
            <w:tcW w:w="8560" w:type="dxa"/>
            <w:vAlign w:val="bottom"/>
            <w:tcBorders>
              <w:bottom w:val="single" w:sz="8" w:color="CCEEFF"/>
            </w:tcBorders>
            <w:gridSpan w:val="2"/>
          </w:tcPr>
          <w:p>
            <w:pPr>
              <w:ind w:left="82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52"/>
        </w:trPr>
        <w:tc>
          <w:tcPr>
            <w:tcW w:w="85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Utility natural gas, fuel and purchased power</w:t>
            </w:r>
          </w:p>
        </w:tc>
        <w:tc>
          <w:tcPr>
            <w:tcW w:w="3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8"/>
        </w:trPr>
        <w:tc>
          <w:tcPr>
            <w:tcW w:w="8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purchased power, offset in revenues above</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fuel, including coal, natural gas, and fuel oil, offset in revenues above</w:t>
            </w:r>
          </w:p>
        </w:tc>
        <w:tc>
          <w:tcPr>
            <w:tcW w:w="30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8"/>
        </w:trPr>
        <w:tc>
          <w:tcPr>
            <w:tcW w:w="8560" w:type="dxa"/>
            <w:vAlign w:val="bottom"/>
            <w:tcBorders>
              <w:bottom w:val="single" w:sz="8" w:color="CCEEFF"/>
            </w:tcBorders>
            <w:gridSpan w:val="2"/>
          </w:tcPr>
          <w:p>
            <w:pPr>
              <w:ind w:left="82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2"/>
        </w:trPr>
        <w:tc>
          <w:tcPr>
            <w:tcW w:w="8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3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8"/>
        </w:trPr>
        <w:tc>
          <w:tcPr>
            <w:tcW w:w="8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Transmission costs billed by transmission providers, offset in revenues above</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30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3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30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3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operation and maintenance expense, including materials and supplies and insurance</w:t>
            </w:r>
          </w:p>
        </w:tc>
        <w:tc>
          <w:tcPr>
            <w:tcW w:w="30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8"/>
        </w:trPr>
        <w:tc>
          <w:tcPr>
            <w:tcW w:w="8560" w:type="dxa"/>
            <w:vAlign w:val="bottom"/>
            <w:tcBorders>
              <w:bottom w:val="single" w:sz="8" w:color="CCEEFF"/>
            </w:tcBorders>
            <w:gridSpan w:val="2"/>
          </w:tcPr>
          <w:p>
            <w:pPr>
              <w:ind w:left="82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85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Depreciation and amortization</w:t>
            </w:r>
          </w:p>
        </w:tc>
        <w:tc>
          <w:tcPr>
            <w:tcW w:w="3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8"/>
        </w:trPr>
        <w:tc>
          <w:tcPr>
            <w:tcW w:w="8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regulatory assets</w:t>
            </w:r>
          </w:p>
        </w:tc>
        <w:tc>
          <w:tcPr>
            <w:tcW w:w="30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Lease expense associated with TEEEF units no longer eligible for regulatory deferral</w:t>
            </w:r>
          </w:p>
        </w:tc>
        <w:tc>
          <w:tcPr>
            <w:tcW w:w="3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w:t>
            </w:r>
          </w:p>
        </w:tc>
        <w:tc>
          <w:tcPr>
            <w:tcW w:w="30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8"/>
        </w:trPr>
        <w:tc>
          <w:tcPr>
            <w:tcW w:w="8560" w:type="dxa"/>
            <w:vAlign w:val="bottom"/>
            <w:tcBorders>
              <w:bottom w:val="single" w:sz="8" w:color="CCEEFF"/>
            </w:tcBorders>
            <w:gridSpan w:val="2"/>
          </w:tcPr>
          <w:p>
            <w:pPr>
              <w:ind w:left="82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8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3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8"/>
        </w:trPr>
        <w:tc>
          <w:tcPr>
            <w:tcW w:w="84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3"/>
        </w:trPr>
        <w:tc>
          <w:tcPr>
            <w:tcW w:w="8560" w:type="dxa"/>
            <w:vAlign w:val="bottom"/>
            <w:gridSpan w:val="2"/>
            <w:shd w:val="clear" w:color="auto" w:fill="CCEEFF"/>
          </w:tcPr>
          <w:p>
            <w:pPr>
              <w:ind w:left="82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49"/>
        </w:trPr>
        <w:tc>
          <w:tcPr>
            <w:tcW w:w="85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30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62"/>
        </w:trPr>
        <w:tc>
          <w:tcPr>
            <w:tcW w:w="8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above</w:t>
            </w:r>
          </w:p>
        </w:tc>
        <w:tc>
          <w:tcPr>
            <w:tcW w:w="3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30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8"/>
        </w:trPr>
        <w:tc>
          <w:tcPr>
            <w:tcW w:w="8560" w:type="dxa"/>
            <w:vAlign w:val="bottom"/>
            <w:tcBorders>
              <w:bottom w:val="single" w:sz="8" w:color="CCEEFF"/>
            </w:tcBorders>
            <w:gridSpan w:val="2"/>
          </w:tcPr>
          <w:p>
            <w:pPr>
              <w:ind w:left="82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85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3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8"/>
        </w:trPr>
        <w:tc>
          <w:tcPr>
            <w:tcW w:w="84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0"/>
        </w:trPr>
        <w:tc>
          <w:tcPr>
            <w:tcW w:w="8560" w:type="dxa"/>
            <w:vAlign w:val="bottom"/>
            <w:gridSpan w:val="2"/>
            <w:shd w:val="clear" w:color="auto" w:fill="CCEEFF"/>
          </w:tcPr>
          <w:p>
            <w:pPr>
              <w:ind w:left="82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by Registrant, see Note 10 to the Interim Condensed Financial Statements.</w:t>
      </w:r>
    </w:p>
    <w:p>
      <w:pPr>
        <w:spacing w:after="0" w:line="35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300" w:top="123" w:right="6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u w:val="single" w:color="auto"/>
          <w:color w:val="auto"/>
        </w:rPr>
        <w:t>Natural Gas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regarding factors that may affect the future results of operations of CenterPoint Energy’s Natural Gas reportable segment, see “Risk Factors — Risk Factors Affecting Operations</w:t>
      </w:r>
    </w:p>
    <w:p>
      <w:pPr>
        <w:spacing w:after="0" w:line="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 Natural Gas,” “— Risk Factors Affecting Regulatory, Environmental and Legal Risks,” “— Risk Factors Affecting Financial, Economic and Market Risks,” “— Risk Factors Affecting Safety and Security Risks” and “— General and Other Risks” in Part I, Item 1A of the Registrants’ combined 2025 Form 10-K.</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CenterPoint Energy’s Natural Gas reportable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r>
      <w:tr>
        <w:trPr>
          <w:trHeight w:val="161"/>
        </w:trPr>
        <w:tc>
          <w:tcPr>
            <w:tcW w:w="5860" w:type="dxa"/>
            <w:vAlign w:val="bottom"/>
          </w:tcPr>
          <w:p>
            <w:pPr>
              <w:spacing w:after="0"/>
              <w:rPr>
                <w:sz w:val="14"/>
                <w:szCs w:val="14"/>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2026</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5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72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 except operating statistics)</w:t>
            </w:r>
          </w:p>
        </w:tc>
        <w:tc>
          <w:tcPr>
            <w:tcW w:w="1600" w:type="dxa"/>
            <w:vAlign w:val="bottom"/>
          </w:tcPr>
          <w:p>
            <w:pPr>
              <w:spacing w:after="0"/>
              <w:rPr>
                <w:sz w:val="13"/>
                <w:szCs w:val="13"/>
                <w:color w:val="auto"/>
              </w:rPr>
            </w:pPr>
          </w:p>
        </w:tc>
      </w:tr>
      <w:tr>
        <w:trPr>
          <w:trHeight w:val="17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1,765</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1,853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(88)</w:t>
            </w:r>
          </w:p>
        </w:tc>
      </w:tr>
      <w:tr>
        <w:trPr>
          <w:trHeight w:val="148"/>
        </w:trPr>
        <w:tc>
          <w:tcPr>
            <w:tcW w:w="5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72"/>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and fuel</w:t>
            </w: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890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933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w:t>
            </w:r>
          </w:p>
        </w:tc>
      </w:tr>
      <w:tr>
        <w:trPr>
          <w:trHeight w:val="168"/>
        </w:trPr>
        <w:tc>
          <w:tcPr>
            <w:tcW w:w="5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11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5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r>
      <w:tr>
        <w:trPr>
          <w:trHeight w:val="158"/>
        </w:trPr>
        <w:tc>
          <w:tcPr>
            <w:tcW w:w="58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1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1,368</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1,420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r>
      <w:tr>
        <w:trPr>
          <w:trHeight w:val="16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(36)</w:t>
            </w:r>
          </w:p>
        </w:tc>
      </w:tr>
      <w:tr>
        <w:trPr>
          <w:trHeight w:val="148"/>
        </w:trPr>
        <w:tc>
          <w:tcPr>
            <w:tcW w:w="5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8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sale</w:t>
            </w:r>
          </w:p>
        </w:tc>
        <w:tc>
          <w:tcPr>
            <w:tcW w:w="1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w:t>
            </w:r>
          </w:p>
        </w:tc>
      </w:tr>
      <w:tr>
        <w:trPr>
          <w:trHeight w:val="180"/>
        </w:trPr>
        <w:tc>
          <w:tcPr>
            <w:tcW w:w="5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1100" w:type="dxa"/>
            <w:vAlign w:val="bottom"/>
          </w:tcPr>
          <w:p>
            <w:pPr>
              <w:spacing w:after="0"/>
              <w:rPr>
                <w:sz w:val="15"/>
                <w:szCs w:val="15"/>
                <w:color w:val="auto"/>
              </w:rPr>
            </w:pP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r>
      <w:tr>
        <w:trPr>
          <w:trHeight w:val="170"/>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100" w:type="dxa"/>
            <w:vAlign w:val="bottom"/>
          </w:tcPr>
          <w:p>
            <w:pPr>
              <w:spacing w:after="0"/>
              <w:rPr>
                <w:sz w:val="13"/>
                <w:szCs w:val="13"/>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r>
      <w:tr>
        <w:trPr>
          <w:trHeight w:val="170"/>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r>
      <w:tr>
        <w:trPr>
          <w:trHeight w:val="163"/>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22</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31"/>
        </w:trPr>
        <w:tc>
          <w:tcPr>
            <w:tcW w:w="58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Bcf):</w:t>
            </w:r>
          </w:p>
        </w:tc>
        <w:tc>
          <w:tcPr>
            <w:tcW w:w="1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r>
      <w:tr>
        <w:trPr>
          <w:trHeight w:val="168"/>
        </w:trPr>
        <w:tc>
          <w:tcPr>
            <w:tcW w:w="5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0"/>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3"/>
        </w:trPr>
        <w:tc>
          <w:tcPr>
            <w:tcW w:w="5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31"/>
        </w:trPr>
        <w:tc>
          <w:tcPr>
            <w:tcW w:w="58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Weather (percentage of 10-year average for service area):</w:t>
            </w:r>
          </w:p>
        </w:tc>
        <w:tc>
          <w:tcPr>
            <w:tcW w:w="1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r>
      <w:tr>
        <w:trPr>
          <w:trHeight w:val="168"/>
        </w:trPr>
        <w:tc>
          <w:tcPr>
            <w:tcW w:w="5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68"/>
        </w:trPr>
        <w:tc>
          <w:tcPr>
            <w:tcW w:w="5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3,749,264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4,079,888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0"/>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288,159</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306,075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5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4,037,423</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4,385,963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20"/>
        </w:trPr>
        <w:tc>
          <w:tcPr>
            <w:tcW w:w="5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March 31, 2026 compared to the three months ended March 31, 2025 by major income statement caption for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Energy’s Natural Gas reportable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8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50"/>
        </w:trPr>
        <w:tc>
          <w:tcPr>
            <w:tcW w:w="8540" w:type="dxa"/>
            <w:vAlign w:val="bottom"/>
            <w:gridSpan w:val="2"/>
          </w:tcPr>
          <w:p>
            <w:pPr>
              <w:jc w:val="center"/>
              <w:ind w:right="60"/>
              <w:spacing w:after="0" w:line="148" w:lineRule="exact"/>
              <w:rPr>
                <w:sz w:val="20"/>
                <w:szCs w:val="20"/>
                <w:color w:val="auto"/>
              </w:rPr>
            </w:pPr>
            <w:r>
              <w:rPr>
                <w:rFonts w:ascii="Times New Roman" w:cs="Times New Roman" w:eastAsia="Times New Roman" w:hAnsi="Times New Roman"/>
                <w:sz w:val="13"/>
                <w:szCs w:val="13"/>
                <w:b w:val="1"/>
                <w:bCs w:val="1"/>
                <w:color w:val="auto"/>
                <w:w w:val="98"/>
              </w:rPr>
              <w:t>Revenues</w:t>
            </w: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63"/>
        </w:trPr>
        <w:tc>
          <w:tcPr>
            <w:tcW w:w="8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utility natural gas and fuel below</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taxes other than income taxes below</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and usage</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Non-volumetric and miscellaneous revenue</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operation and maintenance below</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Non-utility revenues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 and impact of the change in rate design</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7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30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158"/>
        </w:trPr>
        <w:tc>
          <w:tcPr>
            <w:tcW w:w="8540" w:type="dxa"/>
            <w:vAlign w:val="bottom"/>
            <w:tcBorders>
              <w:bottom w:val="single" w:sz="8" w:color="CCEEFF"/>
            </w:tcBorders>
            <w:gridSpan w:val="2"/>
          </w:tcPr>
          <w:p>
            <w:pPr>
              <w:ind w:left="818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Utility natural gas and fuel</w:t>
            </w:r>
          </w:p>
        </w:tc>
        <w:tc>
          <w:tcPr>
            <w:tcW w:w="3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58"/>
        </w:trPr>
        <w:tc>
          <w:tcPr>
            <w:tcW w:w="8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revenues above</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30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8"/>
        </w:trPr>
        <w:tc>
          <w:tcPr>
            <w:tcW w:w="8540" w:type="dxa"/>
            <w:vAlign w:val="bottom"/>
            <w:tcBorders>
              <w:bottom w:val="single" w:sz="8" w:color="CCEEFF"/>
            </w:tcBorders>
            <w:gridSpan w:val="2"/>
          </w:tcPr>
          <w:p>
            <w:pPr>
              <w:ind w:left="818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8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3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58"/>
        </w:trPr>
        <w:tc>
          <w:tcPr>
            <w:tcW w:w="8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All other operations and maintenance expense, including bad debt expense</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30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8540" w:type="dxa"/>
            <w:vAlign w:val="bottom"/>
            <w:tcBorders>
              <w:bottom w:val="single" w:sz="8" w:color="CCEEFF"/>
            </w:tcBorders>
            <w:gridSpan w:val="2"/>
          </w:tcPr>
          <w:p>
            <w:pPr>
              <w:ind w:left="818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2"/>
        </w:trPr>
        <w:tc>
          <w:tcPr>
            <w:tcW w:w="8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Depreciation and amortization</w:t>
            </w:r>
          </w:p>
        </w:tc>
        <w:tc>
          <w:tcPr>
            <w:tcW w:w="3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58"/>
        </w:trPr>
        <w:tc>
          <w:tcPr>
            <w:tcW w:w="8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regulatory assets</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3"/>
        </w:trPr>
        <w:tc>
          <w:tcPr>
            <w:tcW w:w="8540" w:type="dxa"/>
            <w:vAlign w:val="bottom"/>
            <w:gridSpan w:val="2"/>
            <w:shd w:val="clear" w:color="auto" w:fill="CCEEFF"/>
          </w:tcPr>
          <w:p>
            <w:pPr>
              <w:ind w:left="818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49"/>
        </w:trPr>
        <w:tc>
          <w:tcPr>
            <w:tcW w:w="85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62"/>
        </w:trPr>
        <w:tc>
          <w:tcPr>
            <w:tcW w:w="8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revenues above</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30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8540" w:type="dxa"/>
            <w:vAlign w:val="bottom"/>
            <w:tcBorders>
              <w:bottom w:val="single" w:sz="8" w:color="CCEEFF"/>
            </w:tcBorders>
            <w:gridSpan w:val="2"/>
          </w:tcPr>
          <w:p>
            <w:pPr>
              <w:ind w:left="818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8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Loss on sale</w:t>
            </w:r>
          </w:p>
        </w:tc>
        <w:tc>
          <w:tcPr>
            <w:tcW w:w="3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58"/>
        </w:trPr>
        <w:tc>
          <w:tcPr>
            <w:tcW w:w="84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Loss on sale of Louisiana and Mississippi natural gas LDC businesses</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3"/>
        </w:trPr>
        <w:tc>
          <w:tcPr>
            <w:tcW w:w="8540" w:type="dxa"/>
            <w:vAlign w:val="bottom"/>
            <w:gridSpan w:val="2"/>
            <w:shd w:val="clear" w:color="auto" w:fill="CCEEFF"/>
          </w:tcPr>
          <w:p>
            <w:pPr>
              <w:ind w:left="818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49"/>
        </w:trPr>
        <w:tc>
          <w:tcPr>
            <w:tcW w:w="854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Interest expense and other finance charges</w:t>
            </w: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62"/>
        </w:trPr>
        <w:tc>
          <w:tcPr>
            <w:tcW w:w="8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8"/>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30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8"/>
        </w:trPr>
        <w:tc>
          <w:tcPr>
            <w:tcW w:w="8540" w:type="dxa"/>
            <w:vAlign w:val="bottom"/>
            <w:tcBorders>
              <w:bottom w:val="single" w:sz="8" w:color="CCEEFF"/>
            </w:tcBorders>
            <w:gridSpan w:val="2"/>
          </w:tcPr>
          <w:p>
            <w:pPr>
              <w:ind w:left="818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2"/>
        </w:trPr>
        <w:tc>
          <w:tcPr>
            <w:tcW w:w="8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3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58"/>
        </w:trPr>
        <w:tc>
          <w:tcPr>
            <w:tcW w:w="84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including interest income from affiliated companies and AFUDC - Equity</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0"/>
        </w:trPr>
        <w:tc>
          <w:tcPr>
            <w:tcW w:w="8540" w:type="dxa"/>
            <w:vAlign w:val="bottom"/>
            <w:gridSpan w:val="2"/>
            <w:shd w:val="clear" w:color="auto" w:fill="CCEEFF"/>
          </w:tcPr>
          <w:p>
            <w:pPr>
              <w:ind w:left="818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by Registrant, see Note 10 to the Interim Condensed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300" w:top="123" w:right="6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HOUSTON ELECTRIC CONSOLIDATED RESULTS OF OPERATIONS</w:t>
      </w:r>
    </w:p>
    <w:p>
      <w:pPr>
        <w:spacing w:after="0" w:line="202"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Houston Electric’s CODM views net income as the measure of profit or loss for its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see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Part I, Item 1A of the Registrants’ combined 2025 Form 10-K and in Part II, Item 1A of this combined Form 10-Q.</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Houston Electric’s single reportable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2026</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720" w:type="dxa"/>
            <w:vAlign w:val="bottom"/>
            <w:gridSpan w:val="6"/>
          </w:tcPr>
          <w:p>
            <w:pPr>
              <w:jc w:val="center"/>
              <w:ind w:left="436"/>
              <w:spacing w:after="0"/>
              <w:rPr>
                <w:sz w:val="20"/>
                <w:szCs w:val="20"/>
                <w:color w:val="auto"/>
              </w:rPr>
            </w:pPr>
            <w:r>
              <w:rPr>
                <w:rFonts w:ascii="Times New Roman" w:cs="Times New Roman" w:eastAsia="Times New Roman" w:hAnsi="Times New Roman"/>
                <w:sz w:val="13"/>
                <w:szCs w:val="13"/>
                <w:b w:val="1"/>
                <w:bCs w:val="1"/>
                <w:color w:val="auto"/>
                <w:w w:val="97"/>
              </w:rPr>
              <w:t>(in millions, except operating statistics)</w:t>
            </w: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TDU</w:t>
            </w:r>
          </w:p>
        </w:tc>
        <w:tc>
          <w:tcPr>
            <w:tcW w:w="24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964</w:t>
            </w:r>
          </w:p>
        </w:tc>
        <w:tc>
          <w:tcPr>
            <w:tcW w:w="5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Bond Companies</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3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991</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6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 and maintenance, excluding Bond Companies</w:t>
            </w:r>
          </w:p>
        </w:tc>
        <w:tc>
          <w:tcPr>
            <w:tcW w:w="1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 excluding Bond Companies</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Bond Companies</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13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785</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702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6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3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3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Income (Expense):</w:t>
            </w:r>
          </w:p>
        </w:tc>
        <w:tc>
          <w:tcPr>
            <w:tcW w:w="1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1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3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3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Throughput (in GWh):</w:t>
            </w:r>
          </w:p>
        </w:tc>
        <w:tc>
          <w:tcPr>
            <w:tcW w:w="1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3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6,274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23,664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23,802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(percentage of 10-year average for service area):</w:t>
            </w:r>
          </w:p>
        </w:tc>
        <w:tc>
          <w:tcPr>
            <w:tcW w:w="1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Cooling degree days</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209 %</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1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71 %</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2,553,700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2,517,224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2,869,089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2,830,184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8"/>
        </w:trPr>
        <w:tc>
          <w:tcPr>
            <w:tcW w:w="4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March 31, 2026 compared to the three months ended March 31, 2025 by major income statement caption for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Electric: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8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50"/>
        </w:trPr>
        <w:tc>
          <w:tcPr>
            <w:tcW w:w="8940" w:type="dxa"/>
            <w:vAlign w:val="bottom"/>
            <w:gridSpan w:val="2"/>
          </w:tcPr>
          <w:p>
            <w:pPr>
              <w:jc w:val="center"/>
              <w:ind w:right="60"/>
              <w:spacing w:after="0" w:line="148" w:lineRule="exact"/>
              <w:rPr>
                <w:sz w:val="20"/>
                <w:szCs w:val="20"/>
                <w:color w:val="auto"/>
              </w:rPr>
            </w:pPr>
            <w:r>
              <w:rPr>
                <w:rFonts w:ascii="Times New Roman" w:cs="Times New Roman" w:eastAsia="Times New Roman" w:hAnsi="Times New Roman"/>
                <w:sz w:val="13"/>
                <w:szCs w:val="13"/>
                <w:b w:val="1"/>
                <w:bCs w:val="1"/>
                <w:color w:val="auto"/>
                <w:w w:val="98"/>
              </w:rPr>
              <w:t>Revenues</w:t>
            </w:r>
          </w:p>
        </w:tc>
        <w:tc>
          <w:tcPr>
            <w:tcW w:w="30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63"/>
        </w:trPr>
        <w:tc>
          <w:tcPr>
            <w:tcW w:w="8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rates and the impact of the change in rate design</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Transmission Revenues, including TCOS and TCRF, inclusive of costs billed by transmission providers, partially offset in operation and maintenance below</w:t>
            </w:r>
          </w:p>
        </w:tc>
        <w:tc>
          <w:tcPr>
            <w:tcW w:w="3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2"/>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30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partially offset in both operation and maintenance below</w:t>
            </w:r>
          </w:p>
        </w:tc>
        <w:tc>
          <w:tcPr>
            <w:tcW w:w="3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Miscellaneous revenues</w:t>
            </w:r>
          </w:p>
        </w:tc>
        <w:tc>
          <w:tcPr>
            <w:tcW w:w="30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Weather, efficiency improvements and other usage impacts</w:t>
            </w:r>
          </w:p>
        </w:tc>
        <w:tc>
          <w:tcPr>
            <w:tcW w:w="3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offset in other line items below</w:t>
            </w:r>
          </w:p>
        </w:tc>
        <w:tc>
          <w:tcPr>
            <w:tcW w:w="30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8"/>
        </w:trPr>
        <w:tc>
          <w:tcPr>
            <w:tcW w:w="8940" w:type="dxa"/>
            <w:vAlign w:val="bottom"/>
            <w:tcBorders>
              <w:bottom w:val="single" w:sz="8" w:color="CCEEFF"/>
            </w:tcBorders>
            <w:gridSpan w:val="2"/>
          </w:tcPr>
          <w:p>
            <w:pPr>
              <w:ind w:left="86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52"/>
        </w:trPr>
        <w:tc>
          <w:tcPr>
            <w:tcW w:w="8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 excluding Bond Companies</w:t>
            </w:r>
          </w:p>
        </w:tc>
        <w:tc>
          <w:tcPr>
            <w:tcW w:w="3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8"/>
        </w:trPr>
        <w:tc>
          <w:tcPr>
            <w:tcW w:w="8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Transmission costs billed by transmission providers, offset in revenues above</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30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offset in revenues above</w:t>
            </w:r>
          </w:p>
        </w:tc>
        <w:tc>
          <w:tcPr>
            <w:tcW w:w="3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30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3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operation and maintenance expense, including materials and supplies and insurance</w:t>
            </w:r>
          </w:p>
        </w:tc>
        <w:tc>
          <w:tcPr>
            <w:tcW w:w="30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8"/>
        </w:trPr>
        <w:tc>
          <w:tcPr>
            <w:tcW w:w="8940" w:type="dxa"/>
            <w:vAlign w:val="bottom"/>
            <w:tcBorders>
              <w:bottom w:val="single" w:sz="8" w:color="CCEEFF"/>
            </w:tcBorders>
            <w:gridSpan w:val="2"/>
          </w:tcPr>
          <w:p>
            <w:pPr>
              <w:ind w:left="86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8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Depreciation and amortization, excluding Bond Companies</w:t>
            </w:r>
          </w:p>
        </w:tc>
        <w:tc>
          <w:tcPr>
            <w:tcW w:w="3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8"/>
        </w:trPr>
        <w:tc>
          <w:tcPr>
            <w:tcW w:w="8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2"/>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regulatory assets</w:t>
            </w:r>
          </w:p>
        </w:tc>
        <w:tc>
          <w:tcPr>
            <w:tcW w:w="30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8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Lease expense associated with TEEEF units no longer eligible for regulatory deferral</w:t>
            </w: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3"/>
        </w:trPr>
        <w:tc>
          <w:tcPr>
            <w:tcW w:w="8940" w:type="dxa"/>
            <w:vAlign w:val="bottom"/>
            <w:gridSpan w:val="2"/>
            <w:shd w:val="clear" w:color="auto" w:fill="CCEEFF"/>
          </w:tcPr>
          <w:p>
            <w:pPr>
              <w:ind w:left="86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49"/>
        </w:trPr>
        <w:tc>
          <w:tcPr>
            <w:tcW w:w="89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30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62"/>
        </w:trPr>
        <w:tc>
          <w:tcPr>
            <w:tcW w:w="8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changes to tax rates</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8"/>
        </w:trPr>
        <w:tc>
          <w:tcPr>
            <w:tcW w:w="8940" w:type="dxa"/>
            <w:vAlign w:val="bottom"/>
            <w:tcBorders>
              <w:bottom w:val="single" w:sz="8" w:color="CCEEFF"/>
            </w:tcBorders>
            <w:gridSpan w:val="2"/>
          </w:tcPr>
          <w:p>
            <w:pPr>
              <w:ind w:left="86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2"/>
        </w:trPr>
        <w:tc>
          <w:tcPr>
            <w:tcW w:w="8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Bond Companies</w:t>
            </w:r>
          </w:p>
        </w:tc>
        <w:tc>
          <w:tcPr>
            <w:tcW w:w="3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8"/>
        </w:trPr>
        <w:tc>
          <w:tcPr>
            <w:tcW w:w="88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Operations and maintenance and depreciation expense, offset in revenues above</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3"/>
        </w:trPr>
        <w:tc>
          <w:tcPr>
            <w:tcW w:w="8940" w:type="dxa"/>
            <w:vAlign w:val="bottom"/>
            <w:gridSpan w:val="2"/>
            <w:shd w:val="clear" w:color="auto" w:fill="CCEEFF"/>
          </w:tcPr>
          <w:p>
            <w:pPr>
              <w:ind w:left="86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49"/>
        </w:trPr>
        <w:tc>
          <w:tcPr>
            <w:tcW w:w="89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30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62"/>
        </w:trPr>
        <w:tc>
          <w:tcPr>
            <w:tcW w:w="8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8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8940" w:type="dxa"/>
            <w:vAlign w:val="bottom"/>
            <w:gridSpan w:val="2"/>
            <w:shd w:val="clear" w:color="auto" w:fill="CCEEFF"/>
          </w:tcPr>
          <w:p>
            <w:pPr>
              <w:ind w:left="86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49"/>
        </w:trPr>
        <w:tc>
          <w:tcPr>
            <w:tcW w:w="89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3"/>
                <w:szCs w:val="13"/>
                <w:b w:val="1"/>
                <w:bCs w:val="1"/>
                <w:color w:val="auto"/>
                <w:w w:val="97"/>
              </w:rPr>
              <w:t>Interest expense on Securitization Bonds</w:t>
            </w:r>
          </w:p>
        </w:tc>
        <w:tc>
          <w:tcPr>
            <w:tcW w:w="30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62"/>
        </w:trPr>
        <w:tc>
          <w:tcPr>
            <w:tcW w:w="8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outstanding principal balance, offset in revenues above</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8"/>
        </w:trPr>
        <w:tc>
          <w:tcPr>
            <w:tcW w:w="8940" w:type="dxa"/>
            <w:vAlign w:val="bottom"/>
            <w:tcBorders>
              <w:bottom w:val="single" w:sz="8" w:color="CCEEFF"/>
            </w:tcBorders>
            <w:gridSpan w:val="2"/>
          </w:tcPr>
          <w:p>
            <w:pPr>
              <w:ind w:left="86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8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3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r>
      <w:tr>
        <w:trPr>
          <w:trHeight w:val="158"/>
        </w:trPr>
        <w:tc>
          <w:tcPr>
            <w:tcW w:w="88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8940" w:type="dxa"/>
            <w:vAlign w:val="bottom"/>
            <w:gridSpan w:val="2"/>
            <w:shd w:val="clear" w:color="auto" w:fill="CCEEFF"/>
          </w:tcPr>
          <w:p>
            <w:pPr>
              <w:ind w:left="860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10 to the Interim Condensed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CERC CONSOLIDATED RESULTS OF OPERATIONS</w:t>
      </w:r>
    </w:p>
    <w:p>
      <w:pPr>
        <w:spacing w:after="0" w:line="191" w:lineRule="exact"/>
        <w:rPr>
          <w:sz w:val="20"/>
          <w:szCs w:val="20"/>
          <w:color w:val="auto"/>
        </w:rPr>
      </w:pPr>
    </w:p>
    <w:p>
      <w:pPr>
        <w:ind w:right="20" w:firstLine="255"/>
        <w:spacing w:after="0" w:line="244" w:lineRule="auto"/>
        <w:rPr>
          <w:sz w:val="20"/>
          <w:szCs w:val="20"/>
          <w:color w:val="auto"/>
        </w:rPr>
      </w:pPr>
      <w:r>
        <w:rPr>
          <w:rFonts w:ascii="Times New Roman" w:cs="Times New Roman" w:eastAsia="Times New Roman" w:hAnsi="Times New Roman"/>
          <w:sz w:val="14"/>
          <w:szCs w:val="14"/>
          <w:color w:val="auto"/>
        </w:rPr>
        <w:t>CERC’s CODM views net income as the measure of profit or loss for its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see “Risk Factors — Risk Factors Affecting Operations — Natural Gas,” “— Risk Factors Affecting Regulatory, Environmental and Legal Risks,” “— Risk Factors Affecting Financial, Economic and Market Risks,” “— Risk Factors Affecting Safety and Security Risks” and “— General and Other Risks” in Part I, Item 1A of the Registrants’ combined 2025 Form 10-K.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2026</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8"/>
              </w:rPr>
              <w:t>Favorable (Unfavorable)</w:t>
            </w:r>
          </w:p>
        </w:tc>
      </w:tr>
      <w:tr>
        <w:trPr>
          <w:trHeight w:val="160"/>
        </w:trPr>
        <w:tc>
          <w:tcPr>
            <w:tcW w:w="5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700" w:type="dxa"/>
            <w:vAlign w:val="bottom"/>
            <w:gridSpan w:val="6"/>
          </w:tcPr>
          <w:p>
            <w:pPr>
              <w:jc w:val="center"/>
              <w:ind w:left="436"/>
              <w:spacing w:after="0"/>
              <w:rPr>
                <w:sz w:val="20"/>
                <w:szCs w:val="20"/>
                <w:color w:val="auto"/>
              </w:rPr>
            </w:pPr>
            <w:r>
              <w:rPr>
                <w:rFonts w:ascii="Times New Roman" w:cs="Times New Roman" w:eastAsia="Times New Roman" w:hAnsi="Times New Roman"/>
                <w:sz w:val="13"/>
                <w:szCs w:val="13"/>
                <w:b w:val="1"/>
                <w:bCs w:val="1"/>
                <w:color w:val="auto"/>
                <w:w w:val="97"/>
              </w:rPr>
              <w:t>(in millions, except operating statistics)</w:t>
            </w:r>
          </w:p>
        </w:tc>
        <w:tc>
          <w:tcPr>
            <w:tcW w:w="1580" w:type="dxa"/>
            <w:vAlign w:val="bottom"/>
          </w:tcPr>
          <w:p>
            <w:pPr>
              <w:spacing w:after="0"/>
              <w:rPr>
                <w:sz w:val="13"/>
                <w:szCs w:val="13"/>
                <w:color w:val="auto"/>
              </w:rPr>
            </w:pPr>
          </w:p>
        </w:tc>
      </w:tr>
      <w:tr>
        <w:trPr>
          <w:trHeight w:val="171"/>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1,697</w:t>
            </w:r>
          </w:p>
        </w:tc>
        <w:tc>
          <w:tcPr>
            <w:tcW w:w="50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1,788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(91)</w:t>
            </w:r>
          </w:p>
        </w:tc>
      </w:tr>
      <w:tr>
        <w:trPr>
          <w:trHeight w:val="148"/>
        </w:trPr>
        <w:tc>
          <w:tcPr>
            <w:tcW w:w="59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1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r>
      <w:tr>
        <w:trPr>
          <w:trHeight w:val="172"/>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w:t>
            </w: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865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44</w:t>
            </w:r>
          </w:p>
        </w:tc>
      </w:tr>
      <w:tr>
        <w:trPr>
          <w:trHeight w:val="168"/>
        </w:trPr>
        <w:tc>
          <w:tcPr>
            <w:tcW w:w="5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11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59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r>
      <w:tr>
        <w:trPr>
          <w:trHeight w:val="158"/>
        </w:trPr>
        <w:tc>
          <w:tcPr>
            <w:tcW w:w="5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1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1,327</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1,381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54</w:t>
            </w:r>
          </w:p>
        </w:tc>
      </w:tr>
      <w:tr>
        <w:trPr>
          <w:trHeight w:val="16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(37)</w:t>
            </w:r>
          </w:p>
        </w:tc>
      </w:tr>
      <w:tr>
        <w:trPr>
          <w:trHeight w:val="148"/>
        </w:trPr>
        <w:tc>
          <w:tcPr>
            <w:tcW w:w="59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83"/>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sale</w:t>
            </w: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(52)</w:t>
            </w:r>
          </w:p>
        </w:tc>
      </w:tr>
      <w:tr>
        <w:trPr>
          <w:trHeight w:val="168"/>
        </w:trPr>
        <w:tc>
          <w:tcPr>
            <w:tcW w:w="5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1100" w:type="dxa"/>
            <w:vAlign w:val="bottom"/>
          </w:tcPr>
          <w:p>
            <w:pPr>
              <w:spacing w:after="0"/>
              <w:rPr>
                <w:sz w:val="14"/>
                <w:szCs w:val="14"/>
                <w:color w:val="auto"/>
              </w:rPr>
            </w:pP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100" w:type="dxa"/>
            <w:vAlign w:val="bottom"/>
          </w:tcPr>
          <w:p>
            <w:pPr>
              <w:spacing w:after="0"/>
              <w:rPr>
                <w:sz w:val="13"/>
                <w:szCs w:val="13"/>
                <w:color w:val="auto"/>
              </w:rPr>
            </w:pPr>
          </w:p>
        </w:tc>
        <w:tc>
          <w:tcPr>
            <w:tcW w:w="6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(98)</w:t>
            </w:r>
          </w:p>
        </w:tc>
      </w:tr>
      <w:tr>
        <w:trPr>
          <w:trHeight w:val="172"/>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5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305</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(75)</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31"/>
        </w:trPr>
        <w:tc>
          <w:tcPr>
            <w:tcW w:w="59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Bcf):</w:t>
            </w:r>
          </w:p>
        </w:tc>
        <w:tc>
          <w:tcPr>
            <w:tcW w:w="1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68"/>
        </w:trPr>
        <w:tc>
          <w:tcPr>
            <w:tcW w:w="5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0"/>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3"/>
        </w:trPr>
        <w:tc>
          <w:tcPr>
            <w:tcW w:w="59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31"/>
        </w:trPr>
        <w:tc>
          <w:tcPr>
            <w:tcW w:w="59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Weather (percentage of 10-year average for service area):</w:t>
            </w:r>
          </w:p>
        </w:tc>
        <w:tc>
          <w:tcPr>
            <w:tcW w:w="1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68"/>
        </w:trPr>
        <w:tc>
          <w:tcPr>
            <w:tcW w:w="5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5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3,643,839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3,974,567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0"/>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277,517</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59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3,921,356</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4,269,984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20"/>
        </w:trPr>
        <w:tc>
          <w:tcPr>
            <w:tcW w:w="5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March 31, 2026 compared to the three months ended March 31, 2025 by major income statement caption for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0"/>
        </w:trPr>
        <w:tc>
          <w:tcPr>
            <w:tcW w:w="8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50"/>
        </w:trPr>
        <w:tc>
          <w:tcPr>
            <w:tcW w:w="892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3"/>
                <w:szCs w:val="13"/>
                <w:b w:val="1"/>
                <w:bCs w:val="1"/>
                <w:color w:val="auto"/>
                <w:w w:val="98"/>
              </w:rPr>
              <w:t>Revenues</w:t>
            </w:r>
          </w:p>
        </w:tc>
        <w:tc>
          <w:tcPr>
            <w:tcW w:w="3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72"/>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utility natural gas, fuel and purchased power below</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taxes other than income taxes below</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and usage</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operation and maintenance below</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Non-volumetric and miscellaneous revenue</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Non-utility revenues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72"/>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158"/>
        </w:trPr>
        <w:tc>
          <w:tcPr>
            <w:tcW w:w="8920" w:type="dxa"/>
            <w:vAlign w:val="bottom"/>
            <w:tcBorders>
              <w:bottom w:val="single" w:sz="8" w:color="CCEEFF"/>
            </w:tcBorders>
            <w:gridSpan w:val="2"/>
          </w:tcPr>
          <w:p>
            <w:pPr>
              <w:ind w:left="856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8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Utility natural gas</w:t>
            </w:r>
          </w:p>
        </w:tc>
        <w:tc>
          <w:tcPr>
            <w:tcW w:w="3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58"/>
        </w:trPr>
        <w:tc>
          <w:tcPr>
            <w:tcW w:w="8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revenues above</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30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8"/>
        </w:trPr>
        <w:tc>
          <w:tcPr>
            <w:tcW w:w="8920" w:type="dxa"/>
            <w:vAlign w:val="bottom"/>
            <w:tcBorders>
              <w:bottom w:val="single" w:sz="8" w:color="CCEEFF"/>
            </w:tcBorders>
            <w:gridSpan w:val="2"/>
          </w:tcPr>
          <w:p>
            <w:pPr>
              <w:ind w:left="856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8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3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58"/>
        </w:trPr>
        <w:tc>
          <w:tcPr>
            <w:tcW w:w="8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All other operations and maintenance expense, including bad debt expense</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30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8920" w:type="dxa"/>
            <w:vAlign w:val="bottom"/>
            <w:tcBorders>
              <w:bottom w:val="single" w:sz="8" w:color="CCEEFF"/>
            </w:tcBorders>
            <w:gridSpan w:val="2"/>
          </w:tcPr>
          <w:p>
            <w:pPr>
              <w:ind w:left="856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2"/>
        </w:trPr>
        <w:tc>
          <w:tcPr>
            <w:tcW w:w="8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Depreciation and amortization</w:t>
            </w:r>
          </w:p>
        </w:tc>
        <w:tc>
          <w:tcPr>
            <w:tcW w:w="3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58"/>
        </w:trPr>
        <w:tc>
          <w:tcPr>
            <w:tcW w:w="8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regulatory assets</w:t>
            </w: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8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3"/>
        </w:trPr>
        <w:tc>
          <w:tcPr>
            <w:tcW w:w="8920" w:type="dxa"/>
            <w:vAlign w:val="bottom"/>
            <w:gridSpan w:val="2"/>
            <w:shd w:val="clear" w:color="auto" w:fill="CCEEFF"/>
          </w:tcPr>
          <w:p>
            <w:pPr>
              <w:ind w:left="856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892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62"/>
        </w:trPr>
        <w:tc>
          <w:tcPr>
            <w:tcW w:w="8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revenues above</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3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30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8"/>
        </w:trPr>
        <w:tc>
          <w:tcPr>
            <w:tcW w:w="8920" w:type="dxa"/>
            <w:vAlign w:val="bottom"/>
            <w:tcBorders>
              <w:bottom w:val="single" w:sz="8" w:color="CCEEFF"/>
            </w:tcBorders>
            <w:gridSpan w:val="2"/>
          </w:tcPr>
          <w:p>
            <w:pPr>
              <w:ind w:left="856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8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Gain on sale</w:t>
            </w:r>
          </w:p>
        </w:tc>
        <w:tc>
          <w:tcPr>
            <w:tcW w:w="3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58"/>
        </w:trPr>
        <w:tc>
          <w:tcPr>
            <w:tcW w:w="88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Gain on sale of Louisiana and Mississippi natural gas LDC businesses</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3"/>
        </w:trPr>
        <w:tc>
          <w:tcPr>
            <w:tcW w:w="8920" w:type="dxa"/>
            <w:vAlign w:val="bottom"/>
            <w:gridSpan w:val="2"/>
            <w:shd w:val="clear" w:color="auto" w:fill="CCEEFF"/>
          </w:tcPr>
          <w:p>
            <w:pPr>
              <w:ind w:left="856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49"/>
        </w:trPr>
        <w:tc>
          <w:tcPr>
            <w:tcW w:w="892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71"/>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8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3"/>
        </w:trPr>
        <w:tc>
          <w:tcPr>
            <w:tcW w:w="8920" w:type="dxa"/>
            <w:vAlign w:val="bottom"/>
            <w:gridSpan w:val="2"/>
            <w:shd w:val="clear" w:color="auto" w:fill="CCEEFF"/>
          </w:tcPr>
          <w:p>
            <w:pPr>
              <w:ind w:left="856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49"/>
        </w:trPr>
        <w:tc>
          <w:tcPr>
            <w:tcW w:w="89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71"/>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including interest income from affiliated companies and AFUDC - Equity</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8920" w:type="dxa"/>
            <w:vAlign w:val="bottom"/>
            <w:gridSpan w:val="2"/>
          </w:tcPr>
          <w:p>
            <w:pPr>
              <w:ind w:left="856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10 to the Interim Condensed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CERTAIN FACTORS AFFECTING FUTURE EARNINGS</w:t>
      </w:r>
    </w:p>
    <w:p>
      <w:pPr>
        <w:spacing w:after="0" w:line="191"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4"/>
          <w:szCs w:val="14"/>
          <w:color w:val="auto"/>
        </w:rPr>
        <w:t>For information on other developments, factors and trends that may impact the Registrants’ future earnings, see “Management’s Discussion and Analysis of Financial Condition and Results of Operations — Certain Factors Affecting Future Earnings” in Part II, Item 7 and “Risk Factors” in Part I, Item 1A of the Registrants’ combined 2025 Form 10-K, and “Cautionary Statement Regarding Forward-Looking Information” in this combined Form 10-Q.</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Registrants’ cash flows by category for the period presented: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1"/>
        </w:trPr>
        <w:tc>
          <w:tcPr>
            <w:tcW w:w="4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6"/>
        </w:trPr>
        <w:tc>
          <w:tcPr>
            <w:tcW w:w="414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63"/>
        </w:trPr>
        <w:tc>
          <w:tcPr>
            <w:tcW w:w="4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left="338"/>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provided by (used in):</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activities</w:t>
            </w: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212</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8</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3"/>
                <w:szCs w:val="13"/>
                <w:color w:val="auto"/>
                <w:w w:val="92"/>
              </w:rPr>
              <w:t>578</w:t>
            </w:r>
          </w:p>
        </w:tc>
      </w:tr>
      <w:tr>
        <w:trPr>
          <w:trHeight w:val="168"/>
        </w:trPr>
        <w:tc>
          <w:tcPr>
            <w:tcW w:w="4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Investing activities</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60" w:type="dxa"/>
            <w:vAlign w:val="bottom"/>
          </w:tcPr>
          <w:p>
            <w:pPr>
              <w:spacing w:after="0"/>
              <w:rPr>
                <w:sz w:val="14"/>
                <w:szCs w:val="14"/>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(409)</w:t>
            </w:r>
          </w:p>
        </w:tc>
        <w:tc>
          <w:tcPr>
            <w:tcW w:w="280" w:type="dxa"/>
            <w:vAlign w:val="bottom"/>
          </w:tcPr>
          <w:p>
            <w:pPr>
              <w:spacing w:after="0"/>
              <w:rPr>
                <w:sz w:val="14"/>
                <w:szCs w:val="14"/>
                <w:color w:val="auto"/>
              </w:rPr>
            </w:pPr>
          </w:p>
        </w:tc>
        <w:tc>
          <w:tcPr>
            <w:tcW w:w="860" w:type="dxa"/>
            <w:vAlign w:val="bottom"/>
          </w:tcPr>
          <w:p>
            <w:pPr>
              <w:jc w:val="center"/>
              <w:ind w:left="478"/>
              <w:spacing w:after="0"/>
              <w:rPr>
                <w:sz w:val="20"/>
                <w:szCs w:val="20"/>
                <w:color w:val="auto"/>
              </w:rPr>
            </w:pPr>
            <w:r>
              <w:rPr>
                <w:rFonts w:ascii="Times New Roman" w:cs="Times New Roman" w:eastAsia="Times New Roman" w:hAnsi="Times New Roman"/>
                <w:sz w:val="13"/>
                <w:szCs w:val="13"/>
                <w:color w:val="auto"/>
                <w:w w:val="99"/>
              </w:rPr>
              <w:t>(360)</w:t>
            </w:r>
          </w:p>
        </w:tc>
      </w:tr>
      <w:tr>
        <w:trPr>
          <w:trHeight w:val="172"/>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Financing activities</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1,513</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1,401</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1,053</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404</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478"/>
              <w:spacing w:after="0"/>
              <w:rPr>
                <w:sz w:val="20"/>
                <w:szCs w:val="20"/>
                <w:color w:val="auto"/>
              </w:rPr>
            </w:pPr>
            <w:r>
              <w:rPr>
                <w:rFonts w:ascii="Times New Roman" w:cs="Times New Roman" w:eastAsia="Times New Roman" w:hAnsi="Times New Roman"/>
                <w:sz w:val="13"/>
                <w:szCs w:val="13"/>
                <w:color w:val="auto"/>
                <w:w w:val="99"/>
              </w:rPr>
              <w:t>(219)</w:t>
            </w:r>
          </w:p>
        </w:tc>
      </w:tr>
    </w:tbl>
    <w:p>
      <w:pPr>
        <w:spacing w:after="0" w:line="249" w:lineRule="exact"/>
        <w:rPr>
          <w:sz w:val="20"/>
          <w:szCs w:val="20"/>
          <w:color w:val="auto"/>
        </w:rPr>
      </w:pPr>
    </w:p>
    <w:p>
      <w:pPr>
        <w:ind w:right="2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Operating Activities. </w:t>
      </w:r>
      <w:r>
        <w:rPr>
          <w:rFonts w:ascii="Times New Roman" w:cs="Times New Roman" w:eastAsia="Times New Roman" w:hAnsi="Times New Roman"/>
          <w:sz w:val="14"/>
          <w:szCs w:val="14"/>
          <w:color w:val="auto"/>
        </w:rPr>
        <w:t>The following items contributed to increased (decreased) net cash provided by operating activities for the three months ended March 31, 2026 compared to the three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March 31, 2025: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400" w:type="dxa"/>
            <w:vAlign w:val="bottom"/>
          </w:tcPr>
          <w:p>
            <w:pPr>
              <w:spacing w:after="0"/>
              <w:rPr>
                <w:sz w:val="12"/>
                <w:szCs w:val="12"/>
                <w:color w:val="auto"/>
              </w:rPr>
            </w:pPr>
          </w:p>
        </w:tc>
        <w:tc>
          <w:tcPr>
            <w:tcW w:w="1360" w:type="dxa"/>
            <w:vAlign w:val="bottom"/>
            <w:vMerge w:val="restart"/>
          </w:tcPr>
          <w:p>
            <w:pPr>
              <w:jc w:val="right"/>
              <w:ind w:right="635"/>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net income after adjusting for non-cash items</w:t>
            </w:r>
          </w:p>
        </w:tc>
        <w:tc>
          <w:tcPr>
            <w:tcW w:w="144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working capital</w:t>
            </w:r>
          </w:p>
        </w:tc>
        <w:tc>
          <w:tcPr>
            <w:tcW w:w="1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Lower (higher) pension contribution</w:t>
            </w:r>
          </w:p>
        </w:tc>
        <w:tc>
          <w:tcPr>
            <w:tcW w:w="14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5"/>
        </w:trPr>
        <w:tc>
          <w:tcPr>
            <w:tcW w:w="57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(128)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Investing Activities. </w:t>
      </w:r>
      <w:r>
        <w:rPr>
          <w:rFonts w:ascii="Times New Roman" w:cs="Times New Roman" w:eastAsia="Times New Roman" w:hAnsi="Times New Roman"/>
          <w:sz w:val="14"/>
          <w:szCs w:val="14"/>
          <w:color w:val="auto"/>
        </w:rPr>
        <w:t>The following items contributed to (increased) decreased net cash used in investing activities for the three months ended March 31, 2026 compared to the three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2025:</w:t>
      </w: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00" w:type="dxa"/>
            <w:vAlign w:val="bottom"/>
          </w:tcPr>
          <w:p>
            <w:pPr>
              <w:spacing w:after="0"/>
              <w:rPr>
                <w:sz w:val="12"/>
                <w:szCs w:val="12"/>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Houston</w:t>
            </w:r>
          </w:p>
        </w:tc>
        <w:tc>
          <w:tcPr>
            <w:tcW w:w="380" w:type="dxa"/>
            <w:vAlign w:val="bottom"/>
          </w:tcPr>
          <w:p>
            <w:pPr>
              <w:spacing w:after="0"/>
              <w:rPr>
                <w:sz w:val="12"/>
                <w:szCs w:val="12"/>
                <w:color w:val="auto"/>
              </w:rPr>
            </w:pPr>
          </w:p>
        </w:tc>
        <w:tc>
          <w:tcPr>
            <w:tcW w:w="1340" w:type="dxa"/>
            <w:vAlign w:val="bottom"/>
            <w:vMerge w:val="restart"/>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Lower cash payments for asset acquisitions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capital expenditures</w:t>
            </w:r>
          </w:p>
        </w:tc>
        <w:tc>
          <w:tcPr>
            <w:tcW w:w="2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notes receivable from affiliated companies</w:t>
            </w:r>
          </w:p>
        </w:tc>
        <w:tc>
          <w:tcPr>
            <w:tcW w:w="2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Lower cash proceeds from divestitures</w:t>
            </w:r>
          </w:p>
        </w:tc>
        <w:tc>
          <w:tcPr>
            <w:tcW w:w="2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0" w:type="dxa"/>
            <w:vAlign w:val="bottom"/>
          </w:tcPr>
          <w:p>
            <w:pPr>
              <w:spacing w:after="0"/>
              <w:rPr>
                <w:sz w:val="1"/>
                <w:szCs w:val="1"/>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right="2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Financing Activities. </w:t>
      </w:r>
      <w:r>
        <w:rPr>
          <w:rFonts w:ascii="Times New Roman" w:cs="Times New Roman" w:eastAsia="Times New Roman" w:hAnsi="Times New Roman"/>
          <w:sz w:val="14"/>
          <w:szCs w:val="14"/>
          <w:color w:val="auto"/>
        </w:rPr>
        <w:t>The following items contributed to (increased) decreased net cash provided by (used in) financing activities for the three months ended March 31, 2026 compared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three months ended March 31, 2025:</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00" w:type="dxa"/>
            <w:vAlign w:val="bottom"/>
          </w:tcPr>
          <w:p>
            <w:pPr>
              <w:spacing w:after="0"/>
              <w:rPr>
                <w:sz w:val="12"/>
                <w:szCs w:val="12"/>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380" w:type="dxa"/>
            <w:vAlign w:val="bottom"/>
          </w:tcPr>
          <w:p>
            <w:pPr>
              <w:spacing w:after="0"/>
              <w:rPr>
                <w:sz w:val="12"/>
                <w:szCs w:val="12"/>
                <w:color w:val="auto"/>
              </w:rPr>
            </w:pPr>
          </w:p>
        </w:tc>
        <w:tc>
          <w:tcPr>
            <w:tcW w:w="1340" w:type="dxa"/>
            <w:vAlign w:val="bottom"/>
            <w:vMerge w:val="restart"/>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changes in commercial paper outstanding</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changes in long-term debt and term loans outstanding, excluding commercial paper</w:t>
            </w:r>
          </w:p>
        </w:tc>
        <w:tc>
          <w:tcPr>
            <w:tcW w:w="2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changes in debt issuance costs</w:t>
            </w: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changes in short-term borrowings</w:t>
            </w:r>
          </w:p>
        </w:tc>
        <w:tc>
          <w:tcPr>
            <w:tcW w:w="2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Increased payment of dividends on Common Stock</w:t>
            </w: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notes payable to affiliated companies</w:t>
            </w:r>
          </w:p>
        </w:tc>
        <w:tc>
          <w:tcPr>
            <w:tcW w:w="200" w:type="dxa"/>
            <w:vAlign w:val="bottom"/>
          </w:tcPr>
          <w:p>
            <w:pPr>
              <w:spacing w:after="0"/>
              <w:rPr>
                <w:sz w:val="14"/>
                <w:szCs w:val="14"/>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dividend to parent</w:t>
            </w:r>
          </w:p>
        </w:tc>
        <w:tc>
          <w:tcPr>
            <w:tcW w:w="2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68"/>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5"/>
        </w:trPr>
        <w:tc>
          <w:tcPr>
            <w:tcW w:w="57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Future Sources and Uses of Cash</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liquidity and capital requirements of the Registrants are affected primarily by results of operations, capital expenditures, storm restoration costs, debt service requirements, tax payments, working capital needs and various regulatory actions. Future capital expenditures are expected to primarily relate to investments in infrastructure. These capital expenditures are anticipated to enhance the safety, reliability and resiliency of our systems and deliver consistent value for stakeholders across the Registrants’ jurisdictions. In addition to dividend payments on CenterPoint Energy’s Common Stock and interest payments on debt, the Registrants’ principal anticipated cash requirements for the remainder of 2026 include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00" w:type="dxa"/>
            <w:vAlign w:val="bottom"/>
          </w:tcPr>
          <w:p>
            <w:pPr>
              <w:spacing w:after="0"/>
              <w:rPr>
                <w:sz w:val="12"/>
                <w:szCs w:val="12"/>
                <w:color w:val="auto"/>
              </w:rPr>
            </w:pPr>
          </w:p>
        </w:tc>
        <w:tc>
          <w:tcPr>
            <w:tcW w:w="122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240" w:type="dxa"/>
            <w:vAlign w:val="bottom"/>
          </w:tcPr>
          <w:p>
            <w:pPr>
              <w:spacing w:after="0"/>
              <w:rPr>
                <w:sz w:val="12"/>
                <w:szCs w:val="12"/>
                <w:color w:val="auto"/>
              </w:rPr>
            </w:pPr>
          </w:p>
        </w:tc>
        <w:tc>
          <w:tcPr>
            <w:tcW w:w="104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7"/>
              </w:rPr>
              <w:t>Houston</w:t>
            </w:r>
          </w:p>
        </w:tc>
        <w:tc>
          <w:tcPr>
            <w:tcW w:w="320" w:type="dxa"/>
            <w:vAlign w:val="bottom"/>
          </w:tcPr>
          <w:p>
            <w:pPr>
              <w:spacing w:after="0"/>
              <w:rPr>
                <w:sz w:val="12"/>
                <w:szCs w:val="12"/>
                <w:color w:val="auto"/>
              </w:rPr>
            </w:pPr>
          </w:p>
        </w:tc>
        <w:tc>
          <w:tcPr>
            <w:tcW w:w="94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7300" w:type="dxa"/>
            <w:vAlign w:val="bottom"/>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Estimated capital expenditures</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5,575</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3,317</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1,807</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Scheduled principal payments on Securitization Bonds</w:t>
            </w:r>
          </w:p>
        </w:tc>
        <w:tc>
          <w:tcPr>
            <w:tcW w:w="4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92</w:t>
            </w:r>
          </w:p>
        </w:tc>
        <w:tc>
          <w:tcPr>
            <w:tcW w:w="24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78</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Scheduled principal payments on debt instruments, excluding Securitization Bonds</w:t>
            </w: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1,817</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contributions to pension plans and other post-retirement plans</w:t>
            </w:r>
          </w:p>
        </w:tc>
        <w:tc>
          <w:tcPr>
            <w:tcW w:w="4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66</w:t>
            </w:r>
          </w:p>
        </w:tc>
        <w:tc>
          <w:tcPr>
            <w:tcW w:w="24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right="40" w:firstLine="255"/>
        <w:spacing w:after="0" w:line="260" w:lineRule="auto"/>
        <w:rPr>
          <w:sz w:val="20"/>
          <w:szCs w:val="20"/>
          <w:color w:val="auto"/>
        </w:rPr>
      </w:pPr>
      <w:r>
        <w:rPr>
          <w:rFonts w:ascii="Times New Roman" w:cs="Times New Roman" w:eastAsia="Times New Roman" w:hAnsi="Times New Roman"/>
          <w:sz w:val="14"/>
          <w:szCs w:val="14"/>
          <w:color w:val="auto"/>
        </w:rPr>
        <w:t>The Registrants expect that anticipated cash needs for the remainder of 2026 will be met with available cash flow from operations, proceeds from the sale of our Ohio natural gas LDC business, as well as cash flows from financing (such as issuances of debt securities and equity securities upon physical settlement of outstanding forward sale agreements and borrowings under credit facilities, commercial paper issuances or other sources). At this time, CenterPoint Energy does not anticipate the need for further sales of shares of Common Stock under the Equity Distribution Agreement.</w:t>
      </w:r>
    </w:p>
    <w:p>
      <w:pPr>
        <w:ind w:right="120"/>
        <w:spacing w:after="0" w:line="266" w:lineRule="auto"/>
        <w:rPr>
          <w:sz w:val="20"/>
          <w:szCs w:val="20"/>
          <w:color w:val="auto"/>
        </w:rPr>
      </w:pPr>
      <w:r>
        <w:rPr>
          <w:rFonts w:ascii="Times New Roman" w:cs="Times New Roman" w:eastAsia="Times New Roman" w:hAnsi="Times New Roman"/>
          <w:sz w:val="14"/>
          <w:szCs w:val="14"/>
          <w:color w:val="auto"/>
        </w:rPr>
        <w:t>The issuance of securities in the capital markets and borrowings under additional credit facilities and term loans may not, however, be available on acceptable terms. The Registrants may, from time to time, redeem, repurchase or otherwise acquire their outstanding debt securities through open market purchases, tender offers or pursuant to the terms of such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Other than Houston Electric’s general mortgage bonds issued as collateral for tax-exempt long-term debt of CenterPoint Energy as discussed in Note 9 and guarantees as discussed in Note 11(c) to the Interim Condensed Financial Statements, the Registrants have no off-balance sheet arrangements.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TEEEF (CenterPoint Energy and Houston Electric)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TEEEF, see Note 6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Hurricane Beryl (CenterPoint Energy and Houston Electric)</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about the recovery of costs incurred in connection with Hurricane Beryl, see Note 6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CPCN (CenterPoint Energy)</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PPAs</w:t>
      </w:r>
    </w:p>
    <w:p>
      <w:pPr>
        <w:spacing w:after="0" w:line="202"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On August 25, 2021, Indiana Electric filed with the IURC seeking approval to purchase 150 MW of solar power, under a 20-year PPA, from Origis, which is developing a solar project in Knox County, Indiana. On May 4, 2022, the IURC issued an order approving Indiana Electric to enter into the Knox County PPA. In March 2022, when the results of the MISO interconnection study were completed, Origis advised Indiana Electric that the costs to construct the solar project in Knox County, Indiana had increased largely due to escalating commodity and supply chain costs impacting manufacturers worldwide. In August 2022, Indiana Electric and Origis entered into an amended PPA, which reiterated the terms contained in the 2021 PPA with certain modifications. On February 22, 2023, the IURC approved the Knox County solar amended PPA; however, due to MISO interconnection delays, the project in-service date was delayed from 2024 to 2026. The facility became operational on February 27, 2026. The power purchase costs will be recovered through the fuel adjustment clause proceedings over the term of the PPA.</w:t>
      </w:r>
    </w:p>
    <w:p>
      <w:pPr>
        <w:spacing w:after="0" w:line="167"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On May 1, 2024, Indiana Electric filed with the IURC seeking approval to purchase 147 MW of wind power under a 25-year PPA with an affiliate of NextEra Energy, Inc., which is developing a wind project in Knox County, Illinois. On November 6, 2024, the IURC approved the Knox County wind PPA, which provided for the recovery of the purchase power costs through the fuel adjustment clause proceedings over the term of the PPA. The facility is targeted to be in operation in late 2026.</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F.B. Culley Unit 2 (CenterPoint Energy)</w:t>
      </w:r>
    </w:p>
    <w:p>
      <w:pPr>
        <w:spacing w:after="0" w:line="20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While Indiana Electric’s 2025 IRP (similar to previous IRPs) preferred portfolios included the retirement of F.B. Culley Unit 2, a coal-fired generation unit, by the end of 2025, the U.S. Department of Energy issued emergency 202(c) orders (the “DOE Order”) in December 2025 and March 2026 directing Indiana Electric to continue operating the unit through June 21, 2026. Indiana Electric has filed a complaint with the FERC to request creation of a cost recovery/cost allocation mechanism. On March 19, 2026, FERC directed MISO to adopt a tariff amendment that would authorize the F.B. Culley unit to recover costs across load-serving entities situated in MISO’s north and central local reliability zones, otherwise known as MISO North and Central. A separate filing will be made at a later date with the FERC to seek recovery of all costs incurred to comply with the U.S. Department of Energy’s emergency 202(c) orders. Indiana Electric has also filed an application with the IURC in Cause No. 46350 to recover any compliance costs associated with the emergency 202(c) orders that are not recovered through the FERC proceedings. On April 15, 2026, Indiana Electric filed a Motion to Intervene in the United States Court of Appeals for the D.C. Circuit in response to the Public Interest Organizations’ appeal of the DOE Order. Indiana Electric intervened as the owner of F.B. Culley 2 that is the subject of the DOE Order representing Indiana Electric’s authority to recover the costs it has incurred to comply with the DOE Order.</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Legislation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Indiana Electric is evaluating legislation passed in 2026, including the following pieces of legislation that became law in Indiana’s 124th General Assembly:</w:t>
      </w:r>
    </w:p>
    <w:p>
      <w:pPr>
        <w:spacing w:after="0" w:line="200" w:lineRule="exact"/>
        <w:rPr>
          <w:sz w:val="20"/>
          <w:szCs w:val="20"/>
          <w:color w:val="auto"/>
        </w:rPr>
      </w:pPr>
    </w:p>
    <w:p>
      <w:pPr>
        <w:jc w:val="both"/>
        <w:ind w:right="120" w:firstLine="255"/>
        <w:spacing w:after="0" w:line="270" w:lineRule="auto"/>
        <w:rPr>
          <w:sz w:val="20"/>
          <w:szCs w:val="20"/>
          <w:color w:val="auto"/>
        </w:rPr>
      </w:pPr>
      <w:r>
        <w:rPr>
          <w:rFonts w:ascii="Times New Roman" w:cs="Times New Roman" w:eastAsia="Times New Roman" w:hAnsi="Times New Roman"/>
          <w:sz w:val="14"/>
          <w:szCs w:val="14"/>
          <w:color w:val="auto"/>
        </w:rPr>
        <w:t>Senate Enrolled Act 240 Surplus Interconnection Service (SIS) defines SIS as any portion of service that has not been used and is not reasonably expected to be needed; the use of which would result in the total amount of interconnection service at the point of interconnection remaining the same. The new law requires an electric utility to include an analysis of the potential for SIS to meet the immediate needs for capacity and energy at the utility-owned facilities in integrated resource plans. It also</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requires the IURC to consider whether a utility that has filed for approval of a certificate of public convenience and necessity has conducted a SIS analysis and whether the proposed construction will allow for the use of SIS.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House Enrolled Act 1002, a multi-faceted bill aimed at improving the affordability of electric rates, would do the following:</w:t>
      </w:r>
    </w:p>
    <w:p>
      <w:pPr>
        <w:spacing w:after="0" w:line="200" w:lineRule="exact"/>
        <w:rPr>
          <w:sz w:val="20"/>
          <w:szCs w:val="20"/>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2026, require an electric utility to file a multi-year rate plan according to a prescribed schedule;</w:t>
      </w:r>
    </w:p>
    <w:p>
      <w:pPr>
        <w:spacing w:after="0" w:line="23" w:lineRule="exact"/>
        <w:rPr>
          <w:rFonts w:ascii="Times New Roman" w:cs="Times New Roman" w:eastAsia="Times New Roman" w:hAnsi="Times New Roman"/>
          <w:sz w:val="14"/>
          <w:szCs w:val="14"/>
          <w:color w:val="auto"/>
        </w:rPr>
      </w:pPr>
    </w:p>
    <w:p>
      <w:pPr>
        <w:ind w:left="520" w:right="180" w:hanging="260"/>
        <w:spacing w:after="0" w:line="253"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apply a customer affordability performance metric and a service restoration performance metric to each year of the multi-year rate plan and use such metric to provide financial rewards or penalties based on the electricity supplier’s measured performance of the metric;</w:t>
      </w:r>
    </w:p>
    <w:p>
      <w:pPr>
        <w:ind w:left="520" w:right="140" w:hanging="260"/>
        <w:spacing w:after="0" w:line="253"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an electric utility to offer a low income customer assistance program by July 1, 2026 to be funded by at least 0.2% of jurisdictional revenues for residential customers and allow the utility to seek recovery of eligible program costs;</w:t>
      </w: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an electric utility from terminating service to any customer on a day forecasted by the National Weather Service to have a heat index of at least 95 degrees Fahrenheit;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IURC’s authority related to use of emergency powers;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Times New Roman" w:cs="Times New Roman" w:eastAsia="Times New Roman" w:hAnsi="Times New Roman"/>
          <w:sz w:val="14"/>
          <w:szCs w:val="14"/>
          <w:color w:val="auto"/>
        </w:rPr>
        <w:t>apply a levelized billing plan to residential customers who are eligible and have applied for the Low Income Housing Energy Assistance Program; and</w:t>
      </w:r>
    </w:p>
    <w:p>
      <w:pPr>
        <w:spacing w:after="0" w:line="9"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an electric utility to report certain residential customer data to the Office of the Utility Consumer Counselor on a quarterly basis.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House Enrolled Act 1002, Indiana Electric is required to file a multi-year rate case in January 2028.</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Texas Legislation (CenterPoint Energy, Houston Electric and CERC)</w:t>
      </w:r>
    </w:p>
    <w:p>
      <w:pPr>
        <w:spacing w:after="0" w:line="202"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Registrants are evaluating the effects of certain legislation passed in 2025 and associated PUCT rulemaking projects, including the following pieces of legislation that became law during the 89th Texas Legislature:</w:t>
      </w:r>
    </w:p>
    <w:p>
      <w:pPr>
        <w:spacing w:after="0" w:line="145" w:lineRule="exact"/>
        <w:rPr>
          <w:sz w:val="20"/>
          <w:szCs w:val="20"/>
          <w:color w:val="auto"/>
        </w:rPr>
      </w:pPr>
    </w:p>
    <w:p>
      <w:pPr>
        <w:ind w:left="520" w:right="240" w:hanging="260"/>
        <w:spacing w:after="0" w:line="263" w:lineRule="auto"/>
        <w:tabs>
          <w:tab w:leader="none" w:pos="516" w:val="left"/>
        </w:tabs>
        <w:numPr>
          <w:ilvl w:val="0"/>
          <w:numId w:val="38"/>
        </w:numPr>
        <w:rPr>
          <w:rFonts w:ascii="Arial" w:cs="Arial" w:eastAsia="Arial" w:hAnsi="Arial"/>
          <w:sz w:val="14"/>
          <w:szCs w:val="14"/>
          <w:color w:val="auto"/>
        </w:rPr>
      </w:pPr>
      <w:r>
        <w:rPr>
          <w:rFonts w:ascii="Times New Roman" w:cs="Times New Roman" w:eastAsia="Times New Roman" w:hAnsi="Times New Roman"/>
          <w:sz w:val="14"/>
          <w:szCs w:val="14"/>
          <w:color w:val="auto"/>
        </w:rPr>
        <w:t>House Bill 4384, effective June 20, 2025, allows LDCs to recover post in-service carry costs (PISCC) in GRIP filings. This allows LDCs to defer for future recovery as a regulatory asset PISCC, depreciation expense and ad valorem taxes associated with unrecovered gross plant.</w:t>
      </w:r>
    </w:p>
    <w:p>
      <w:pPr>
        <w:ind w:left="520" w:hanging="260"/>
        <w:spacing w:after="0" w:line="253"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231, effective June 20, 2025, provides that, on or after the effective date, TDUs may only enter into, renew or extend leases for TEEEF units with a maximum generation capacity 5 or fewer MW and that are rapidly deployable, and that they may enter into leases without prior PUCT preapproval (as required by the TEEEF Rule) in the case of an emergency or if the lease includes a provision allowing for the alteration of the lease based on applicable PUCT orders or rules.</w:t>
      </w:r>
    </w:p>
    <w:p>
      <w:pPr>
        <w:ind w:left="520" w:right="20" w:hanging="260"/>
        <w:spacing w:after="0" w:line="266"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1963, effective September 1, 2025, allows ERCOT utilities to securitize system restoration costs using a third-party government agency, which may allow for the debt to be off balance sheet and an abbreviated proceeding timeline. This bill also lowered the system restoration costs threshold from $100 million to $50 million, provided the effectiveness tests are met.</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Rate Change Applications</w:t>
      </w:r>
    </w:p>
    <w:p>
      <w:pPr>
        <w:spacing w:after="0" w:line="202"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Registrants are routinely involved in rate change applications before state regulatory authorities. Those applications include general rate cases, where the entire cost of service of the utility is assessed and reset. In addition, the Registrants are periodically involved in proceedings to adjust their capital tracking mechanisms (e.g., CSIA, DCRF, CEP, DRR, GRIP, TCOS, ECA, CECA and TDSIC), their decoupling mechanisms (e.g., decoupling and SRC), and their energy efficiency cost trackers (e.g., CIP, DSMA, EECRF, EEFC and EEFR).</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significant applications pending or completed since the Registrants’ combined 2025 Form 10-K was filed with the SEC through the date of the filing of this combined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10-Q:</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Annual Increase</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6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300" w:type="dxa"/>
            <w:vAlign w:val="bottom"/>
          </w:tcPr>
          <w:p>
            <w:pPr>
              <w:spacing w:after="0"/>
              <w:rPr>
                <w:sz w:val="10"/>
                <w:szCs w:val="10"/>
                <w:color w:val="auto"/>
              </w:rPr>
            </w:pPr>
          </w:p>
        </w:tc>
        <w:tc>
          <w:tcPr>
            <w:tcW w:w="1220" w:type="dxa"/>
            <w:vAlign w:val="bottom"/>
          </w:tcPr>
          <w:p>
            <w:pPr>
              <w:jc w:val="center"/>
              <w:ind w:right="203"/>
              <w:spacing w:after="0" w:line="117" w:lineRule="exact"/>
              <w:rPr>
                <w:sz w:val="20"/>
                <w:szCs w:val="20"/>
                <w:color w:val="auto"/>
              </w:rPr>
            </w:pPr>
            <w:r>
              <w:rPr>
                <w:rFonts w:ascii="Times New Roman" w:cs="Times New Roman" w:eastAsia="Times New Roman" w:hAnsi="Times New Roman"/>
                <w:sz w:val="11"/>
                <w:szCs w:val="11"/>
                <w:b w:val="1"/>
                <w:bCs w:val="1"/>
                <w:color w:val="auto"/>
              </w:rPr>
              <w:t>(Decrease) (1) (in</w:t>
            </w:r>
          </w:p>
        </w:tc>
        <w:tc>
          <w:tcPr>
            <w:tcW w:w="960" w:type="dxa"/>
            <w:vAlign w:val="bottom"/>
            <w:vMerge w:val="continue"/>
          </w:tcPr>
          <w:p>
            <w:pPr>
              <w:spacing w:after="0"/>
              <w:rPr>
                <w:sz w:val="10"/>
                <w:szCs w:val="10"/>
                <w:color w:val="auto"/>
              </w:rPr>
            </w:pPr>
          </w:p>
        </w:tc>
        <w:tc>
          <w:tcPr>
            <w:tcW w:w="88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108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5880" w:type="dxa"/>
            <w:vAlign w:val="bottom"/>
            <w:vMerge w:val="restart"/>
          </w:tcPr>
          <w:p>
            <w:pPr>
              <w:ind w:left="2420"/>
              <w:spacing w:after="0"/>
              <w:rPr>
                <w:sz w:val="20"/>
                <w:szCs w:val="20"/>
                <w:color w:val="auto"/>
              </w:rPr>
            </w:pPr>
            <w:r>
              <w:rPr>
                <w:rFonts w:ascii="Times New Roman" w:cs="Times New Roman" w:eastAsia="Times New Roman" w:hAnsi="Times New Roman"/>
                <w:sz w:val="11"/>
                <w:szCs w:val="11"/>
                <w:b w:val="1"/>
                <w:bCs w:val="1"/>
                <w:color w:val="auto"/>
              </w:rPr>
              <w:t>Additional Information</w:t>
            </w:r>
          </w:p>
        </w:tc>
        <w:tc>
          <w:tcPr>
            <w:tcW w:w="0" w:type="dxa"/>
            <w:vAlign w:val="bottom"/>
          </w:tcPr>
          <w:p>
            <w:pPr>
              <w:spacing w:after="0"/>
              <w:rPr>
                <w:sz w:val="1"/>
                <w:szCs w:val="1"/>
                <w:color w:val="auto"/>
              </w:rPr>
            </w:pPr>
          </w:p>
        </w:tc>
      </w:tr>
      <w:tr>
        <w:trPr>
          <w:trHeight w:val="154"/>
        </w:trPr>
        <w:tc>
          <w:tcPr>
            <w:tcW w:w="96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millions)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8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5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960" w:type="dxa"/>
            <w:vAlign w:val="bottom"/>
            <w:tcBorders>
              <w:bottom w:val="single" w:sz="8" w:color="auto"/>
            </w:tcBorders>
            <w:gridSpan w:val="2"/>
          </w:tcPr>
          <w:p>
            <w:pPr>
              <w:jc w:val="center"/>
              <w:ind w:right="4263"/>
              <w:spacing w:after="0"/>
              <w:rPr>
                <w:sz w:val="20"/>
                <w:szCs w:val="20"/>
                <w:color w:val="auto"/>
              </w:rPr>
            </w:pPr>
            <w:r>
              <w:rPr>
                <w:rFonts w:ascii="Times New Roman" w:cs="Times New Roman" w:eastAsia="Times New Roman" w:hAnsi="Times New Roman"/>
                <w:sz w:val="11"/>
                <w:szCs w:val="11"/>
                <w:b w:val="1"/>
                <w:bCs w:val="1"/>
                <w:color w:val="auto"/>
              </w:rPr>
              <w:t>CenterPoint Energy and Houston Electric (PUCT)</w:t>
            </w:r>
          </w:p>
        </w:tc>
        <w:tc>
          <w:tcPr>
            <w:tcW w:w="0" w:type="dxa"/>
            <w:vAlign w:val="bottom"/>
          </w:tcPr>
          <w:p>
            <w:pPr>
              <w:spacing w:after="0"/>
              <w:rPr>
                <w:sz w:val="1"/>
                <w:szCs w:val="1"/>
                <w:color w:val="auto"/>
              </w:rPr>
            </w:pPr>
          </w:p>
        </w:tc>
      </w:tr>
      <w:tr>
        <w:trPr>
          <w:trHeight w:val="102"/>
        </w:trPr>
        <w:tc>
          <w:tcPr>
            <w:tcW w:w="960" w:type="dxa"/>
            <w:vAlign w:val="bottom"/>
            <w:shd w:val="clear" w:color="auto" w:fill="CCEEFF"/>
          </w:tcPr>
          <w:p>
            <w:pPr>
              <w:jc w:val="center"/>
              <w:ind w:left="3"/>
              <w:spacing w:after="0" w:line="102" w:lineRule="exact"/>
              <w:rPr>
                <w:sz w:val="20"/>
                <w:szCs w:val="20"/>
                <w:color w:val="auto"/>
              </w:rPr>
            </w:pPr>
            <w:r>
              <w:rPr>
                <w:rFonts w:ascii="Times New Roman" w:cs="Times New Roman" w:eastAsia="Times New Roman" w:hAnsi="Times New Roman"/>
                <w:sz w:val="11"/>
                <w:szCs w:val="11"/>
                <w:color w:val="auto"/>
              </w:rPr>
              <w:t>TEEEF</w:t>
            </w:r>
          </w:p>
        </w:tc>
        <w:tc>
          <w:tcPr>
            <w:tcW w:w="300" w:type="dxa"/>
            <w:vAlign w:val="bottom"/>
            <w:shd w:val="clear" w:color="auto" w:fill="CCEEFF"/>
          </w:tcPr>
          <w:p>
            <w:pPr>
              <w:jc w:val="right"/>
              <w:ind w:right="23"/>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ind w:left="900"/>
              <w:spacing w:after="0" w:line="102" w:lineRule="exact"/>
              <w:rPr>
                <w:sz w:val="20"/>
                <w:szCs w:val="20"/>
                <w:color w:val="auto"/>
              </w:rPr>
            </w:pPr>
            <w:r>
              <w:rPr>
                <w:rFonts w:ascii="Times New Roman" w:cs="Times New Roman" w:eastAsia="Times New Roman" w:hAnsi="Times New Roman"/>
                <w:sz w:val="11"/>
                <w:szCs w:val="11"/>
                <w:color w:val="auto"/>
              </w:rPr>
              <w:t>(24)</w:t>
            </w:r>
          </w:p>
        </w:tc>
        <w:tc>
          <w:tcPr>
            <w:tcW w:w="960" w:type="dxa"/>
            <w:vAlign w:val="bottom"/>
            <w:shd w:val="clear" w:color="auto" w:fill="CCEEFF"/>
          </w:tcPr>
          <w:p>
            <w:pPr>
              <w:jc w:val="center"/>
              <w:spacing w:after="0" w:line="102" w:lineRule="exact"/>
              <w:rPr>
                <w:sz w:val="20"/>
                <w:szCs w:val="20"/>
                <w:color w:val="auto"/>
              </w:rPr>
            </w:pPr>
            <w:r>
              <w:rPr>
                <w:rFonts w:ascii="Times New Roman" w:cs="Times New Roman" w:eastAsia="Times New Roman" w:hAnsi="Times New Roman"/>
                <w:sz w:val="11"/>
                <w:szCs w:val="11"/>
                <w:color w:val="auto"/>
                <w:w w:val="99"/>
              </w:rPr>
              <w:t>April 2025</w:t>
            </w:r>
          </w:p>
        </w:tc>
        <w:tc>
          <w:tcPr>
            <w:tcW w:w="880" w:type="dxa"/>
            <w:vAlign w:val="bottom"/>
            <w:shd w:val="clear" w:color="auto" w:fill="CCEEFF"/>
          </w:tcPr>
          <w:p>
            <w:pPr>
              <w:jc w:val="center"/>
              <w:ind w:left="103"/>
              <w:spacing w:after="0" w:line="102" w:lineRule="exact"/>
              <w:rPr>
                <w:sz w:val="20"/>
                <w:szCs w:val="20"/>
                <w:color w:val="auto"/>
              </w:rPr>
            </w:pPr>
            <w:r>
              <w:rPr>
                <w:rFonts w:ascii="Times New Roman" w:cs="Times New Roman" w:eastAsia="Times New Roman" w:hAnsi="Times New Roman"/>
                <w:sz w:val="11"/>
                <w:szCs w:val="11"/>
                <w:color w:val="auto"/>
              </w:rPr>
              <w:t>TBD</w:t>
            </w:r>
          </w:p>
        </w:tc>
        <w:tc>
          <w:tcPr>
            <w:tcW w:w="1080" w:type="dxa"/>
            <w:vAlign w:val="bottom"/>
            <w:shd w:val="clear" w:color="auto" w:fill="CCEEFF"/>
          </w:tcPr>
          <w:p>
            <w:pPr>
              <w:jc w:val="center"/>
              <w:ind w:left="123"/>
              <w:spacing w:after="0" w:line="102"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shd w:val="clear" w:color="auto" w:fill="CCEEFF"/>
          </w:tcPr>
          <w:p>
            <w:pPr>
              <w:ind w:left="100"/>
              <w:spacing w:after="0" w:line="102" w:lineRule="exact"/>
              <w:rPr>
                <w:sz w:val="20"/>
                <w:szCs w:val="20"/>
                <w:color w:val="auto"/>
              </w:rPr>
            </w:pPr>
            <w:r>
              <w:rPr>
                <w:rFonts w:ascii="Times New Roman" w:cs="Times New Roman" w:eastAsia="Times New Roman" w:hAnsi="Times New Roman"/>
                <w:sz w:val="11"/>
                <w:szCs w:val="11"/>
                <w:color w:val="auto"/>
              </w:rPr>
              <w:t>Seeks approval of: (1) the release of Houston Electric’s 15 large 32 MW TEEEF units to ERCOT at CPS Energy facilities to</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serve the greater San Antonio region until March 2027 unless terminated earlier pursuant to the provisions of the ERCOT</w:t>
            </w:r>
          </w:p>
        </w:tc>
        <w:tc>
          <w:tcPr>
            <w:tcW w:w="0" w:type="dxa"/>
            <w:vAlign w:val="bottom"/>
          </w:tcPr>
          <w:p>
            <w:pPr>
              <w:spacing w:after="0"/>
              <w:rPr>
                <w:sz w:val="1"/>
                <w:szCs w:val="1"/>
                <w:color w:val="auto"/>
              </w:rPr>
            </w:pPr>
          </w:p>
        </w:tc>
      </w:tr>
      <w:tr>
        <w:trPr>
          <w:trHeight w:val="117"/>
        </w:trPr>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Transaction; (2) a corresponding reduction to the capacity of the Houston Electric TEEEF fleet; and (3) a reduction and update</w:t>
            </w:r>
          </w:p>
        </w:tc>
        <w:tc>
          <w:tcPr>
            <w:tcW w:w="0" w:type="dxa"/>
            <w:vAlign w:val="bottom"/>
          </w:tcPr>
          <w:p>
            <w:pPr>
              <w:spacing w:after="0"/>
              <w:rPr>
                <w:sz w:val="1"/>
                <w:szCs w:val="1"/>
                <w:color w:val="auto"/>
              </w:rPr>
            </w:pPr>
          </w:p>
        </w:tc>
      </w:tr>
      <w:tr>
        <w:trPr>
          <w:trHeight w:val="113"/>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to Houston Electric’s rider TEEEF rate to reflect the removal of the 15 large 32 MW TEEEF units from Houston Electric’s</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TEEEF fleet. Houston Electric will make no revenue or profit from ERCOT for the time period when the 15 large 32 MW</w:t>
            </w:r>
          </w:p>
        </w:tc>
        <w:tc>
          <w:tcPr>
            <w:tcW w:w="0" w:type="dxa"/>
            <w:vAlign w:val="bottom"/>
          </w:tcPr>
          <w:p>
            <w:pPr>
              <w:spacing w:after="0"/>
              <w:rPr>
                <w:sz w:val="1"/>
                <w:szCs w:val="1"/>
                <w:color w:val="auto"/>
              </w:rPr>
            </w:pPr>
          </w:p>
        </w:tc>
      </w:tr>
      <w:tr>
        <w:trPr>
          <w:trHeight w:val="117"/>
        </w:trPr>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TEEEF units are in the San Antonio area being dispatched by ERCOT. In November 2025, Houston Electric also proposed to</w:t>
            </w:r>
          </w:p>
        </w:tc>
        <w:tc>
          <w:tcPr>
            <w:tcW w:w="0" w:type="dxa"/>
            <w:vAlign w:val="bottom"/>
          </w:tcPr>
          <w:p>
            <w:pPr>
              <w:spacing w:after="0"/>
              <w:rPr>
                <w:sz w:val="1"/>
                <w:szCs w:val="1"/>
                <w:color w:val="auto"/>
              </w:rPr>
            </w:pPr>
          </w:p>
        </w:tc>
      </w:tr>
      <w:tr>
        <w:trPr>
          <w:trHeight w:val="113"/>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remove the five medium 5.7 MW TEEEF units from its TEEEF fleet and remove the associated lease costs effective January 1,</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2026. On April 10, 2026, Houston Electric filed a letter requesting continued abatement until April 24, 2026 due to continued</w:t>
            </w:r>
          </w:p>
        </w:tc>
        <w:tc>
          <w:tcPr>
            <w:tcW w:w="0" w:type="dxa"/>
            <w:vAlign w:val="bottom"/>
          </w:tcPr>
          <w:p>
            <w:pPr>
              <w:spacing w:after="0"/>
              <w:rPr>
                <w:sz w:val="1"/>
                <w:szCs w:val="1"/>
                <w:color w:val="auto"/>
              </w:rPr>
            </w:pPr>
          </w:p>
        </w:tc>
      </w:tr>
      <w:tr>
        <w:trPr>
          <w:trHeight w:val="166"/>
        </w:trPr>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settlement discussions.</w:t>
            </w:r>
          </w:p>
        </w:tc>
        <w:tc>
          <w:tcPr>
            <w:tcW w:w="0" w:type="dxa"/>
            <w:vAlign w:val="bottom"/>
          </w:tcPr>
          <w:p>
            <w:pPr>
              <w:spacing w:after="0"/>
              <w:rPr>
                <w:sz w:val="1"/>
                <w:szCs w:val="1"/>
                <w:color w:val="auto"/>
              </w:rPr>
            </w:pPr>
          </w:p>
        </w:tc>
      </w:tr>
      <w:tr>
        <w:trPr>
          <w:trHeight w:val="106"/>
        </w:trPr>
        <w:tc>
          <w:tcPr>
            <w:tcW w:w="960" w:type="dxa"/>
            <w:vAlign w:val="bottom"/>
          </w:tcPr>
          <w:p>
            <w:pPr>
              <w:jc w:val="center"/>
              <w:ind w:left="3"/>
              <w:spacing w:after="0" w:line="106" w:lineRule="exact"/>
              <w:rPr>
                <w:sz w:val="20"/>
                <w:szCs w:val="20"/>
                <w:color w:val="auto"/>
              </w:rPr>
            </w:pPr>
            <w:r>
              <w:rPr>
                <w:rFonts w:ascii="Times New Roman" w:cs="Times New Roman" w:eastAsia="Times New Roman" w:hAnsi="Times New Roman"/>
                <w:sz w:val="11"/>
                <w:szCs w:val="11"/>
                <w:color w:val="auto"/>
              </w:rPr>
              <w:t>TEEEF</w:t>
            </w:r>
          </w:p>
        </w:tc>
        <w:tc>
          <w:tcPr>
            <w:tcW w:w="300" w:type="dxa"/>
            <w:vAlign w:val="bottom"/>
          </w:tcPr>
          <w:p>
            <w:pPr>
              <w:spacing w:after="0"/>
              <w:rPr>
                <w:sz w:val="9"/>
                <w:szCs w:val="9"/>
                <w:color w:val="auto"/>
              </w:rPr>
            </w:pPr>
          </w:p>
        </w:tc>
        <w:tc>
          <w:tcPr>
            <w:tcW w:w="1220" w:type="dxa"/>
            <w:vAlign w:val="bottom"/>
          </w:tcPr>
          <w:p>
            <w:pPr>
              <w:ind w:left="900"/>
              <w:spacing w:after="0" w:line="106" w:lineRule="exact"/>
              <w:rPr>
                <w:sz w:val="20"/>
                <w:szCs w:val="20"/>
                <w:color w:val="auto"/>
              </w:rPr>
            </w:pPr>
            <w:r>
              <w:rPr>
                <w:rFonts w:ascii="Times New Roman" w:cs="Times New Roman" w:eastAsia="Times New Roman" w:hAnsi="Times New Roman"/>
                <w:sz w:val="11"/>
                <w:szCs w:val="11"/>
                <w:color w:val="auto"/>
              </w:rPr>
              <w:t>N/A</w:t>
            </w:r>
          </w:p>
        </w:tc>
        <w:tc>
          <w:tcPr>
            <w:tcW w:w="96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1"/>
                <w:szCs w:val="11"/>
                <w:color w:val="auto"/>
              </w:rPr>
              <w:t>May 2025</w:t>
            </w:r>
          </w:p>
        </w:tc>
        <w:tc>
          <w:tcPr>
            <w:tcW w:w="880" w:type="dxa"/>
            <w:vAlign w:val="bottom"/>
          </w:tcPr>
          <w:p>
            <w:pPr>
              <w:jc w:val="center"/>
              <w:ind w:left="103"/>
              <w:spacing w:after="0" w:line="106" w:lineRule="exact"/>
              <w:rPr>
                <w:sz w:val="20"/>
                <w:szCs w:val="20"/>
                <w:color w:val="auto"/>
              </w:rPr>
            </w:pPr>
            <w:r>
              <w:rPr>
                <w:rFonts w:ascii="Times New Roman" w:cs="Times New Roman" w:eastAsia="Times New Roman" w:hAnsi="Times New Roman"/>
                <w:sz w:val="11"/>
                <w:szCs w:val="11"/>
                <w:color w:val="auto"/>
              </w:rPr>
              <w:t>March 2026</w:t>
            </w:r>
          </w:p>
        </w:tc>
        <w:tc>
          <w:tcPr>
            <w:tcW w:w="1080" w:type="dxa"/>
            <w:vAlign w:val="bottom"/>
          </w:tcPr>
          <w:p>
            <w:pPr>
              <w:jc w:val="center"/>
              <w:ind w:left="103"/>
              <w:spacing w:after="0" w:line="106" w:lineRule="exact"/>
              <w:rPr>
                <w:sz w:val="20"/>
                <w:szCs w:val="20"/>
                <w:color w:val="auto"/>
              </w:rPr>
            </w:pPr>
            <w:r>
              <w:rPr>
                <w:rFonts w:ascii="Times New Roman" w:cs="Times New Roman" w:eastAsia="Times New Roman" w:hAnsi="Times New Roman"/>
                <w:sz w:val="11"/>
                <w:szCs w:val="11"/>
                <w:color w:val="auto"/>
              </w:rPr>
              <w:t>March 2026</w:t>
            </w:r>
          </w:p>
        </w:tc>
        <w:tc>
          <w:tcPr>
            <w:tcW w:w="588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Seeks authorization to lease small, 200 kW to 1,250 kW TEEEF units for 36 months in accordance with the TEEEF Rule.</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Among other things, the TEEEF Rule generally requires that a utility obtain preapproval prior to renewing or entering into a</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new lease of TEEEF units, with exceptions for emergency situations or if the lease includes a provision allowing for the</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alteration of the lease based on applicable PUCT orders or rules. Approval of Houston Electric’s request in this filing will have</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no cost impact on customers at this time, as cost determination will occur in a future proceeding. On March 12, 2026, the</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PUCT issued an order authorizing Houston Electric to enter into a lease for a combined approximately 20 MW of TEEEF</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capacity comprised of 36 small TEEEF units, each with a capacity range of 200 kW to 1,250 kW, for a term of 36 months.</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jc w:val="center"/>
              <w:ind w:left="23"/>
              <w:spacing w:after="0" w:line="116" w:lineRule="exact"/>
              <w:rPr>
                <w:sz w:val="20"/>
                <w:szCs w:val="20"/>
                <w:color w:val="auto"/>
              </w:rPr>
            </w:pPr>
            <w:r>
              <w:rPr>
                <w:rFonts w:ascii="Times New Roman" w:cs="Times New Roman" w:eastAsia="Times New Roman" w:hAnsi="Times New Roman"/>
                <w:sz w:val="11"/>
                <w:szCs w:val="11"/>
                <w:color w:val="auto"/>
                <w:w w:val="97"/>
              </w:rPr>
              <w:t>DCRF</w:t>
            </w:r>
          </w:p>
        </w:tc>
        <w:tc>
          <w:tcPr>
            <w:tcW w:w="300" w:type="dxa"/>
            <w:vAlign w:val="bottom"/>
            <w:shd w:val="clear" w:color="auto" w:fill="CCEEFF"/>
          </w:tcPr>
          <w:p>
            <w:pPr>
              <w:jc w:val="right"/>
              <w:ind w:right="23"/>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ind w:right="103"/>
              <w:spacing w:after="0" w:line="116" w:lineRule="exact"/>
              <w:rPr>
                <w:sz w:val="20"/>
                <w:szCs w:val="20"/>
                <w:color w:val="auto"/>
              </w:rPr>
            </w:pPr>
            <w:r>
              <w:rPr>
                <w:rFonts w:ascii="Times New Roman" w:cs="Times New Roman" w:eastAsia="Times New Roman" w:hAnsi="Times New Roman"/>
                <w:sz w:val="11"/>
                <w:szCs w:val="11"/>
                <w:color w:val="auto"/>
              </w:rPr>
              <w:t>108</w:t>
            </w:r>
          </w:p>
        </w:tc>
        <w:tc>
          <w:tcPr>
            <w:tcW w:w="960" w:type="dxa"/>
            <w:vAlign w:val="bottom"/>
            <w:shd w:val="clear" w:color="auto" w:fill="CCEEFF"/>
          </w:tcPr>
          <w:p>
            <w:pPr>
              <w:jc w:val="center"/>
              <w:ind w:right="3"/>
              <w:spacing w:after="0" w:line="116" w:lineRule="exact"/>
              <w:rPr>
                <w:sz w:val="20"/>
                <w:szCs w:val="20"/>
                <w:color w:val="auto"/>
              </w:rPr>
            </w:pPr>
            <w:r>
              <w:rPr>
                <w:rFonts w:ascii="Times New Roman" w:cs="Times New Roman" w:eastAsia="Times New Roman" w:hAnsi="Times New Roman"/>
                <w:sz w:val="11"/>
                <w:szCs w:val="11"/>
                <w:color w:val="auto"/>
              </w:rPr>
              <w:t>February 2026</w:t>
            </w:r>
          </w:p>
        </w:tc>
        <w:tc>
          <w:tcPr>
            <w:tcW w:w="880" w:type="dxa"/>
            <w:vAlign w:val="bottom"/>
            <w:shd w:val="clear" w:color="auto" w:fill="CCEEFF"/>
          </w:tcPr>
          <w:p>
            <w:pPr>
              <w:jc w:val="center"/>
              <w:ind w:left="103"/>
              <w:spacing w:after="0" w:line="116" w:lineRule="exact"/>
              <w:rPr>
                <w:sz w:val="20"/>
                <w:szCs w:val="20"/>
                <w:color w:val="auto"/>
              </w:rPr>
            </w:pPr>
            <w:r>
              <w:rPr>
                <w:rFonts w:ascii="Times New Roman" w:cs="Times New Roman" w:eastAsia="Times New Roman" w:hAnsi="Times New Roman"/>
                <w:sz w:val="11"/>
                <w:szCs w:val="11"/>
                <w:color w:val="auto"/>
              </w:rPr>
              <w:t>TBD</w:t>
            </w:r>
          </w:p>
        </w:tc>
        <w:tc>
          <w:tcPr>
            <w:tcW w:w="1080" w:type="dxa"/>
            <w:vAlign w:val="bottom"/>
            <w:shd w:val="clear" w:color="auto" w:fill="CCEEFF"/>
          </w:tcPr>
          <w:p>
            <w:pPr>
              <w:jc w:val="center"/>
              <w:ind w:left="123"/>
              <w:spacing w:after="0" w:line="116"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Based on the net change in distribution invested capital since its last base rate proceeding of approximately $2.2 billion for the</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period January 1, 2024 through December 31, 2025 for an incremental revenue increase of $108 million adjusted for load</w:t>
            </w:r>
          </w:p>
        </w:tc>
        <w:tc>
          <w:tcPr>
            <w:tcW w:w="0" w:type="dxa"/>
            <w:vAlign w:val="bottom"/>
          </w:tcPr>
          <w:p>
            <w:pPr>
              <w:spacing w:after="0"/>
              <w:rPr>
                <w:sz w:val="1"/>
                <w:szCs w:val="1"/>
                <w:color w:val="auto"/>
              </w:rPr>
            </w:pPr>
          </w:p>
        </w:tc>
      </w:tr>
      <w:tr>
        <w:trPr>
          <w:trHeight w:val="117"/>
        </w:trPr>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growth. In April 2026, a stipulation and settlement agreement was filed, reducing the revenue requirement by $6.2 million to</w:t>
            </w:r>
          </w:p>
        </w:tc>
        <w:tc>
          <w:tcPr>
            <w:tcW w:w="0" w:type="dxa"/>
            <w:vAlign w:val="bottom"/>
          </w:tcPr>
          <w:p>
            <w:pPr>
              <w:spacing w:after="0"/>
              <w:rPr>
                <w:sz w:val="1"/>
                <w:szCs w:val="1"/>
                <w:color w:val="auto"/>
              </w:rPr>
            </w:pPr>
          </w:p>
        </w:tc>
      </w:tr>
      <w:tr>
        <w:trPr>
          <w:trHeight w:val="113"/>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reflect deferral of $52.3 million in investment related to certain system resiliency plan measures. For future DCRFs in 2026,</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2027, and 2028, Houston Electric agreed to defer additional costs in proportion to the amount invested in certain resiliency</w:t>
            </w:r>
          </w:p>
        </w:tc>
        <w:tc>
          <w:tcPr>
            <w:tcW w:w="0" w:type="dxa"/>
            <w:vAlign w:val="bottom"/>
          </w:tcPr>
          <w:p>
            <w:pPr>
              <w:spacing w:after="0"/>
              <w:rPr>
                <w:sz w:val="1"/>
                <w:szCs w:val="1"/>
                <w:color w:val="auto"/>
              </w:rPr>
            </w:pPr>
          </w:p>
        </w:tc>
      </w:tr>
      <w:tr>
        <w:trPr>
          <w:trHeight w:val="117"/>
        </w:trPr>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measures as a percentage of the total estimated costs for those measures. This stipulation and settlement agreement is pending</w:t>
            </w:r>
          </w:p>
        </w:tc>
        <w:tc>
          <w:tcPr>
            <w:tcW w:w="0" w:type="dxa"/>
            <w:vAlign w:val="bottom"/>
          </w:tcPr>
          <w:p>
            <w:pPr>
              <w:spacing w:after="0"/>
              <w:rPr>
                <w:sz w:val="1"/>
                <w:szCs w:val="1"/>
                <w:color w:val="auto"/>
              </w:rPr>
            </w:pPr>
          </w:p>
        </w:tc>
      </w:tr>
      <w:tr>
        <w:trPr>
          <w:trHeight w:val="166"/>
        </w:trPr>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PUCT approval.</w:t>
            </w:r>
          </w:p>
        </w:tc>
        <w:tc>
          <w:tcPr>
            <w:tcW w:w="0" w:type="dxa"/>
            <w:vAlign w:val="bottom"/>
          </w:tcPr>
          <w:p>
            <w:pPr>
              <w:spacing w:after="0"/>
              <w:rPr>
                <w:sz w:val="1"/>
                <w:szCs w:val="1"/>
                <w:color w:val="auto"/>
              </w:rPr>
            </w:pPr>
          </w:p>
        </w:tc>
      </w:tr>
      <w:tr>
        <w:trPr>
          <w:trHeight w:val="106"/>
        </w:trPr>
        <w:tc>
          <w:tcPr>
            <w:tcW w:w="960" w:type="dxa"/>
            <w:vAlign w:val="bottom"/>
          </w:tcPr>
          <w:p>
            <w:pPr>
              <w:jc w:val="center"/>
              <w:ind w:left="23"/>
              <w:spacing w:after="0" w:line="106" w:lineRule="exact"/>
              <w:rPr>
                <w:sz w:val="20"/>
                <w:szCs w:val="20"/>
                <w:color w:val="auto"/>
              </w:rPr>
            </w:pPr>
            <w:r>
              <w:rPr>
                <w:rFonts w:ascii="Times New Roman" w:cs="Times New Roman" w:eastAsia="Times New Roman" w:hAnsi="Times New Roman"/>
                <w:sz w:val="11"/>
                <w:szCs w:val="11"/>
                <w:color w:val="auto"/>
                <w:w w:val="99"/>
              </w:rPr>
              <w:t>TCOS</w:t>
            </w:r>
          </w:p>
        </w:tc>
        <w:tc>
          <w:tcPr>
            <w:tcW w:w="300" w:type="dxa"/>
            <w:vAlign w:val="bottom"/>
          </w:tcPr>
          <w:p>
            <w:pPr>
              <w:jc w:val="right"/>
              <w:ind w:right="23"/>
              <w:spacing w:after="0" w:line="106"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103"/>
              <w:spacing w:after="0" w:line="106" w:lineRule="exact"/>
              <w:rPr>
                <w:sz w:val="20"/>
                <w:szCs w:val="20"/>
                <w:color w:val="auto"/>
              </w:rPr>
            </w:pPr>
            <w:r>
              <w:rPr>
                <w:rFonts w:ascii="Times New Roman" w:cs="Times New Roman" w:eastAsia="Times New Roman" w:hAnsi="Times New Roman"/>
                <w:sz w:val="11"/>
                <w:szCs w:val="11"/>
                <w:color w:val="auto"/>
              </w:rPr>
              <w:t>36</w:t>
            </w:r>
          </w:p>
        </w:tc>
        <w:tc>
          <w:tcPr>
            <w:tcW w:w="96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1"/>
                <w:szCs w:val="11"/>
                <w:color w:val="auto"/>
              </w:rPr>
              <w:t>February 2026</w:t>
            </w:r>
          </w:p>
        </w:tc>
        <w:tc>
          <w:tcPr>
            <w:tcW w:w="880" w:type="dxa"/>
            <w:vAlign w:val="bottom"/>
          </w:tcPr>
          <w:p>
            <w:pPr>
              <w:jc w:val="center"/>
              <w:ind w:left="103"/>
              <w:spacing w:after="0" w:line="106" w:lineRule="exact"/>
              <w:rPr>
                <w:sz w:val="20"/>
                <w:szCs w:val="20"/>
                <w:color w:val="auto"/>
              </w:rPr>
            </w:pPr>
            <w:r>
              <w:rPr>
                <w:rFonts w:ascii="Times New Roman" w:cs="Times New Roman" w:eastAsia="Times New Roman" w:hAnsi="Times New Roman"/>
                <w:sz w:val="11"/>
                <w:szCs w:val="11"/>
                <w:color w:val="auto"/>
                <w:w w:val="99"/>
              </w:rPr>
              <w:t>April 2026</w:t>
            </w:r>
          </w:p>
        </w:tc>
        <w:tc>
          <w:tcPr>
            <w:tcW w:w="1080" w:type="dxa"/>
            <w:vAlign w:val="bottom"/>
          </w:tcPr>
          <w:p>
            <w:pPr>
              <w:jc w:val="center"/>
              <w:ind w:left="123"/>
              <w:spacing w:after="0" w:line="106" w:lineRule="exact"/>
              <w:rPr>
                <w:sz w:val="20"/>
                <w:szCs w:val="20"/>
                <w:color w:val="auto"/>
              </w:rPr>
            </w:pPr>
            <w:r>
              <w:rPr>
                <w:rFonts w:ascii="Times New Roman" w:cs="Times New Roman" w:eastAsia="Times New Roman" w:hAnsi="Times New Roman"/>
                <w:sz w:val="11"/>
                <w:szCs w:val="11"/>
                <w:color w:val="auto"/>
              </w:rPr>
              <w:t>April 2026</w:t>
            </w:r>
          </w:p>
        </w:tc>
        <w:tc>
          <w:tcPr>
            <w:tcW w:w="588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Based on the net change in invested capital since its last TCOS proceeding of approximately $212 million for the period of</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July 1, 2025 through December 31, 2025, along with the inclusion of regulatory assets of approximately $10 million</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comprising certain system restoration operations and maintenance expenses and carrying costs associated with the May 2024</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Storm Events and Hurricane Beryl.</w:t>
            </w:r>
          </w:p>
        </w:tc>
        <w:tc>
          <w:tcPr>
            <w:tcW w:w="0" w:type="dxa"/>
            <w:vAlign w:val="bottom"/>
          </w:tcPr>
          <w:p>
            <w:pPr>
              <w:spacing w:after="0"/>
              <w:rPr>
                <w:sz w:val="1"/>
                <w:szCs w:val="1"/>
                <w:color w:val="auto"/>
              </w:rPr>
            </w:pPr>
          </w:p>
        </w:tc>
      </w:tr>
      <w:tr>
        <w:trPr>
          <w:trHeight w:val="163"/>
        </w:trPr>
        <w:tc>
          <w:tcPr>
            <w:tcW w:w="9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8800" w:type="dxa"/>
            <w:vAlign w:val="bottom"/>
            <w:tcBorders>
              <w:bottom w:val="single" w:sz="8" w:color="auto"/>
            </w:tcBorders>
            <w:gridSpan w:val="4"/>
            <w:shd w:val="clear" w:color="auto" w:fill="CCEEFF"/>
          </w:tcPr>
          <w:p>
            <w:pPr>
              <w:jc w:val="center"/>
              <w:ind w:right="2403"/>
              <w:spacing w:after="0"/>
              <w:rPr>
                <w:sz w:val="20"/>
                <w:szCs w:val="20"/>
                <w:color w:val="auto"/>
              </w:rPr>
            </w:pPr>
            <w:r>
              <w:rPr>
                <w:rFonts w:ascii="Times New Roman" w:cs="Times New Roman" w:eastAsia="Times New Roman" w:hAnsi="Times New Roman"/>
                <w:sz w:val="11"/>
                <w:szCs w:val="11"/>
                <w:b w:val="1"/>
                <w:bCs w:val="1"/>
                <w:color w:val="auto"/>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49"/>
        </w:trPr>
        <w:tc>
          <w:tcPr>
            <w:tcW w:w="960" w:type="dxa"/>
            <w:vAlign w:val="bottom"/>
          </w:tcPr>
          <w:p>
            <w:pPr>
              <w:jc w:val="center"/>
              <w:ind w:left="23"/>
              <w:spacing w:after="0"/>
              <w:rPr>
                <w:sz w:val="20"/>
                <w:szCs w:val="20"/>
                <w:color w:val="auto"/>
              </w:rPr>
            </w:pPr>
            <w:r>
              <w:rPr>
                <w:rFonts w:ascii="Times New Roman" w:cs="Times New Roman" w:eastAsia="Times New Roman" w:hAnsi="Times New Roman"/>
                <w:sz w:val="11"/>
                <w:szCs w:val="11"/>
                <w:color w:val="auto"/>
                <w:w w:val="95"/>
              </w:rPr>
              <w:t>GRIP</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62</w:t>
            </w:r>
          </w:p>
        </w:tc>
        <w:tc>
          <w:tcPr>
            <w:tcW w:w="96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February 2026</w:t>
            </w:r>
          </w:p>
        </w:tc>
        <w:tc>
          <w:tcPr>
            <w:tcW w:w="880" w:type="dxa"/>
            <w:vAlign w:val="bottom"/>
          </w:tcPr>
          <w:p>
            <w:pPr>
              <w:jc w:val="center"/>
              <w:ind w:left="103"/>
              <w:spacing w:after="0"/>
              <w:rPr>
                <w:sz w:val="20"/>
                <w:szCs w:val="20"/>
                <w:color w:val="auto"/>
              </w:rPr>
            </w:pPr>
            <w:r>
              <w:rPr>
                <w:rFonts w:ascii="Times New Roman" w:cs="Times New Roman" w:eastAsia="Times New Roman" w:hAnsi="Times New Roman"/>
                <w:sz w:val="11"/>
                <w:szCs w:val="11"/>
                <w:color w:val="auto"/>
              </w:rPr>
              <w:t>TBD</w:t>
            </w:r>
          </w:p>
        </w:tc>
        <w:tc>
          <w:tcPr>
            <w:tcW w:w="108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Based on net change in invested capital of $394 million.</w:t>
            </w:r>
          </w:p>
        </w:tc>
        <w:tc>
          <w:tcPr>
            <w:tcW w:w="0" w:type="dxa"/>
            <w:vAlign w:val="bottom"/>
          </w:tcPr>
          <w:p>
            <w:pPr>
              <w:spacing w:after="0"/>
              <w:rPr>
                <w:sz w:val="1"/>
                <w:szCs w:val="1"/>
                <w:color w:val="auto"/>
              </w:rPr>
            </w:pPr>
          </w:p>
        </w:tc>
      </w:tr>
      <w:tr>
        <w:trPr>
          <w:trHeight w:val="160"/>
        </w:trPr>
        <w:tc>
          <w:tcPr>
            <w:tcW w:w="9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6960" w:type="dxa"/>
            <w:vAlign w:val="bottom"/>
            <w:tcBorders>
              <w:bottom w:val="single" w:sz="8" w:color="auto"/>
            </w:tcBorders>
            <w:gridSpan w:val="2"/>
            <w:shd w:val="clear" w:color="auto" w:fill="CCEEFF"/>
          </w:tcPr>
          <w:p>
            <w:pPr>
              <w:jc w:val="center"/>
              <w:ind w:right="4243"/>
              <w:spacing w:after="0"/>
              <w:rPr>
                <w:sz w:val="20"/>
                <w:szCs w:val="20"/>
                <w:color w:val="auto"/>
              </w:rPr>
            </w:pPr>
            <w:r>
              <w:rPr>
                <w:rFonts w:ascii="Times New Roman" w:cs="Times New Roman" w:eastAsia="Times New Roman" w:hAnsi="Times New Roman"/>
                <w:sz w:val="11"/>
                <w:szCs w:val="11"/>
                <w:b w:val="1"/>
                <w:bCs w:val="1"/>
                <w:color w:val="auto"/>
              </w:rPr>
              <w:t>CenterPoint Energy - Indiana South - Electric (IURC)</w:t>
            </w:r>
          </w:p>
        </w:tc>
        <w:tc>
          <w:tcPr>
            <w:tcW w:w="0" w:type="dxa"/>
            <w:vAlign w:val="bottom"/>
          </w:tcPr>
          <w:p>
            <w:pPr>
              <w:spacing w:after="0"/>
              <w:rPr>
                <w:sz w:val="1"/>
                <w:szCs w:val="1"/>
                <w:color w:val="auto"/>
              </w:rPr>
            </w:pPr>
          </w:p>
        </w:tc>
      </w:tr>
      <w:tr>
        <w:trPr>
          <w:trHeight w:val="102"/>
        </w:trPr>
        <w:tc>
          <w:tcPr>
            <w:tcW w:w="960" w:type="dxa"/>
            <w:vAlign w:val="bottom"/>
          </w:tcPr>
          <w:p>
            <w:pPr>
              <w:jc w:val="center"/>
              <w:ind w:left="23"/>
              <w:spacing w:after="0" w:line="102" w:lineRule="exact"/>
              <w:rPr>
                <w:sz w:val="20"/>
                <w:szCs w:val="20"/>
                <w:color w:val="auto"/>
              </w:rPr>
            </w:pPr>
            <w:r>
              <w:rPr>
                <w:rFonts w:ascii="Times New Roman" w:cs="Times New Roman" w:eastAsia="Times New Roman" w:hAnsi="Times New Roman"/>
                <w:sz w:val="11"/>
                <w:szCs w:val="11"/>
                <w:color w:val="auto"/>
              </w:rPr>
              <w:t>TDSIC</w:t>
            </w:r>
          </w:p>
        </w:tc>
        <w:tc>
          <w:tcPr>
            <w:tcW w:w="300" w:type="dxa"/>
            <w:vAlign w:val="bottom"/>
          </w:tcPr>
          <w:p>
            <w:pPr>
              <w:jc w:val="right"/>
              <w:ind w:right="23"/>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103"/>
              <w:spacing w:after="0" w:line="102" w:lineRule="exact"/>
              <w:rPr>
                <w:sz w:val="20"/>
                <w:szCs w:val="20"/>
                <w:color w:val="auto"/>
              </w:rPr>
            </w:pPr>
            <w:r>
              <w:rPr>
                <w:rFonts w:ascii="Times New Roman" w:cs="Times New Roman" w:eastAsia="Times New Roman" w:hAnsi="Times New Roman"/>
                <w:sz w:val="11"/>
                <w:szCs w:val="11"/>
                <w:color w:val="auto"/>
              </w:rPr>
              <w:t>2</w:t>
            </w:r>
          </w:p>
        </w:tc>
        <w:tc>
          <w:tcPr>
            <w:tcW w:w="960" w:type="dxa"/>
            <w:vAlign w:val="bottom"/>
          </w:tcPr>
          <w:p>
            <w:pPr>
              <w:jc w:val="center"/>
              <w:ind w:right="3"/>
              <w:spacing w:after="0" w:line="102" w:lineRule="exact"/>
              <w:rPr>
                <w:sz w:val="20"/>
                <w:szCs w:val="20"/>
                <w:color w:val="auto"/>
              </w:rPr>
            </w:pPr>
            <w:r>
              <w:rPr>
                <w:rFonts w:ascii="Times New Roman" w:cs="Times New Roman" w:eastAsia="Times New Roman" w:hAnsi="Times New Roman"/>
                <w:sz w:val="11"/>
                <w:szCs w:val="11"/>
                <w:color w:val="auto"/>
              </w:rPr>
              <w:t>February 2026</w:t>
            </w:r>
          </w:p>
        </w:tc>
        <w:tc>
          <w:tcPr>
            <w:tcW w:w="880" w:type="dxa"/>
            <w:vAlign w:val="bottom"/>
          </w:tcPr>
          <w:p>
            <w:pPr>
              <w:jc w:val="center"/>
              <w:ind w:left="103"/>
              <w:spacing w:after="0" w:line="102" w:lineRule="exact"/>
              <w:rPr>
                <w:sz w:val="20"/>
                <w:szCs w:val="20"/>
                <w:color w:val="auto"/>
              </w:rPr>
            </w:pPr>
            <w:r>
              <w:rPr>
                <w:rFonts w:ascii="Times New Roman" w:cs="Times New Roman" w:eastAsia="Times New Roman" w:hAnsi="Times New Roman"/>
                <w:sz w:val="11"/>
                <w:szCs w:val="11"/>
                <w:color w:val="auto"/>
              </w:rPr>
              <w:t>TBD</w:t>
            </w:r>
          </w:p>
        </w:tc>
        <w:tc>
          <w:tcPr>
            <w:tcW w:w="1080" w:type="dxa"/>
            <w:vAlign w:val="bottom"/>
          </w:tcPr>
          <w:p>
            <w:pPr>
              <w:jc w:val="center"/>
              <w:ind w:left="123"/>
              <w:spacing w:after="0" w:line="102"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tcPr>
          <w:p>
            <w:pPr>
              <w:ind w:left="100"/>
              <w:spacing w:after="0" w:line="102" w:lineRule="exact"/>
              <w:rPr>
                <w:sz w:val="20"/>
                <w:szCs w:val="20"/>
                <w:color w:val="auto"/>
              </w:rPr>
            </w:pPr>
            <w:r>
              <w:rPr>
                <w:rFonts w:ascii="Times New Roman" w:cs="Times New Roman" w:eastAsia="Times New Roman" w:hAnsi="Times New Roman"/>
                <w:sz w:val="11"/>
                <w:szCs w:val="11"/>
                <w:color w:val="auto"/>
              </w:rPr>
              <w:t>Requested an increase of $19.5 million to rate base, which reflects an approximately $2.1 million increase in current revenues,</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of which 80% is included in the mechanism and 20% is deferred until the next rate case. The mechanism also includes a</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change in (over)/under recovery variance of $(1.8) million.</w:t>
            </w:r>
          </w:p>
        </w:tc>
        <w:tc>
          <w:tcPr>
            <w:tcW w:w="0" w:type="dxa"/>
            <w:vAlign w:val="bottom"/>
          </w:tcPr>
          <w:p>
            <w:pPr>
              <w:spacing w:after="0"/>
              <w:rPr>
                <w:sz w:val="1"/>
                <w:szCs w:val="1"/>
                <w:color w:val="auto"/>
              </w:rPr>
            </w:pPr>
          </w:p>
        </w:tc>
      </w:tr>
      <w:tr>
        <w:trPr>
          <w:trHeight w:val="163"/>
        </w:trPr>
        <w:tc>
          <w:tcPr>
            <w:tcW w:w="9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6960" w:type="dxa"/>
            <w:vAlign w:val="bottom"/>
            <w:tcBorders>
              <w:bottom w:val="single" w:sz="8" w:color="auto"/>
            </w:tcBorders>
            <w:gridSpan w:val="2"/>
            <w:shd w:val="clear" w:color="auto" w:fill="CCEEFF"/>
          </w:tcPr>
          <w:p>
            <w:pPr>
              <w:jc w:val="center"/>
              <w:ind w:right="4243"/>
              <w:spacing w:after="0"/>
              <w:rPr>
                <w:sz w:val="20"/>
                <w:szCs w:val="20"/>
                <w:color w:val="auto"/>
              </w:rPr>
            </w:pPr>
            <w:r>
              <w:rPr>
                <w:rFonts w:ascii="Times New Roman" w:cs="Times New Roman" w:eastAsia="Times New Roman" w:hAnsi="Times New Roman"/>
                <w:sz w:val="11"/>
                <w:szCs w:val="11"/>
                <w:b w:val="1"/>
                <w:bCs w:val="1"/>
                <w:color w:val="auto"/>
              </w:rPr>
              <w:t>CenterPoint Energy - Indiana South - Gas (IURC)</w:t>
            </w:r>
          </w:p>
        </w:tc>
        <w:tc>
          <w:tcPr>
            <w:tcW w:w="0" w:type="dxa"/>
            <w:vAlign w:val="bottom"/>
          </w:tcPr>
          <w:p>
            <w:pPr>
              <w:spacing w:after="0"/>
              <w:rPr>
                <w:sz w:val="1"/>
                <w:szCs w:val="1"/>
                <w:color w:val="auto"/>
              </w:rPr>
            </w:pPr>
          </w:p>
        </w:tc>
      </w:tr>
      <w:tr>
        <w:trPr>
          <w:trHeight w:val="102"/>
        </w:trPr>
        <w:tc>
          <w:tcPr>
            <w:tcW w:w="960" w:type="dxa"/>
            <w:vAlign w:val="bottom"/>
          </w:tcPr>
          <w:p>
            <w:pPr>
              <w:jc w:val="center"/>
              <w:ind w:left="23"/>
              <w:spacing w:after="0" w:line="102" w:lineRule="exact"/>
              <w:rPr>
                <w:sz w:val="20"/>
                <w:szCs w:val="20"/>
                <w:color w:val="auto"/>
              </w:rPr>
            </w:pPr>
            <w:r>
              <w:rPr>
                <w:rFonts w:ascii="Times New Roman" w:cs="Times New Roman" w:eastAsia="Times New Roman" w:hAnsi="Times New Roman"/>
                <w:sz w:val="11"/>
                <w:szCs w:val="11"/>
                <w:color w:val="auto"/>
                <w:w w:val="95"/>
              </w:rPr>
              <w:t>CSIA</w:t>
            </w:r>
          </w:p>
        </w:tc>
        <w:tc>
          <w:tcPr>
            <w:tcW w:w="300" w:type="dxa"/>
            <w:vAlign w:val="bottom"/>
          </w:tcPr>
          <w:p>
            <w:pPr>
              <w:jc w:val="right"/>
              <w:ind w:right="23"/>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103"/>
              <w:spacing w:after="0" w:line="102" w:lineRule="exact"/>
              <w:rPr>
                <w:sz w:val="20"/>
                <w:szCs w:val="20"/>
                <w:color w:val="auto"/>
              </w:rPr>
            </w:pPr>
            <w:r>
              <w:rPr>
                <w:rFonts w:ascii="Times New Roman" w:cs="Times New Roman" w:eastAsia="Times New Roman" w:hAnsi="Times New Roman"/>
                <w:sz w:val="11"/>
                <w:szCs w:val="11"/>
                <w:color w:val="auto"/>
              </w:rPr>
              <w:t>3</w:t>
            </w:r>
          </w:p>
        </w:tc>
        <w:tc>
          <w:tcPr>
            <w:tcW w:w="9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w w:val="99"/>
              </w:rPr>
              <w:t>April 2026</w:t>
            </w:r>
          </w:p>
        </w:tc>
        <w:tc>
          <w:tcPr>
            <w:tcW w:w="880" w:type="dxa"/>
            <w:vAlign w:val="bottom"/>
          </w:tcPr>
          <w:p>
            <w:pPr>
              <w:jc w:val="center"/>
              <w:ind w:left="103"/>
              <w:spacing w:after="0" w:line="102" w:lineRule="exact"/>
              <w:rPr>
                <w:sz w:val="20"/>
                <w:szCs w:val="20"/>
                <w:color w:val="auto"/>
              </w:rPr>
            </w:pPr>
            <w:r>
              <w:rPr>
                <w:rFonts w:ascii="Times New Roman" w:cs="Times New Roman" w:eastAsia="Times New Roman" w:hAnsi="Times New Roman"/>
                <w:sz w:val="11"/>
                <w:szCs w:val="11"/>
                <w:color w:val="auto"/>
              </w:rPr>
              <w:t>TBD</w:t>
            </w:r>
          </w:p>
        </w:tc>
        <w:tc>
          <w:tcPr>
            <w:tcW w:w="1080" w:type="dxa"/>
            <w:vAlign w:val="bottom"/>
          </w:tcPr>
          <w:p>
            <w:pPr>
              <w:jc w:val="center"/>
              <w:ind w:left="123"/>
              <w:spacing w:after="0" w:line="102"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tcPr>
          <w:p>
            <w:pPr>
              <w:ind w:left="100"/>
              <w:spacing w:after="0" w:line="102" w:lineRule="exact"/>
              <w:rPr>
                <w:sz w:val="20"/>
                <w:szCs w:val="20"/>
                <w:color w:val="auto"/>
              </w:rPr>
            </w:pPr>
            <w:r>
              <w:rPr>
                <w:rFonts w:ascii="Times New Roman" w:cs="Times New Roman" w:eastAsia="Times New Roman" w:hAnsi="Times New Roman"/>
                <w:sz w:val="11"/>
                <w:szCs w:val="11"/>
                <w:color w:val="auto"/>
              </w:rPr>
              <w:t>Requested an increase of $26.7million to rate base, which reflects an approximately $2.5 million increase in current revenues,</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of which 80% is included in the mechanism and 20% is deferred until the next rate case. The mechanism also includes a</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change in (over)/under recovery variance of $2.5 million. The OUCC is expected to file testimony on June 2, 2026. Indiana</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South’s rebuttal is due on June 16, 2026. An evidentiary hearing is expected to be scheduled during the week of June 29, 2026.</w:t>
            </w:r>
          </w:p>
        </w:tc>
        <w:tc>
          <w:tcPr>
            <w:tcW w:w="0" w:type="dxa"/>
            <w:vAlign w:val="bottom"/>
          </w:tcPr>
          <w:p>
            <w:pPr>
              <w:spacing w:after="0"/>
              <w:rPr>
                <w:sz w:val="1"/>
                <w:szCs w:val="1"/>
                <w:color w:val="auto"/>
              </w:rPr>
            </w:pPr>
          </w:p>
        </w:tc>
      </w:tr>
      <w:tr>
        <w:trPr>
          <w:trHeight w:val="163"/>
        </w:trPr>
        <w:tc>
          <w:tcPr>
            <w:tcW w:w="9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7840" w:type="dxa"/>
            <w:vAlign w:val="bottom"/>
            <w:tcBorders>
              <w:bottom w:val="single" w:sz="8" w:color="auto"/>
            </w:tcBorders>
            <w:gridSpan w:val="3"/>
            <w:shd w:val="clear" w:color="auto" w:fill="CCEEFF"/>
          </w:tcPr>
          <w:p>
            <w:pPr>
              <w:jc w:val="center"/>
              <w:ind w:right="3383"/>
              <w:spacing w:after="0"/>
              <w:rPr>
                <w:sz w:val="20"/>
                <w:szCs w:val="20"/>
                <w:color w:val="auto"/>
              </w:rPr>
            </w:pPr>
            <w:r>
              <w:rPr>
                <w:rFonts w:ascii="Times New Roman" w:cs="Times New Roman" w:eastAsia="Times New Roman" w:hAnsi="Times New Roman"/>
                <w:sz w:val="11"/>
                <w:szCs w:val="11"/>
                <w:b w:val="1"/>
                <w:bCs w:val="1"/>
                <w:color w:val="auto"/>
              </w:rPr>
              <w:t>CenterPoint Energy and CERC - Indiana North - Gas (IURC)</w:t>
            </w:r>
          </w:p>
        </w:tc>
        <w:tc>
          <w:tcPr>
            <w:tcW w:w="0" w:type="dxa"/>
            <w:vAlign w:val="bottom"/>
          </w:tcPr>
          <w:p>
            <w:pPr>
              <w:spacing w:after="0"/>
              <w:rPr>
                <w:sz w:val="1"/>
                <w:szCs w:val="1"/>
                <w:color w:val="auto"/>
              </w:rPr>
            </w:pPr>
          </w:p>
        </w:tc>
      </w:tr>
      <w:tr>
        <w:trPr>
          <w:trHeight w:val="102"/>
        </w:trPr>
        <w:tc>
          <w:tcPr>
            <w:tcW w:w="960" w:type="dxa"/>
            <w:vAlign w:val="bottom"/>
          </w:tcPr>
          <w:p>
            <w:pPr>
              <w:jc w:val="center"/>
              <w:ind w:left="23"/>
              <w:spacing w:after="0" w:line="102" w:lineRule="exact"/>
              <w:rPr>
                <w:sz w:val="20"/>
                <w:szCs w:val="20"/>
                <w:color w:val="auto"/>
              </w:rPr>
            </w:pPr>
            <w:r>
              <w:rPr>
                <w:rFonts w:ascii="Times New Roman" w:cs="Times New Roman" w:eastAsia="Times New Roman" w:hAnsi="Times New Roman"/>
                <w:sz w:val="11"/>
                <w:szCs w:val="11"/>
                <w:color w:val="auto"/>
                <w:w w:val="95"/>
              </w:rPr>
              <w:t>CSIA</w:t>
            </w:r>
          </w:p>
        </w:tc>
        <w:tc>
          <w:tcPr>
            <w:tcW w:w="300" w:type="dxa"/>
            <w:vAlign w:val="bottom"/>
          </w:tcPr>
          <w:p>
            <w:pPr>
              <w:jc w:val="right"/>
              <w:ind w:right="23"/>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103"/>
              <w:spacing w:after="0" w:line="102" w:lineRule="exact"/>
              <w:rPr>
                <w:sz w:val="20"/>
                <w:szCs w:val="20"/>
                <w:color w:val="auto"/>
              </w:rPr>
            </w:pPr>
            <w:r>
              <w:rPr>
                <w:rFonts w:ascii="Times New Roman" w:cs="Times New Roman" w:eastAsia="Times New Roman" w:hAnsi="Times New Roman"/>
                <w:sz w:val="11"/>
                <w:szCs w:val="11"/>
                <w:color w:val="auto"/>
              </w:rPr>
              <w:t>14</w:t>
            </w:r>
          </w:p>
        </w:tc>
        <w:tc>
          <w:tcPr>
            <w:tcW w:w="9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w w:val="99"/>
              </w:rPr>
              <w:t>April 2026</w:t>
            </w:r>
          </w:p>
        </w:tc>
        <w:tc>
          <w:tcPr>
            <w:tcW w:w="880" w:type="dxa"/>
            <w:vAlign w:val="bottom"/>
          </w:tcPr>
          <w:p>
            <w:pPr>
              <w:jc w:val="center"/>
              <w:ind w:left="103"/>
              <w:spacing w:after="0" w:line="102" w:lineRule="exact"/>
              <w:rPr>
                <w:sz w:val="20"/>
                <w:szCs w:val="20"/>
                <w:color w:val="auto"/>
              </w:rPr>
            </w:pPr>
            <w:r>
              <w:rPr>
                <w:rFonts w:ascii="Times New Roman" w:cs="Times New Roman" w:eastAsia="Times New Roman" w:hAnsi="Times New Roman"/>
                <w:sz w:val="11"/>
                <w:szCs w:val="11"/>
                <w:color w:val="auto"/>
              </w:rPr>
              <w:t>TBD</w:t>
            </w:r>
          </w:p>
        </w:tc>
        <w:tc>
          <w:tcPr>
            <w:tcW w:w="1080" w:type="dxa"/>
            <w:vAlign w:val="bottom"/>
          </w:tcPr>
          <w:p>
            <w:pPr>
              <w:jc w:val="center"/>
              <w:ind w:left="123"/>
              <w:spacing w:after="0" w:line="102"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tcPr>
          <w:p>
            <w:pPr>
              <w:ind w:left="100"/>
              <w:spacing w:after="0" w:line="102" w:lineRule="exact"/>
              <w:rPr>
                <w:sz w:val="20"/>
                <w:szCs w:val="20"/>
                <w:color w:val="auto"/>
              </w:rPr>
            </w:pPr>
            <w:r>
              <w:rPr>
                <w:rFonts w:ascii="Times New Roman" w:cs="Times New Roman" w:eastAsia="Times New Roman" w:hAnsi="Times New Roman"/>
                <w:sz w:val="11"/>
                <w:szCs w:val="11"/>
                <w:color w:val="auto"/>
              </w:rPr>
              <w:t>Requested an increase of $121.9 million to rate base, which reflects an approximately $14.4 million annual increase in current</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includes a change in (over)/under recovery variance of $9.2 million. The OUCC is expected to file testimony on June 2, 2026.</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Indiana North’s rebuttal is due on June 16, 2026. The evidentiary hearing is expected to be scheduled during the week of June</w:t>
            </w: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29, 2026.</w:t>
            </w:r>
          </w:p>
        </w:tc>
        <w:tc>
          <w:tcPr>
            <w:tcW w:w="0" w:type="dxa"/>
            <w:vAlign w:val="bottom"/>
          </w:tcPr>
          <w:p>
            <w:pPr>
              <w:spacing w:after="0"/>
              <w:rPr>
                <w:sz w:val="1"/>
                <w:szCs w:val="1"/>
                <w:color w:val="auto"/>
              </w:rPr>
            </w:pPr>
          </w:p>
        </w:tc>
      </w:tr>
      <w:tr>
        <w:trPr>
          <w:trHeight w:val="160"/>
        </w:trPr>
        <w:tc>
          <w:tcPr>
            <w:tcW w:w="9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6960" w:type="dxa"/>
            <w:vAlign w:val="bottom"/>
            <w:tcBorders>
              <w:bottom w:val="single" w:sz="8" w:color="auto"/>
            </w:tcBorders>
            <w:gridSpan w:val="2"/>
            <w:shd w:val="clear" w:color="auto" w:fill="CCEEFF"/>
          </w:tcPr>
          <w:p>
            <w:pPr>
              <w:jc w:val="center"/>
              <w:ind w:right="4263"/>
              <w:spacing w:after="0"/>
              <w:rPr>
                <w:sz w:val="20"/>
                <w:szCs w:val="20"/>
                <w:color w:val="auto"/>
              </w:rPr>
            </w:pPr>
            <w:r>
              <w:rPr>
                <w:rFonts w:ascii="Times New Roman" w:cs="Times New Roman" w:eastAsia="Times New Roman" w:hAnsi="Times New Roman"/>
                <w:sz w:val="11"/>
                <w:szCs w:val="11"/>
                <w:b w:val="1"/>
                <w:bCs w:val="1"/>
                <w:color w:val="auto"/>
              </w:rPr>
              <w:t>CenterPoint Energy and CERC - Ohio - Gas (PUCO)</w:t>
            </w:r>
          </w:p>
        </w:tc>
        <w:tc>
          <w:tcPr>
            <w:tcW w:w="0" w:type="dxa"/>
            <w:vAlign w:val="bottom"/>
          </w:tcPr>
          <w:p>
            <w:pPr>
              <w:spacing w:after="0"/>
              <w:rPr>
                <w:sz w:val="1"/>
                <w:szCs w:val="1"/>
                <w:color w:val="auto"/>
              </w:rPr>
            </w:pPr>
          </w:p>
        </w:tc>
      </w:tr>
      <w:tr>
        <w:trPr>
          <w:trHeight w:val="102"/>
        </w:trPr>
        <w:tc>
          <w:tcPr>
            <w:tcW w:w="960" w:type="dxa"/>
            <w:vAlign w:val="bottom"/>
          </w:tcPr>
          <w:p>
            <w:pPr>
              <w:jc w:val="center"/>
              <w:ind w:left="23"/>
              <w:spacing w:after="0" w:line="102" w:lineRule="exact"/>
              <w:rPr>
                <w:sz w:val="20"/>
                <w:szCs w:val="20"/>
                <w:color w:val="auto"/>
              </w:rPr>
            </w:pPr>
            <w:r>
              <w:rPr>
                <w:rFonts w:ascii="Times New Roman" w:cs="Times New Roman" w:eastAsia="Times New Roman" w:hAnsi="Times New Roman"/>
                <w:sz w:val="11"/>
                <w:szCs w:val="11"/>
                <w:color w:val="auto"/>
                <w:w w:val="98"/>
              </w:rPr>
              <w:t>CEP</w:t>
            </w:r>
          </w:p>
        </w:tc>
        <w:tc>
          <w:tcPr>
            <w:tcW w:w="300" w:type="dxa"/>
            <w:vAlign w:val="bottom"/>
          </w:tcPr>
          <w:p>
            <w:pPr>
              <w:jc w:val="right"/>
              <w:ind w:right="23"/>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103"/>
              <w:spacing w:after="0" w:line="102" w:lineRule="exact"/>
              <w:rPr>
                <w:sz w:val="20"/>
                <w:szCs w:val="20"/>
                <w:color w:val="auto"/>
              </w:rPr>
            </w:pPr>
            <w:r>
              <w:rPr>
                <w:rFonts w:ascii="Times New Roman" w:cs="Times New Roman" w:eastAsia="Times New Roman" w:hAnsi="Times New Roman"/>
                <w:sz w:val="11"/>
                <w:szCs w:val="11"/>
                <w:color w:val="auto"/>
              </w:rPr>
              <w:t>12</w:t>
            </w:r>
          </w:p>
        </w:tc>
        <w:tc>
          <w:tcPr>
            <w:tcW w:w="9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rPr>
              <w:t>March 2026</w:t>
            </w:r>
          </w:p>
        </w:tc>
        <w:tc>
          <w:tcPr>
            <w:tcW w:w="880" w:type="dxa"/>
            <w:vAlign w:val="bottom"/>
          </w:tcPr>
          <w:p>
            <w:pPr>
              <w:jc w:val="center"/>
              <w:ind w:left="103"/>
              <w:spacing w:after="0" w:line="102" w:lineRule="exact"/>
              <w:rPr>
                <w:sz w:val="20"/>
                <w:szCs w:val="20"/>
                <w:color w:val="auto"/>
              </w:rPr>
            </w:pPr>
            <w:r>
              <w:rPr>
                <w:rFonts w:ascii="Times New Roman" w:cs="Times New Roman" w:eastAsia="Times New Roman" w:hAnsi="Times New Roman"/>
                <w:sz w:val="11"/>
                <w:szCs w:val="11"/>
                <w:color w:val="auto"/>
              </w:rPr>
              <w:t>TBD</w:t>
            </w:r>
          </w:p>
        </w:tc>
        <w:tc>
          <w:tcPr>
            <w:tcW w:w="1080" w:type="dxa"/>
            <w:vAlign w:val="bottom"/>
          </w:tcPr>
          <w:p>
            <w:pPr>
              <w:jc w:val="center"/>
              <w:ind w:left="123"/>
              <w:spacing w:after="0" w:line="102"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tcPr>
          <w:p>
            <w:pPr>
              <w:ind w:left="100"/>
              <w:spacing w:after="0" w:line="102" w:lineRule="exact"/>
              <w:rPr>
                <w:sz w:val="20"/>
                <w:szCs w:val="20"/>
                <w:color w:val="auto"/>
              </w:rPr>
            </w:pPr>
            <w:r>
              <w:rPr>
                <w:rFonts w:ascii="Times New Roman" w:cs="Times New Roman" w:eastAsia="Times New Roman" w:hAnsi="Times New Roman"/>
                <w:sz w:val="11"/>
                <w:szCs w:val="11"/>
                <w:color w:val="auto"/>
              </w:rPr>
              <w:t>Requested an increase of $98 million to rate base for investments made in 2025, which reflects an $11.7 million annual</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increase in current revenues. A change in (over)/under-recovery variance of $(0.9) million is also included in rates. PUCO</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selected Blue Ridge Auditing Services, LLC to conduct the audit. An audit report (unredacted) is expected to be filed under</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seal by PUCO staff on June 30, 2026. CEOH plans to file any proposed redactions to the final audit report by July 7, 2026. The</w:t>
            </w: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final audit report is expected to be filed with any necessary redactions by PUCO staff on July 8,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Represents proposed increases (decreases) when effective date and/or approval date is not yet determined. Approved rates could differ materially from proposed rates.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GHG Emissions and Climate-Related Regulation and Compliance (CenterPoint Energy)</w:t>
      </w:r>
    </w:p>
    <w:p>
      <w:pPr>
        <w:spacing w:after="0" w:line="20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The issue of climate change has received focus at the state, federal and international level, and there are trends and uncertainties relating to GHG emissions and climate-related regulations and compliance that affect the Registrants. On February 18, 2026, the US EPA rescinded the 2009 endangerment finding in relation to GHG standards for mobile sources. Uncertainties remain as to the effect of the rescission on the GHG standards for fossil fuel-fired power plants, which are similarly being challenged on judicial review, and the effects of the rescission on preemption of state law. Compliance costs and other effects associated with climate change, reductions in GHG emissions and obtaining renewable energy sources remain uncertain; nevertheless, any new regulation or legislation relating to climate change will likely result in an increase in compliance costs. CenterPoint Energy will continue to monitor regulatory activity regarding GHG emission standards that may affect its business. Currently, CenterPoint Energy does not purchase carbon credits. In connection with its energy transition goals, CenterPoint Energy is expected to purchase carbon credits in the future; however, CenterPoint Energy does not currently expect the number of credits, or cost for those credits, to be material.</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Climate Risk Trends and Uncertainties</w:t>
      </w:r>
    </w:p>
    <w:p>
      <w:pPr>
        <w:spacing w:after="0" w:line="202"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There are climate risk trends and uncertainties that affect the Registrants. Changes in the U.S. presidential administration and significant expected increases in electric demand, as announced by organizations such as ERCOT and MISO, have shifted the energy landscape in the United States. This shift in federal domestic energy policy has resulted in uncertainty with respect to the scope and speed of future renewable generation infrastructure development and the role that existing renewable generation will play in support of the U.S. energy grid. The long-term impacts of this domestic energy policy shift are also uncertain, including with respect to impacts on the development of, and consequently the availability of, alternative energy sources (such as solar energy, including private solar, wind energy, microturbines, fuel cells, energy-efficient buildings and energy storage devices). Additionally, it is unclear whether, and if so how, the new domestic energy policy, including the potential suspension, revision or rescission of regulations restricting emissions (including methane emissions), and the repeal of the Endangerment Finding, will affect consumers’ and companies’ energy use, adoption of alternative energy sources or decisions to expand their facilities, including natural gas facilities.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202"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9 to the Interim Condensed Financial Statements.</w:t>
      </w:r>
    </w:p>
    <w:p>
      <w:pPr>
        <w:spacing w:after="0" w:line="157" w:lineRule="exact"/>
        <w:rPr>
          <w:sz w:val="20"/>
          <w:szCs w:val="20"/>
          <w:color w:val="auto"/>
        </w:rPr>
      </w:pPr>
    </w:p>
    <w:p>
      <w:pPr>
        <w:ind w:right="80" w:firstLine="255"/>
        <w:spacing w:after="0" w:line="278" w:lineRule="auto"/>
        <w:rPr>
          <w:sz w:val="20"/>
          <w:szCs w:val="20"/>
          <w:color w:val="auto"/>
        </w:rPr>
      </w:pPr>
      <w:r>
        <w:rPr>
          <w:rFonts w:ascii="Times New Roman" w:cs="Times New Roman" w:eastAsia="Times New Roman" w:hAnsi="Times New Roman"/>
          <w:sz w:val="14"/>
          <w:szCs w:val="14"/>
          <w:color w:val="auto"/>
        </w:rPr>
        <w:t>Based on the consolidated debt to capitalization covenant in the Registrants’ revolving credit facilities, the Registrants would have been permitted to utilize the full capacity of such revolving credit facilities, which aggregated approximately $4.0 billion as of March 31, 2026. As of April 15, 2026, the Registrants had the following revolving credit facilities and utilization of such facilities:</w:t>
      </w:r>
    </w:p>
    <w:tbl>
      <w:tblPr>
        <w:tblLayout w:type="fixed"/>
        <w:tblInd w:w="0" w:type="dxa"/>
        <w:tblCellMar>
          <w:top w:w="0" w:type="dxa"/>
          <w:left w:w="0" w:type="dxa"/>
          <w:bottom w:w="0" w:type="dxa"/>
          <w:right w:w="0" w:type="dxa"/>
        </w:tblCellMar>
      </w:tblPr>
      <w:tr>
        <w:trPr>
          <w:trHeight w:val="167"/>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ind w:left="640"/>
              <w:spacing w:after="0"/>
              <w:rPr>
                <w:sz w:val="20"/>
                <w:szCs w:val="20"/>
                <w:color w:val="auto"/>
              </w:rPr>
            </w:pPr>
            <w:r>
              <w:rPr>
                <w:rFonts w:ascii="Times New Roman" w:cs="Times New Roman" w:eastAsia="Times New Roman" w:hAnsi="Times New Roman"/>
                <w:sz w:val="13"/>
                <w:szCs w:val="13"/>
                <w:b w:val="1"/>
                <w:bCs w:val="1"/>
                <w:color w:val="auto"/>
              </w:rPr>
              <w:t>Amount Utilized as of April 15, 2026</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Size of Facility</w:t>
            </w:r>
          </w:p>
        </w:tc>
        <w:tc>
          <w:tcPr>
            <w:tcW w:w="260" w:type="dxa"/>
            <w:vAlign w:val="bottom"/>
          </w:tcPr>
          <w:p>
            <w:pPr>
              <w:spacing w:after="0"/>
              <w:rPr>
                <w:sz w:val="9"/>
                <w:szCs w:val="9"/>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0" w:type="dxa"/>
            <w:vAlign w:val="bottom"/>
          </w:tcPr>
          <w:p>
            <w:pPr>
              <w:spacing w:after="0"/>
              <w:rPr>
                <w:sz w:val="9"/>
                <w:szCs w:val="9"/>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Letters of Credit</w:t>
            </w:r>
          </w:p>
        </w:tc>
        <w:tc>
          <w:tcPr>
            <w:tcW w:w="80" w:type="dxa"/>
            <w:vAlign w:val="bottom"/>
          </w:tcPr>
          <w:p>
            <w:pPr>
              <w:spacing w:after="0"/>
              <w:rPr>
                <w:sz w:val="9"/>
                <w:szCs w:val="9"/>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Paper</w:t>
            </w:r>
          </w:p>
        </w:tc>
        <w:tc>
          <w:tcPr>
            <w:tcW w:w="100" w:type="dxa"/>
            <w:vAlign w:val="bottom"/>
          </w:tcPr>
          <w:p>
            <w:pPr>
              <w:spacing w:after="0"/>
              <w:rPr>
                <w:sz w:val="9"/>
                <w:szCs w:val="9"/>
                <w:color w:val="auto"/>
              </w:rPr>
            </w:pPr>
          </w:p>
        </w:tc>
        <w:tc>
          <w:tcPr>
            <w:tcW w:w="1340" w:type="dxa"/>
            <w:vAlign w:val="bottom"/>
            <w:gridSpan w:val="2"/>
          </w:tcPr>
          <w:p>
            <w:pPr>
              <w:jc w:val="center"/>
              <w:ind w:right="80"/>
              <w:spacing w:after="0" w:line="112" w:lineRule="exact"/>
              <w:rPr>
                <w:sz w:val="20"/>
                <w:szCs w:val="20"/>
                <w:color w:val="auto"/>
              </w:rPr>
            </w:pPr>
            <w:r>
              <w:rPr>
                <w:rFonts w:ascii="Times New Roman" w:cs="Times New Roman" w:eastAsia="Times New Roman" w:hAnsi="Times New Roman"/>
                <w:sz w:val="12"/>
                <w:szCs w:val="12"/>
                <w:b w:val="1"/>
                <w:bCs w:val="1"/>
                <w:color w:val="auto"/>
              </w:rPr>
              <w:t>Weighted Average</w:t>
            </w:r>
          </w:p>
        </w:tc>
        <w:tc>
          <w:tcPr>
            <w:tcW w:w="2000" w:type="dxa"/>
            <w:vAlign w:val="bottom"/>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0" w:type="dxa"/>
            <w:vAlign w:val="bottom"/>
          </w:tcPr>
          <w:p>
            <w:pPr>
              <w:spacing w:after="0"/>
              <w:rPr>
                <w:sz w:val="1"/>
                <w:szCs w:val="1"/>
                <w:color w:val="auto"/>
              </w:rPr>
            </w:pPr>
          </w:p>
        </w:tc>
      </w:tr>
      <w:tr>
        <w:trPr>
          <w:trHeight w:val="169"/>
        </w:trPr>
        <w:tc>
          <w:tcPr>
            <w:tcW w:w="2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5"/>
          </w:tcPr>
          <w:p>
            <w:pPr>
              <w:ind w:left="7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2"/>
              </w:rPr>
              <w:t>—%</w:t>
            </w:r>
          </w:p>
        </w:tc>
        <w:tc>
          <w:tcPr>
            <w:tcW w:w="2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(1)</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2"/>
              </w:rPr>
              <w:t>—%</w:t>
            </w:r>
          </w:p>
        </w:tc>
        <w:tc>
          <w:tcPr>
            <w:tcW w:w="20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72"/>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2"/>
              </w:rPr>
              <w:t>—%</w:t>
            </w:r>
          </w:p>
        </w:tc>
        <w:tc>
          <w:tcPr>
            <w:tcW w:w="2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2"/>
              </w:rPr>
              <w:t>—%</w:t>
            </w:r>
          </w:p>
        </w:tc>
        <w:tc>
          <w:tcPr>
            <w:tcW w:w="20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88"/>
        </w:trPr>
        <w:tc>
          <w:tcPr>
            <w:tcW w:w="27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This credit facility was issued by SIGECO.</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and SIGECO are currently in compliance with the various business and financial covenants in the four revolving credit facilities.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Debt Transactions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detailed information about the Registrants’ debt transactions to date in 2026, see Note 9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Securities Registered with the SEC</w:t>
      </w:r>
    </w:p>
    <w:p>
      <w:pPr>
        <w:spacing w:after="0" w:line="202"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On May 17, 2023,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17, 2026. For information related to the Registrants’ issuances of securities to date in 2026, see Note 9 to the Interim Condensed Financial Statements.</w:t>
      </w:r>
    </w:p>
    <w:p>
      <w:pPr>
        <w:spacing w:after="0" w:line="162"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For information related to shares of Common Stock sold pursuant to the forward sale agreements and the Equity Distribution Agreement in 2025, see Note 15 to the Interim Condensed Financial Statements. No shares of Common Stock were sold or issued pursuant to a forward sale agreement or the Equity Distribution Agreement during the three months ended March 31, 2026.</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Money Pool</w:t>
      </w:r>
    </w:p>
    <w:p>
      <w:pPr>
        <w:spacing w:after="0" w:line="202" w:lineRule="exact"/>
        <w:rPr>
          <w:sz w:val="20"/>
          <w:szCs w:val="20"/>
          <w:color w:val="auto"/>
        </w:rPr>
      </w:pPr>
    </w:p>
    <w:p>
      <w:pPr>
        <w:ind w:right="60" w:firstLine="255"/>
        <w:spacing w:after="0" w:line="260" w:lineRule="auto"/>
        <w:rPr>
          <w:sz w:val="20"/>
          <w:szCs w:val="20"/>
          <w:color w:val="auto"/>
        </w:rPr>
      </w:pPr>
      <w:r>
        <w:rPr>
          <w:rFonts w:ascii="Times New Roman" w:cs="Times New Roman" w:eastAsia="Times New Roman" w:hAnsi="Times New Roman"/>
          <w:sz w:val="14"/>
          <w:szCs w:val="14"/>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w:t>
      </w:r>
    </w:p>
    <w:p>
      <w:pPr>
        <w:ind w:right="4420"/>
        <w:spacing w:after="0" w:line="266" w:lineRule="auto"/>
        <w:rPr>
          <w:sz w:val="20"/>
          <w:szCs w:val="20"/>
          <w:color w:val="auto"/>
        </w:rPr>
      </w:pPr>
      <w:r>
        <w:rPr>
          <w:rFonts w:ascii="Times New Roman" w:cs="Times New Roman" w:eastAsia="Times New Roman" w:hAnsi="Times New Roman"/>
          <w:sz w:val="14"/>
          <w:szCs w:val="14"/>
          <w:color w:val="auto"/>
        </w:rPr>
        <w:t>CERC money pool are expected to be met with borrowings under CERC’s revolving credit facility or the sale of CERC’s commercial paper.</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CenterPoint Energy money pool activity by Registrant as of April 15, 2026:</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Weighted Average Interest Rate</w:t>
            </w:r>
          </w:p>
        </w:tc>
        <w:tc>
          <w:tcPr>
            <w:tcW w:w="260" w:type="dxa"/>
            <w:vAlign w:val="bottom"/>
          </w:tcPr>
          <w:p>
            <w:pPr>
              <w:spacing w:after="0"/>
              <w:rPr>
                <w:sz w:val="14"/>
                <w:szCs w:val="14"/>
                <w:color w:val="auto"/>
              </w:rPr>
            </w:pPr>
          </w:p>
        </w:tc>
        <w:tc>
          <w:tcPr>
            <w:tcW w:w="154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560" w:type="dxa"/>
            <w:vAlign w:val="bottom"/>
          </w:tcPr>
          <w:p>
            <w:pPr>
              <w:spacing w:after="0"/>
              <w:rPr>
                <w:sz w:val="14"/>
                <w:szCs w:val="14"/>
                <w:color w:val="auto"/>
              </w:rPr>
            </w:pPr>
          </w:p>
        </w:tc>
        <w:tc>
          <w:tcPr>
            <w:tcW w:w="126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1"/>
        </w:trPr>
        <w:tc>
          <w:tcPr>
            <w:tcW w:w="558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60" w:type="dxa"/>
            <w:vAlign w:val="bottom"/>
            <w:tcBorders>
              <w:top w:val="single" w:sz="8" w:color="auto"/>
            </w:tcBorders>
          </w:tcPr>
          <w:p>
            <w:pPr>
              <w:spacing w:after="0"/>
              <w:rPr>
                <w:sz w:val="14"/>
                <w:szCs w:val="14"/>
                <w:color w:val="auto"/>
              </w:rPr>
            </w:pPr>
          </w:p>
        </w:tc>
      </w:tr>
      <w:tr>
        <w:trPr>
          <w:trHeight w:val="17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pool investments (borrowings)</w:t>
            </w:r>
          </w:p>
        </w:tc>
        <w:tc>
          <w:tcPr>
            <w:tcW w:w="17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rPr>
              <w:t>3.74%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604</w:t>
            </w:r>
          </w:p>
        </w:tc>
        <w:tc>
          <w:tcPr>
            <w:tcW w:w="56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r>
    </w:tbl>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Impact on Liquidity of a Downgrade in Credit Ratings</w:t>
      </w:r>
    </w:p>
    <w:p>
      <w:pPr>
        <w:spacing w:after="0" w:line="202"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The interest rate on borrowings under the credit facilities is based on the respective credit rating of each borrower. As of April 15, 2026, Moody’s, S&amp;P and Fitch had assigned the following credit ratings to the borrowers: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Moody’s</w:t>
            </w:r>
          </w:p>
        </w:tc>
        <w:tc>
          <w:tcPr>
            <w:tcW w:w="740" w:type="dxa"/>
            <w:vAlign w:val="bottom"/>
          </w:tcPr>
          <w:p>
            <w:pPr>
              <w:spacing w:after="0"/>
              <w:rPr>
                <w:sz w:val="13"/>
                <w:szCs w:val="13"/>
                <w:color w:val="auto"/>
              </w:rPr>
            </w:pP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S&amp;P</w:t>
            </w:r>
          </w:p>
        </w:tc>
        <w:tc>
          <w:tcPr>
            <w:tcW w:w="720" w:type="dxa"/>
            <w:vAlign w:val="bottom"/>
          </w:tcPr>
          <w:p>
            <w:pPr>
              <w:spacing w:after="0"/>
              <w:rPr>
                <w:sz w:val="13"/>
                <w:szCs w:val="13"/>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Fitch</w:t>
            </w:r>
          </w:p>
        </w:tc>
      </w:tr>
      <w:tr>
        <w:trPr>
          <w:trHeight w:val="154"/>
        </w:trPr>
        <w:tc>
          <w:tcPr>
            <w:tcW w:w="1800" w:type="dxa"/>
            <w:vAlign w:val="bottom"/>
            <w:gridSpan w:val="2"/>
          </w:tcPr>
          <w:p>
            <w:pPr>
              <w:ind w:left="600"/>
              <w:spacing w:after="0"/>
              <w:rPr>
                <w:sz w:val="20"/>
                <w:szCs w:val="20"/>
                <w:color w:val="auto"/>
              </w:rPr>
            </w:pPr>
            <w:r>
              <w:rPr>
                <w:rFonts w:ascii="Times New Roman" w:cs="Times New Roman" w:eastAsia="Times New Roman" w:hAnsi="Times New Roman"/>
                <w:sz w:val="11"/>
                <w:szCs w:val="11"/>
                <w:b w:val="1"/>
                <w:bCs w:val="1"/>
                <w:color w:val="auto"/>
              </w:rPr>
              <w:t>Registrant</w:t>
            </w:r>
          </w:p>
        </w:tc>
        <w:tc>
          <w:tcPr>
            <w:tcW w:w="3440" w:type="dxa"/>
            <w:vAlign w:val="bottom"/>
            <w:gridSpan w:val="2"/>
          </w:tcPr>
          <w:p>
            <w:pPr>
              <w:ind w:left="1140"/>
              <w:spacing w:after="0"/>
              <w:rPr>
                <w:sz w:val="20"/>
                <w:szCs w:val="20"/>
                <w:color w:val="auto"/>
              </w:rPr>
            </w:pPr>
            <w:r>
              <w:rPr>
                <w:rFonts w:ascii="Times New Roman" w:cs="Times New Roman" w:eastAsia="Times New Roman" w:hAnsi="Times New Roman"/>
                <w:sz w:val="11"/>
                <w:szCs w:val="11"/>
                <w:b w:val="1"/>
                <w:bCs w:val="1"/>
                <w:color w:val="auto"/>
              </w:rPr>
              <w:t>Borrower/Instrument</w:t>
            </w:r>
          </w:p>
        </w:tc>
        <w:tc>
          <w:tcPr>
            <w:tcW w:w="680" w:type="dxa"/>
            <w:vAlign w:val="bottom"/>
            <w:tcBorders>
              <w:top w:val="single" w:sz="8" w:color="auto"/>
            </w:tcBorders>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Outlook (1)</w:t>
            </w:r>
          </w:p>
        </w:tc>
        <w:tc>
          <w:tcPr>
            <w:tcW w:w="100" w:type="dxa"/>
            <w:vAlign w:val="bottom"/>
          </w:tcPr>
          <w:p>
            <w:pPr>
              <w:spacing w:after="0"/>
              <w:rPr>
                <w:sz w:val="13"/>
                <w:szCs w:val="13"/>
                <w:color w:val="auto"/>
              </w:rPr>
            </w:pPr>
          </w:p>
        </w:tc>
        <w:tc>
          <w:tcPr>
            <w:tcW w:w="740" w:type="dxa"/>
            <w:vAlign w:val="bottom"/>
            <w:tcBorders>
              <w:top w:val="single" w:sz="8" w:color="auto"/>
            </w:tcBorders>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Outlook (2)</w:t>
            </w:r>
          </w:p>
        </w:tc>
        <w:tc>
          <w:tcPr>
            <w:tcW w:w="100" w:type="dxa"/>
            <w:vAlign w:val="bottom"/>
          </w:tcPr>
          <w:p>
            <w:pPr>
              <w:spacing w:after="0"/>
              <w:rPr>
                <w:sz w:val="13"/>
                <w:szCs w:val="13"/>
                <w:color w:val="auto"/>
              </w:rPr>
            </w:pPr>
          </w:p>
        </w:tc>
        <w:tc>
          <w:tcPr>
            <w:tcW w:w="720" w:type="dxa"/>
            <w:vAlign w:val="bottom"/>
            <w:tcBorders>
              <w:top w:val="single" w:sz="8" w:color="auto"/>
            </w:tcBorders>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Outlook (3)</w:t>
            </w:r>
          </w:p>
        </w:tc>
      </w:tr>
      <w:tr>
        <w:trPr>
          <w:trHeight w:val="155"/>
        </w:trPr>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100" w:type="dxa"/>
            <w:vAlign w:val="bottom"/>
            <w:tcBorders>
              <w:top w:val="single" w:sz="8" w:color="CCEEFF"/>
            </w:tcBorders>
            <w:shd w:val="clear" w:color="auto" w:fill="CCEEFF"/>
          </w:tcPr>
          <w:p>
            <w:pPr>
              <w:spacing w:after="0"/>
              <w:rPr>
                <w:sz w:val="13"/>
                <w:szCs w:val="13"/>
                <w:color w:val="auto"/>
              </w:rPr>
            </w:pPr>
          </w:p>
        </w:tc>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 Senior Unsecured Debt</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w w:val="97"/>
              </w:rPr>
              <w:t>Baa2</w:t>
            </w:r>
          </w:p>
        </w:tc>
        <w:tc>
          <w:tcPr>
            <w:tcW w:w="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Negative</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BBB</w:t>
            </w:r>
          </w:p>
        </w:tc>
        <w:tc>
          <w:tcPr>
            <w:tcW w:w="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53"/>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Vectren Corp. Issuer Rating</w:t>
            </w:r>
          </w:p>
        </w:tc>
        <w:tc>
          <w:tcPr>
            <w:tcW w:w="68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n/a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n/a</w:t>
            </w:r>
          </w:p>
        </w:tc>
        <w:tc>
          <w:tcPr>
            <w:tcW w:w="74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r>
      <w:tr>
        <w:trPr>
          <w:trHeight w:val="16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SIGECO Senior Secured Debt</w:t>
            </w:r>
          </w:p>
        </w:tc>
        <w:tc>
          <w:tcPr>
            <w:tcW w:w="68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A1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74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w:t>
            </w:r>
          </w:p>
        </w:tc>
      </w:tr>
      <w:tr>
        <w:trPr>
          <w:trHeight w:val="153"/>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Houston Electric</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Houston Electric Senior Secured Debt</w:t>
            </w:r>
          </w:p>
        </w:tc>
        <w:tc>
          <w:tcPr>
            <w:tcW w:w="68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A2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Negative</w:t>
            </w:r>
          </w:p>
        </w:tc>
        <w:tc>
          <w:tcPr>
            <w:tcW w:w="74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6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CERC</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CERC Corp. Senior Unsecured Debt</w:t>
            </w:r>
          </w:p>
        </w:tc>
        <w:tc>
          <w:tcPr>
            <w:tcW w:w="68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A3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74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47"/>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CERC</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Indiana Gas Senior Unsecured Debt</w:t>
            </w:r>
          </w:p>
        </w:tc>
        <w:tc>
          <w:tcPr>
            <w:tcW w:w="68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n/a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n/a</w:t>
            </w:r>
          </w:p>
        </w:tc>
        <w:tc>
          <w:tcPr>
            <w:tcW w:w="74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r>
    </w:tbl>
    <w:p>
      <w:pPr>
        <w:spacing w:after="0" w:line="72" w:lineRule="exact"/>
        <w:rPr>
          <w:sz w:val="20"/>
          <w:szCs w:val="20"/>
          <w:color w:val="auto"/>
        </w:rPr>
      </w:pPr>
    </w:p>
    <w:p>
      <w:pPr>
        <w:ind w:left="500" w:hanging="240"/>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Moody’s rating outlook is an opinion regarding the likely direction of an issuer’s rating over the medium term.</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S&amp;P outlook assesses the potential direction of a long-term credit rating over the intermediate to longer term.</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Fitch rating outlook indicates the direction a rating is likely to move over a one- to two-year period.</w:t>
      </w:r>
    </w:p>
    <w:p>
      <w:pPr>
        <w:spacing w:after="0" w:line="185"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impact on the Registrants’ ability to obtain short- and long-term financing, the cost of such financings and the execution of the Registrants’ commercial strategies.</w:t>
      </w:r>
    </w:p>
    <w:p>
      <w:pPr>
        <w:spacing w:after="0" w:line="200"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A decline in credit ratings could increase borrowing costs under the Registrants’ revolving credit facilities. If the Registrants’ credit ratings had been downgraded one notch by S&amp;P and Moody’s from the ratings that existed as of March 31, 2026,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162"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up to $233 million as of March 31, 2026. The amount of collateral will depend on seasonal variations in transportation levels.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ZENS and Securities Related to ZENS (CenterPoint Energy)</w:t>
      </w:r>
    </w:p>
    <w:p>
      <w:pPr>
        <w:spacing w:after="0" w:line="20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If CenterPoint Energy’s creditworthiness were to drop such that ZENS holders thought CenterPoint Energy’s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be reversed when ZENS are exchanged or otherwise retired and shares of ZENS-Related Securities are sold. The ultimate tax liability related to the ZENS and ZENS-Related Securities continues to increase by the amount of the tax benefit realized each year, and there could be a cash outflow when the taxes are paid as a result of the retirement or exchange of the ZENS. If all ZENS had been exchanged for cash on March 31, 2026, deferred taxes of approximately $911 million would have been payable in 2026, subject to reduction on account of available net operating loss carryforwards and CAMT carryforwards. If all the ZENS-Related Securities had been sold on March 31, 2026, capital gains taxes of approximately $81 million would have been payable in 2026 based on 2026 tax rates in effect. As of March 31, 2026, CenterPoint Energy had both net operating loss and CAMT carryforwards available from its filed 2024 federal income tax return that can be applied to largely offset the cash outflow that would result from a retirement or exchange of the ZENS. For additional information about ZENS, see Note 8 to the Interim Condensed Financial Statements.</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Cross Defaults</w:t>
      </w:r>
    </w:p>
    <w:p>
      <w:pPr>
        <w:spacing w:after="0" w:line="20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Under the Registrants’ respective revolving credit facilities, a payment default on, or a non-payment default, event or condition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Under SIGECO’s revolving credit facility, a payment default on, or a non-payment default, event or condition that permits acceleration of, any indebtedness for borrowed money and certain other specific types of obligations (including guarantees) exceeding $75 million by SIGECO or any of its significant subsidiaries will cause a default under SIGECO’s credit facility. A default by CenterPoint Energy would not trigger a default under its subsidiaries’ debt instruments or revolving credit facilities.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Possible Acquisitions, Divestitures and Joint Ventures</w:t>
      </w:r>
    </w:p>
    <w:p>
      <w:pPr>
        <w:spacing w:after="0" w:line="20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As announced in February 2026, CenterPoint Energy has increased its planned capital expenditures in its Electric and Natural Gas businesses pursuant to its new 10-year capital plan, which calls for investment of at least $65.5 billion through 2035, and CenterPoint Energy may continue to increase such planned capital investments in the future. The Registrants may continue to explore asset sales as a means to</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efficiently finance a portion of their increased capital expenditures in the future, subject to the considerations listed above. For further information, see Note 3 to the Interim Condensed Financial Statements.</w:t>
      </w:r>
    </w:p>
    <w:p>
      <w:pPr>
        <w:spacing w:after="0" w:line="145"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On October 20, 2025, CenterPoint Energy, through CERC Corp., entered into the Ohio Securities Purchase Agreement to sell all of the issued and outstanding equity interests in CEOH for total consideration of approximately $2.62 billion, subject to adjustment as set forth in the Ohio Securities Purchase Agreement. The transaction is expected to close in the fourth quarter of 2026, subject to the satisfaction of customary closing conditions. For further information, see Note 3 to the Interim Condensed Financial Statements.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Collection of Receivables from REPs (CenterPoint Energy and Houston Electric)</w:t>
      </w:r>
    </w:p>
    <w:p>
      <w:pPr>
        <w:spacing w:after="0" w:line="20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weather events such as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Factors that Could Affect Cash Requirements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to the above factors, the Registrants’ liquidity and capital resources could also be negatively affected by:</w:t>
      </w:r>
    </w:p>
    <w:p>
      <w:pPr>
        <w:spacing w:after="0" w:line="23" w:lineRule="exact"/>
        <w:rPr>
          <w:sz w:val="20"/>
          <w:szCs w:val="20"/>
          <w:color w:val="auto"/>
        </w:rPr>
      </w:pPr>
    </w:p>
    <w:p>
      <w:pPr>
        <w:ind w:left="520" w:right="440" w:hanging="260"/>
        <w:spacing w:after="0" w:line="253"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ind w:left="520" w:right="80" w:hanging="260"/>
        <w:spacing w:after="0" w:line="253"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payment dates on certain gas supply contracts, under certain circumstances, as a result of increased natural gas prices, and concentration of natural gas suppliers (CenterPoint Energy and CERC);</w:t>
      </w: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related to the acquisition of natural gas (CenterPoint Energy and CERC);</w:t>
      </w:r>
    </w:p>
    <w:p>
      <w:pPr>
        <w:spacing w:after="0" w:line="8" w:lineRule="exact"/>
        <w:rPr>
          <w:rFonts w:ascii="Times New Roman" w:cs="Times New Roman" w:eastAsia="Times New Roman" w:hAnsi="Times New Roman"/>
          <w:sz w:val="14"/>
          <w:szCs w:val="14"/>
          <w:color w:val="auto"/>
        </w:rPr>
      </w:pPr>
    </w:p>
    <w:p>
      <w:pPr>
        <w:ind w:left="520" w:right="280" w:hanging="260"/>
        <w:spacing w:after="0" w:line="246"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of certain goods, materials or services due to, among other things, supply chain disruptions, inflation, labor shortages, scarcity of materials and changes in U.S. or foreign trade policy (including tariffs or other trade actions);</w:t>
      </w:r>
    </w:p>
    <w:p>
      <w:pPr>
        <w:ind w:left="520" w:right="40" w:hanging="260"/>
        <w:spacing w:after="0" w:line="243"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interest expense in connection with debt refinancings and borrowings under credit facilities or term loans or the use of alternative sources of financings, including financings due to the May 2024 Storm Events and Hurricane Beryl;</w:t>
      </w:r>
    </w:p>
    <w:p>
      <w:pPr>
        <w:spacing w:after="0" w:line="1" w:lineRule="exact"/>
        <w:rPr>
          <w:rFonts w:ascii="Times New Roman" w:cs="Times New Roman" w:eastAsia="Times New Roman" w:hAnsi="Times New Roman"/>
          <w:sz w:val="14"/>
          <w:szCs w:val="14"/>
          <w:color w:val="auto"/>
        </w:rPr>
      </w:pPr>
    </w:p>
    <w:p>
      <w:pPr>
        <w:ind w:left="520" w:right="60" w:hanging="260"/>
        <w:spacing w:after="0" w:line="253"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legislative, executive or regulatory actions at the federal, state and local levels, including actions in response to Hurricane Beryl and actions pertaining to U.S. or foreign trade policy (including tariffs or other trade actions) or other geopolitical matters;</w:t>
      </w: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collateral, if any, that may be required due to regulation of derivatives (CenterPoint Energy);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rate actions regarding our recovery of costs and ability to make a reasonable return on investment;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REPs, including REP affiliates of NRG and Vistra Energy Corp., to satisfy their obligations to CenterPoint Energy and Houston Electric;</w:t>
      </w:r>
    </w:p>
    <w:p>
      <w:pPr>
        <w:spacing w:after="0" w:line="8" w:lineRule="exact"/>
        <w:rPr>
          <w:rFonts w:ascii="Times New Roman" w:cs="Times New Roman" w:eastAsia="Times New Roman" w:hAnsi="Times New Roman"/>
          <w:sz w:val="14"/>
          <w:szCs w:val="14"/>
          <w:color w:val="auto"/>
        </w:rPr>
      </w:pPr>
    </w:p>
    <w:p>
      <w:pPr>
        <w:ind w:left="520" w:right="100" w:hanging="260"/>
        <w:spacing w:after="0" w:line="253"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slower customer payments and increased write-offs of receivables due to higher natural gas prices, changing economic conditions, public health threats or severe weather events, such as the May 2024 Storm Events and Hurricane Beryl;</w:t>
      </w: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satisfaction of any obligations pursuant to guarantees;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pension and postretirement benefit plans;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recovery of any losses under applicable insurance policies;</w:t>
      </w:r>
    </w:p>
    <w:p>
      <w:pPr>
        <w:spacing w:after="0" w:line="8" w:lineRule="exact"/>
        <w:rPr>
          <w:rFonts w:ascii="Times New Roman" w:cs="Times New Roman" w:eastAsia="Times New Roman" w:hAnsi="Times New Roman"/>
          <w:sz w:val="14"/>
          <w:szCs w:val="14"/>
          <w:color w:val="auto"/>
        </w:rPr>
      </w:pPr>
    </w:p>
    <w:p>
      <w:pPr>
        <w:ind w:left="520" w:right="420" w:hanging="260"/>
        <w:spacing w:after="0" w:line="266"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restoration costs and revenue losses resulting from future natural disasters such as hurricanes or other severe weather events and the timing of and amounts sought for recovery of such restoration costs; and</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520" w:right="440" w:hanging="260"/>
        <w:spacing w:after="0" w:line="287"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various other risks identified in “Risk Factors” in </w:t>
      </w:r>
      <w:hyperlink r:id="rId88">
        <w:r>
          <w:rPr>
            <w:rFonts w:ascii="Times New Roman" w:cs="Times New Roman" w:eastAsia="Times New Roman" w:hAnsi="Times New Roman"/>
            <w:sz w:val="14"/>
            <w:szCs w:val="14"/>
            <w:u w:val="single" w:color="auto"/>
            <w:color w:val="0000FF"/>
          </w:rPr>
          <w:t>Part I, Item 1A of the Registrants’ combined 2025 Form 10-K</w:t>
        </w:r>
      </w:hyperlink>
      <w:r>
        <w:rPr>
          <w:rFonts w:ascii="Times New Roman" w:cs="Times New Roman" w:eastAsia="Times New Roman" w:hAnsi="Times New Roman"/>
          <w:sz w:val="14"/>
          <w:szCs w:val="14"/>
          <w:color w:val="auto"/>
        </w:rPr>
        <w:t>, which are incorporated herein by reference, in Part II, Item 1A of this combined Form 10-Q, and in other reports that the Registrants file from time to time with the SEC.</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Certain Contractual Limits on Our Ability to Issue Securities and Borrow Money</w:t>
      </w:r>
    </w:p>
    <w:p>
      <w:pPr>
        <w:spacing w:after="0" w:line="202" w:lineRule="exact"/>
        <w:rPr>
          <w:sz w:val="20"/>
          <w:szCs w:val="20"/>
          <w:color w:val="auto"/>
        </w:rPr>
      </w:pPr>
    </w:p>
    <w:p>
      <w:pPr>
        <w:ind w:right="100" w:firstLine="255"/>
        <w:spacing w:after="0" w:line="262" w:lineRule="auto"/>
        <w:rPr>
          <w:sz w:val="20"/>
          <w:szCs w:val="20"/>
          <w:color w:val="auto"/>
        </w:rPr>
      </w:pPr>
      <w:r>
        <w:rPr>
          <w:rFonts w:ascii="Times New Roman" w:cs="Times New Roman" w:eastAsia="Times New Roman" w:hAnsi="Times New Roman"/>
          <w:sz w:val="14"/>
          <w:szCs w:val="14"/>
          <w:color w:val="auto"/>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9 to the Interim Condensed Financial Statements.</w:t>
      </w:r>
    </w:p>
    <w:p>
      <w:pPr>
        <w:spacing w:after="0" w:line="1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202"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 Our critical accounting policies that we deemed the most material in nature were reported in our combined 2025 Form 10-K. There has been no material changes with regard to these critical accounting policies.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00"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57" w:lineRule="exact"/>
        <w:rPr>
          <w:sz w:val="20"/>
          <w:szCs w:val="20"/>
          <w:color w:val="auto"/>
        </w:rPr>
      </w:pPr>
    </w:p>
    <w:p>
      <w:pPr>
        <w:ind w:right="300" w:firstLine="127"/>
        <w:spacing w:after="0" w:line="287" w:lineRule="auto"/>
        <w:rPr>
          <w:sz w:val="20"/>
          <w:szCs w:val="20"/>
          <w:color w:val="auto"/>
        </w:rPr>
      </w:pPr>
      <w:r>
        <w:rPr>
          <w:rFonts w:ascii="Times New Roman" w:cs="Times New Roman" w:eastAsia="Times New Roman" w:hAnsi="Times New Roman"/>
          <w:sz w:val="14"/>
          <w:szCs w:val="14"/>
          <w:color w:val="auto"/>
        </w:rPr>
        <w:t>Information regarding the Registrants’ quantitative and qualitative disclosures about market risk are disclosed in Part II, Item 7A of our combined 2025 Form 10-K. Except as described below, there have been no material changes in those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 (CenterPoint Energy)</w:t>
      </w:r>
    </w:p>
    <w:p>
      <w:pPr>
        <w:spacing w:after="0" w:line="202" w:lineRule="exact"/>
        <w:rPr>
          <w:sz w:val="20"/>
          <w:szCs w:val="20"/>
          <w:color w:val="auto"/>
        </w:rPr>
      </w:pPr>
    </w:p>
    <w:p>
      <w:pPr>
        <w:ind w:right="280" w:firstLine="255"/>
        <w:spacing w:after="0" w:line="270" w:lineRule="auto"/>
        <w:rPr>
          <w:sz w:val="20"/>
          <w:szCs w:val="20"/>
          <w:color w:val="auto"/>
        </w:rPr>
      </w:pPr>
      <w:r>
        <w:rPr>
          <w:rFonts w:ascii="Times New Roman" w:cs="Times New Roman" w:eastAsia="Times New Roman" w:hAnsi="Times New Roman"/>
          <w:sz w:val="14"/>
          <w:szCs w:val="14"/>
          <w:color w:val="auto"/>
        </w:rPr>
        <w:t>As of March 31, 2026, the Registrants had outstanding long-term debt and lease obligations and CenterPoint Energy had obligations under its ZENS that subject them to the risk of loss associated with movements in market interest rates. The Registrants seek to manage interest rate exposure by monitoring the effects of changes in market interest rates and using a combination of fixed and variable rate debt. Additionally, interest rate swaps are used to mitigate interest rate exposure when deemed appropriate.</w:t>
      </w:r>
    </w:p>
    <w:p>
      <w:pPr>
        <w:spacing w:after="0" w:line="157"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floating rate obligations aggregated $0.8 billion and $1.5 billion as of March 31, 2026 and December 31, 2025, respectively. If the floating interest rates were to increase by 100 basis points from March 31, 2026 rates, CenterPoint Energy’s combined interest expense would increase by approximately $8 million annually.</w:t>
      </w:r>
    </w:p>
    <w:p>
      <w:pPr>
        <w:spacing w:after="0" w:line="135" w:lineRule="exact"/>
        <w:rPr>
          <w:sz w:val="20"/>
          <w:szCs w:val="20"/>
          <w:color w:val="auto"/>
        </w:rPr>
      </w:pPr>
    </w:p>
    <w:p>
      <w:pPr>
        <w:ind w:firstLine="255"/>
        <w:spacing w:after="0" w:line="245" w:lineRule="auto"/>
        <w:rPr>
          <w:sz w:val="20"/>
          <w:szCs w:val="20"/>
          <w:color w:val="auto"/>
        </w:rPr>
      </w:pPr>
      <w:r>
        <w:rPr>
          <w:rFonts w:ascii="Times New Roman" w:cs="Times New Roman" w:eastAsia="Times New Roman" w:hAnsi="Times New Roman"/>
          <w:sz w:val="14"/>
          <w:szCs w:val="14"/>
          <w:color w:val="auto"/>
        </w:rPr>
        <w:t>As of March 31, 2026 and December 31, 2025, CenterPoint Energy had outstanding fixed-rate debt (excluding indexed debt securities) aggregating $24.1 billion and $21.7 billion, respectively, in principal amount and having a fair value of $23.4 billion and $21.1 billion, respectively. Because these instruments are fixed-rate, they do not expose CenterPoint Energy to the risk of loss in earnings due to changes in market interest rates. However, the fair value of these instruments would increase by approximately $874 million if interest rates were to decline by 10% from their levels as of March 31, 2026. In general, such an increase in fair value would impact earnings and cash flows only if CenterPoint Energy were to reacquire all or a portion of these instruments in the open market prior to their maturity.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2"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March 31, 2026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167"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There has been no change in the Registrants’ internal controls over financial reporting that occurred during the three months ended March 31, 2026 that has materially affected, or is reasonably likely to materially affect, the Registrants’ internal controls over financial reporting.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ind w:right="20" w:firstLine="255"/>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description of material legal and regulatory proceedings, including environmental legal proceedings that involve a governmental authority as a party and that the Registrants reasonably believe would result in $1,000,000 or more of monetary sanctions, exclusive of interest and costs, under federal, state and local laws that have been enacted or adopted regulating the discharge of materials into the environment or primarily for the purpose of protecting the environment, affecting the Registrants, see Note 11(c)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88">
        <w:r>
          <w:rPr>
            <w:rFonts w:ascii="Times New Roman" w:cs="Times New Roman" w:eastAsia="Times New Roman" w:hAnsi="Times New Roman"/>
            <w:sz w:val="14"/>
            <w:szCs w:val="14"/>
            <w:u w:val="single" w:color="auto"/>
            <w:color w:val="0000FF"/>
          </w:rPr>
          <w:t>Business — Regulation” and “— Environmental Matters</w:t>
        </w:r>
      </w:hyperlink>
      <w:r>
        <w:rPr>
          <w:rFonts w:ascii="Times New Roman" w:cs="Times New Roman" w:eastAsia="Times New Roman" w:hAnsi="Times New Roman"/>
          <w:sz w:val="14"/>
          <w:szCs w:val="14"/>
          <w:color w:val="auto"/>
        </w:rPr>
        <w:t>” in Part I, Item 1 and “</w:t>
      </w:r>
      <w:hyperlink r:id="rId88">
        <w:r>
          <w:rPr>
            <w:rFonts w:ascii="Times New Roman" w:cs="Times New Roman" w:eastAsia="Times New Roman" w:hAnsi="Times New Roman"/>
            <w:sz w:val="14"/>
            <w:szCs w:val="14"/>
            <w:u w:val="single" w:color="auto"/>
            <w:color w:val="0000FF"/>
          </w:rPr>
          <w:t>Legal Proceedings</w:t>
        </w:r>
      </w:hyperlink>
      <w:r>
        <w:rPr>
          <w:rFonts w:ascii="Times New Roman" w:cs="Times New Roman" w:eastAsia="Times New Roman" w:hAnsi="Times New Roman"/>
          <w:sz w:val="14"/>
          <w:szCs w:val="14"/>
          <w:color w:val="auto"/>
        </w:rPr>
        <w:t>” in Part I, Item 3 of the Registrants’ combined 2025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have been no material changes from the risk factors disclosed in the Registrants’ combined 2025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Rule 10b5-1 Trading Arrangements</w:t>
      </w:r>
    </w:p>
    <w:p>
      <w:pPr>
        <w:spacing w:after="0" w:line="202"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2026, no director or officer of CenterPoint Energy, Houston Electric or CERC adopted or terminated a “Rule 10b5-1 trading arrangement” or “non-Rule 10b5-1 trading arrangement,” as each term is defined in Item 408 of Regulation 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Exhibits filed herewith are designated by a cross (†); all exhibits not so designated are incorporated by reference to a prior filing as indicated. Agreements included as exhibits are included only to provide information to investors regarding their terms. The agreements listed below may contain representations, warranties and other provisions that were made, among other things, to provide the parties thereto with specified rights and obligations and to allocate risk among them, and such agreements should not be relied upon as constituting or providing any factual disclosures about the Registrants, any other persons, any state of affairs or other matters.</w:t>
      </w:r>
    </w:p>
    <w:p>
      <w:pPr>
        <w:spacing w:after="0" w:line="140"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gridSpan w:val="27"/>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2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27"/>
            <w:vMerge w:val="continue"/>
          </w:tcPr>
          <w:p>
            <w:pPr>
              <w:spacing w:after="0"/>
              <w:rPr>
                <w:sz w:val="13"/>
                <w:szCs w:val="13"/>
                <w:color w:val="auto"/>
              </w:rPr>
            </w:pP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9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60" w:type="dxa"/>
            <w:vAlign w:val="bottom"/>
            <w:tcBorders>
              <w:top w:val="single" w:sz="8" w:color="auto"/>
            </w:tcBorders>
            <w:gridSpan w:val="32"/>
          </w:tcPr>
          <w:p>
            <w:pPr>
              <w:spacing w:after="0" w:line="102" w:lineRule="exact"/>
              <w:rPr>
                <w:rFonts w:ascii="Times New Roman" w:cs="Times New Roman" w:eastAsia="Times New Roman" w:hAnsi="Times New Roman"/>
                <w:sz w:val="11"/>
                <w:szCs w:val="11"/>
                <w:color w:val="0000FF"/>
              </w:rPr>
            </w:pPr>
            <w:hyperlink r:id="rId91">
              <w:r>
                <w:rPr>
                  <w:rFonts w:ascii="Times New Roman" w:cs="Times New Roman" w:eastAsia="Times New Roman" w:hAnsi="Times New Roman"/>
                  <w:sz w:val="11"/>
                  <w:szCs w:val="11"/>
                  <w:color w:val="0000FF"/>
                </w:rPr>
                <w:t>Asset Purchase Agreement, dated February 19, 2024, among</w:t>
              </w:r>
            </w:hyperlink>
          </w:p>
        </w:tc>
        <w:tc>
          <w:tcPr>
            <w:tcW w:w="60" w:type="dxa"/>
            <w:vAlign w:val="bottom"/>
          </w:tcPr>
          <w:p>
            <w:pPr>
              <w:spacing w:after="0"/>
              <w:rPr>
                <w:sz w:val="8"/>
                <w:szCs w:val="8"/>
                <w:color w:val="auto"/>
              </w:rPr>
            </w:pPr>
          </w:p>
        </w:tc>
        <w:tc>
          <w:tcPr>
            <w:tcW w:w="16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CenterPoint Energy’s Form 8-K</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8"/>
                <w:szCs w:val="8"/>
                <w:color w:val="auto"/>
              </w:rPr>
            </w:pPr>
          </w:p>
        </w:tc>
        <w:tc>
          <w:tcPr>
            <w:tcW w:w="9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80" w:type="dxa"/>
            <w:vAlign w:val="bottom"/>
            <w:tcBorders>
              <w:top w:val="single" w:sz="8" w:color="0000FF"/>
            </w:tcBorders>
            <w:gridSpan w:val="28"/>
          </w:tcPr>
          <w:p>
            <w:pPr>
              <w:spacing w:after="0" w:line="96" w:lineRule="exact"/>
              <w:rPr>
                <w:rFonts w:ascii="Times New Roman" w:cs="Times New Roman" w:eastAsia="Times New Roman" w:hAnsi="Times New Roman"/>
                <w:sz w:val="11"/>
                <w:szCs w:val="11"/>
                <w:color w:val="0000FF"/>
              </w:rPr>
            </w:pPr>
            <w:hyperlink r:id="rId91">
              <w:r>
                <w:rPr>
                  <w:rFonts w:ascii="Times New Roman" w:cs="Times New Roman" w:eastAsia="Times New Roman" w:hAnsi="Times New Roman"/>
                  <w:sz w:val="11"/>
                  <w:szCs w:val="11"/>
                  <w:color w:val="0000FF"/>
                </w:rPr>
                <w:t>CenterPoint Energy Resources Corp. and Delta Utilities No.</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February 19, 2024</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tcBorders>
              <w:top w:val="single" w:sz="8" w:color="0000FF"/>
            </w:tcBorders>
            <w:gridSpan w:val="26"/>
          </w:tcPr>
          <w:p>
            <w:pPr>
              <w:spacing w:after="0" w:line="97" w:lineRule="exact"/>
              <w:rPr>
                <w:rFonts w:ascii="Times New Roman" w:cs="Times New Roman" w:eastAsia="Times New Roman" w:hAnsi="Times New Roman"/>
                <w:sz w:val="11"/>
                <w:szCs w:val="11"/>
                <w:color w:val="0000FF"/>
              </w:rPr>
            </w:pPr>
            <w:hyperlink r:id="rId91">
              <w:r>
                <w:rPr>
                  <w:rFonts w:ascii="Times New Roman" w:cs="Times New Roman" w:eastAsia="Times New Roman" w:hAnsi="Times New Roman"/>
                  <w:sz w:val="11"/>
                  <w:szCs w:val="11"/>
                  <w:color w:val="0000FF"/>
                </w:rPr>
                <w:t>LA, LLC, Delta Utilities S. LA, LLC, Delta Utilities MS,</w:t>
              </w:r>
            </w:hyperlink>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20" w:type="dxa"/>
            <w:vAlign w:val="bottom"/>
            <w:tcBorders>
              <w:top w:val="single" w:sz="8" w:color="0000FF"/>
              <w:bottom w:val="single" w:sz="8" w:color="0000FF"/>
            </w:tcBorders>
            <w:gridSpan w:val="10"/>
          </w:tcPr>
          <w:p>
            <w:pPr>
              <w:spacing w:after="0" w:line="97" w:lineRule="exact"/>
              <w:rPr>
                <w:rFonts w:ascii="Times New Roman" w:cs="Times New Roman" w:eastAsia="Times New Roman" w:hAnsi="Times New Roman"/>
                <w:sz w:val="11"/>
                <w:szCs w:val="11"/>
                <w:color w:val="0000FF"/>
              </w:rPr>
            </w:pPr>
            <w:hyperlink r:id="rId91">
              <w:r>
                <w:rPr>
                  <w:rFonts w:ascii="Times New Roman" w:cs="Times New Roman" w:eastAsia="Times New Roman" w:hAnsi="Times New Roman"/>
                  <w:sz w:val="11"/>
                  <w:szCs w:val="11"/>
                  <w:color w:val="0000FF"/>
                </w:rPr>
                <w:t>LLC, and Delta Shared Services Co., LLC</w:t>
              </w:r>
            </w:hyperlink>
          </w:p>
        </w:tc>
        <w:tc>
          <w:tcPr>
            <w:tcW w:w="700" w:type="dxa"/>
            <w:vAlign w:val="bottom"/>
            <w:tcBorders>
              <w:top w:val="single" w:sz="8" w:color="0000FF"/>
            </w:tcBorders>
            <w:gridSpan w:val="11"/>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3"/>
          </w:tcPr>
          <w:p>
            <w:pPr>
              <w:spacing w:after="0"/>
              <w:rPr>
                <w:rFonts w:ascii="Times New Roman" w:cs="Times New Roman" w:eastAsia="Times New Roman" w:hAnsi="Times New Roman"/>
                <w:sz w:val="11"/>
                <w:szCs w:val="11"/>
                <w:color w:val="0000FF"/>
              </w:rPr>
            </w:pPr>
            <w:hyperlink r:id="rId92">
              <w:r>
                <w:rPr>
                  <w:rFonts w:ascii="Times New Roman" w:cs="Times New Roman" w:eastAsia="Times New Roman" w:hAnsi="Times New Roman"/>
                  <w:sz w:val="11"/>
                  <w:szCs w:val="11"/>
                  <w:color w:val="0000FF"/>
                </w:rPr>
                <w:t>Securities Purchase Agreement, dated October 20, 2025, by</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tcBorders>
              <w:top w:val="single" w:sz="8" w:color="0000FF"/>
            </w:tcBorders>
            <w:gridSpan w:val="24"/>
          </w:tcPr>
          <w:p>
            <w:pPr>
              <w:spacing w:after="0" w:line="96" w:lineRule="exact"/>
              <w:rPr>
                <w:rFonts w:ascii="Times New Roman" w:cs="Times New Roman" w:eastAsia="Times New Roman" w:hAnsi="Times New Roman"/>
                <w:sz w:val="11"/>
                <w:szCs w:val="11"/>
                <w:color w:val="0000FF"/>
              </w:rPr>
            </w:pPr>
            <w:hyperlink r:id="rId92">
              <w:r>
                <w:rPr>
                  <w:rFonts w:ascii="Times New Roman" w:cs="Times New Roman" w:eastAsia="Times New Roman" w:hAnsi="Times New Roman"/>
                  <w:sz w:val="11"/>
                  <w:szCs w:val="11"/>
                  <w:color w:val="0000FF"/>
                </w:rPr>
                <w:t>and between CenterPoint Energy Resources Corp. and</w:t>
              </w:r>
            </w:hyperlink>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October 20, 2025</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Borders>
              <w:top w:val="single" w:sz="8" w:color="0000FF"/>
              <w:bottom w:val="single" w:sz="8" w:color="0000FF"/>
            </w:tcBorders>
            <w:gridSpan w:val="7"/>
          </w:tcPr>
          <w:p>
            <w:pPr>
              <w:spacing w:after="0" w:line="97" w:lineRule="exact"/>
              <w:rPr>
                <w:rFonts w:ascii="Times New Roman" w:cs="Times New Roman" w:eastAsia="Times New Roman" w:hAnsi="Times New Roman"/>
                <w:sz w:val="11"/>
                <w:szCs w:val="11"/>
                <w:color w:val="0000FF"/>
              </w:rPr>
            </w:pPr>
            <w:hyperlink r:id="rId92">
              <w:r>
                <w:rPr>
                  <w:rFonts w:ascii="Times New Roman" w:cs="Times New Roman" w:eastAsia="Times New Roman" w:hAnsi="Times New Roman"/>
                  <w:sz w:val="11"/>
                  <w:szCs w:val="11"/>
                  <w:color w:val="0000FF"/>
                </w:rPr>
                <w:t>National Fuel Gas Company</w:t>
              </w:r>
            </w:hyperlink>
          </w:p>
        </w:tc>
        <w:tc>
          <w:tcPr>
            <w:tcW w:w="1160" w:type="dxa"/>
            <w:vAlign w:val="bottom"/>
            <w:tcBorders>
              <w:top w:val="single" w:sz="8" w:color="0000FF"/>
            </w:tcBorders>
            <w:gridSpan w:val="10"/>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3"/>
          </w:tcPr>
          <w:p>
            <w:pPr>
              <w:spacing w:after="0"/>
              <w:rPr>
                <w:rFonts w:ascii="Times New Roman" w:cs="Times New Roman" w:eastAsia="Times New Roman" w:hAnsi="Times New Roman"/>
                <w:sz w:val="11"/>
                <w:szCs w:val="11"/>
                <w:color w:val="0000FF"/>
              </w:rPr>
            </w:pPr>
            <w:hyperlink r:id="rId93">
              <w:r>
                <w:rPr>
                  <w:rFonts w:ascii="Times New Roman" w:cs="Times New Roman" w:eastAsia="Times New Roman" w:hAnsi="Times New Roman"/>
                  <w:sz w:val="11"/>
                  <w:szCs w:val="11"/>
                  <w:color w:val="0000FF"/>
                </w:rPr>
                <w:t>Amended and Restated Certificate of Formation of</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top w:val="single" w:sz="8" w:color="0000FF"/>
              <w:bottom w:val="single" w:sz="8" w:color="0000FF"/>
            </w:tcBorders>
            <w:gridSpan w:val="2"/>
          </w:tcPr>
          <w:p>
            <w:pPr>
              <w:spacing w:after="0" w:line="96" w:lineRule="exact"/>
              <w:rPr>
                <w:rFonts w:ascii="Times New Roman" w:cs="Times New Roman" w:eastAsia="Times New Roman" w:hAnsi="Times New Roman"/>
                <w:sz w:val="11"/>
                <w:szCs w:val="11"/>
                <w:color w:val="0000FF"/>
              </w:rPr>
            </w:pPr>
            <w:hyperlink r:id="rId93">
              <w:r>
                <w:rPr>
                  <w:rFonts w:ascii="Times New Roman" w:cs="Times New Roman" w:eastAsia="Times New Roman" w:hAnsi="Times New Roman"/>
                  <w:sz w:val="11"/>
                  <w:szCs w:val="11"/>
                  <w:color w:val="0000FF"/>
                </w:rPr>
                <w:t>CenterPoint Energy</w:t>
              </w:r>
            </w:hyperlink>
          </w:p>
        </w:tc>
        <w:tc>
          <w:tcPr>
            <w:tcW w:w="1400" w:type="dxa"/>
            <w:vAlign w:val="bottom"/>
            <w:tcBorders>
              <w:top w:val="single" w:sz="8" w:color="0000FF"/>
            </w:tcBorders>
            <w:gridSpan w:val="11"/>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April 16, 2026</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3"/>
          </w:tcPr>
          <w:p>
            <w:pPr>
              <w:spacing w:after="0"/>
              <w:rPr>
                <w:rFonts w:ascii="Times New Roman" w:cs="Times New Roman" w:eastAsia="Times New Roman" w:hAnsi="Times New Roman"/>
                <w:sz w:val="11"/>
                <w:szCs w:val="11"/>
                <w:color w:val="0000FF"/>
              </w:rPr>
            </w:pPr>
            <w:hyperlink r:id="rId94">
              <w:r>
                <w:rPr>
                  <w:rFonts w:ascii="Times New Roman" w:cs="Times New Roman" w:eastAsia="Times New Roman" w:hAnsi="Times New Roman"/>
                  <w:sz w:val="11"/>
                  <w:szCs w:val="11"/>
                  <w:color w:val="0000FF"/>
                </w:rPr>
                <w:t>Restated Certificate of Formation of Houston Electric</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Houston Electric’s Form 10-Q for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the quarter ended June 30, 2011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3"/>
          </w:tcPr>
          <w:p>
            <w:pPr>
              <w:spacing w:after="0" w:line="119" w:lineRule="exact"/>
              <w:rPr>
                <w:rFonts w:ascii="Times New Roman" w:cs="Times New Roman" w:eastAsia="Times New Roman" w:hAnsi="Times New Roman"/>
                <w:sz w:val="11"/>
                <w:szCs w:val="11"/>
                <w:color w:val="0000FF"/>
              </w:rPr>
            </w:pPr>
            <w:hyperlink r:id="rId95">
              <w:r>
                <w:rPr>
                  <w:rFonts w:ascii="Times New Roman" w:cs="Times New Roman" w:eastAsia="Times New Roman" w:hAnsi="Times New Roman"/>
                  <w:sz w:val="11"/>
                  <w:szCs w:val="11"/>
                  <w:color w:val="0000FF"/>
                </w:rPr>
                <w:t>Certificate of Incorporation of RERC Corp.</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CERC Form 10-K for the year</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3(a)(1)</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ended December 31, 1997</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gridSpan w:val="33"/>
          </w:tcPr>
          <w:p>
            <w:pPr>
              <w:spacing w:after="0"/>
              <w:rPr>
                <w:rFonts w:ascii="Times New Roman" w:cs="Times New Roman" w:eastAsia="Times New Roman" w:hAnsi="Times New Roman"/>
                <w:sz w:val="11"/>
                <w:szCs w:val="11"/>
                <w:color w:val="0000FF"/>
              </w:rPr>
            </w:pPr>
            <w:hyperlink r:id="rId96">
              <w:r>
                <w:rPr>
                  <w:rFonts w:ascii="Times New Roman" w:cs="Times New Roman" w:eastAsia="Times New Roman" w:hAnsi="Times New Roman"/>
                  <w:sz w:val="11"/>
                  <w:szCs w:val="11"/>
                  <w:color w:val="0000FF"/>
                </w:rPr>
                <w:t>Certificate of Amendment changing the name to Reliant</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CERC Form 10-K for the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3(a)(3)</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top w:val="single" w:sz="8" w:color="0000FF"/>
              <w:bottom w:val="single" w:sz="8" w:color="0000FF"/>
            </w:tcBorders>
            <w:gridSpan w:val="6"/>
          </w:tcPr>
          <w:p>
            <w:pPr>
              <w:spacing w:after="0" w:line="96" w:lineRule="exact"/>
              <w:rPr>
                <w:rFonts w:ascii="Times New Roman" w:cs="Times New Roman" w:eastAsia="Times New Roman" w:hAnsi="Times New Roman"/>
                <w:sz w:val="11"/>
                <w:szCs w:val="11"/>
                <w:color w:val="0000FF"/>
              </w:rPr>
            </w:pPr>
            <w:hyperlink r:id="rId96">
              <w:r>
                <w:rPr>
                  <w:rFonts w:ascii="Times New Roman" w:cs="Times New Roman" w:eastAsia="Times New Roman" w:hAnsi="Times New Roman"/>
                  <w:sz w:val="11"/>
                  <w:szCs w:val="11"/>
                  <w:color w:val="0000FF"/>
                </w:rPr>
                <w:t>Energy Resources Corp.</w:t>
              </w:r>
            </w:hyperlink>
          </w:p>
        </w:tc>
        <w:tc>
          <w:tcPr>
            <w:tcW w:w="1420" w:type="dxa"/>
            <w:vAlign w:val="bottom"/>
            <w:tcBorders>
              <w:top w:val="single" w:sz="8" w:color="0000FF"/>
            </w:tcBorders>
            <w:gridSpan w:val="12"/>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ended December 31, 1998</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3"/>
          </w:tcPr>
          <w:p>
            <w:pPr>
              <w:spacing w:after="0"/>
              <w:rPr>
                <w:rFonts w:ascii="Times New Roman" w:cs="Times New Roman" w:eastAsia="Times New Roman" w:hAnsi="Times New Roman"/>
                <w:sz w:val="11"/>
                <w:szCs w:val="11"/>
                <w:color w:val="0000FF"/>
              </w:rPr>
            </w:pPr>
            <w:hyperlink r:id="rId97">
              <w:r>
                <w:rPr>
                  <w:rFonts w:ascii="Times New Roman" w:cs="Times New Roman" w:eastAsia="Times New Roman" w:hAnsi="Times New Roman"/>
                  <w:sz w:val="11"/>
                  <w:szCs w:val="11"/>
                  <w:color w:val="0000FF"/>
                </w:rPr>
                <w:t>Certificate of Amendment changing the name to CenterPoint</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CERC Form 10-Q for the quarter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3(a)(4)</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top w:val="single" w:sz="8" w:color="0000FF"/>
              <w:bottom w:val="single" w:sz="8" w:color="0000FF"/>
            </w:tcBorders>
            <w:gridSpan w:val="6"/>
          </w:tcPr>
          <w:p>
            <w:pPr>
              <w:spacing w:after="0" w:line="96" w:lineRule="exact"/>
              <w:rPr>
                <w:rFonts w:ascii="Times New Roman" w:cs="Times New Roman" w:eastAsia="Times New Roman" w:hAnsi="Times New Roman"/>
                <w:sz w:val="11"/>
                <w:szCs w:val="11"/>
                <w:color w:val="0000FF"/>
              </w:rPr>
            </w:pPr>
            <w:hyperlink r:id="rId97">
              <w:r>
                <w:rPr>
                  <w:rFonts w:ascii="Times New Roman" w:cs="Times New Roman" w:eastAsia="Times New Roman" w:hAnsi="Times New Roman"/>
                  <w:sz w:val="11"/>
                  <w:szCs w:val="11"/>
                  <w:color w:val="0000FF"/>
                </w:rPr>
                <w:t>Energy Resources Corp.</w:t>
              </w:r>
            </w:hyperlink>
          </w:p>
        </w:tc>
        <w:tc>
          <w:tcPr>
            <w:tcW w:w="1700" w:type="dxa"/>
            <w:vAlign w:val="bottom"/>
            <w:tcBorders>
              <w:top w:val="single" w:sz="8" w:color="0000FF"/>
            </w:tcBorders>
            <w:gridSpan w:val="24"/>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ended June 30, 2003</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3"/>
          </w:tcPr>
          <w:p>
            <w:pPr>
              <w:spacing w:after="0"/>
              <w:rPr>
                <w:rFonts w:ascii="Times New Roman" w:cs="Times New Roman" w:eastAsia="Times New Roman" w:hAnsi="Times New Roman"/>
                <w:sz w:val="11"/>
                <w:szCs w:val="11"/>
                <w:color w:val="0000FF"/>
              </w:rPr>
            </w:pPr>
            <w:hyperlink r:id="rId98">
              <w:r>
                <w:rPr>
                  <w:rFonts w:ascii="Times New Roman" w:cs="Times New Roman" w:eastAsia="Times New Roman" w:hAnsi="Times New Roman"/>
                  <w:sz w:val="11"/>
                  <w:szCs w:val="11"/>
                  <w:color w:val="0000FF"/>
                </w:rPr>
                <w:t>Fifth Amended and Restated Bylaws of CenterPoint Energy</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dated September 26, 2025</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3"/>
          </w:tcPr>
          <w:p>
            <w:pPr>
              <w:spacing w:after="0" w:line="119" w:lineRule="exact"/>
              <w:rPr>
                <w:rFonts w:ascii="Times New Roman" w:cs="Times New Roman" w:eastAsia="Times New Roman" w:hAnsi="Times New Roman"/>
                <w:sz w:val="11"/>
                <w:szCs w:val="11"/>
                <w:color w:val="0000FF"/>
              </w:rPr>
            </w:pPr>
            <w:hyperlink r:id="rId99">
              <w:r>
                <w:rPr>
                  <w:rFonts w:ascii="Times New Roman" w:cs="Times New Roman" w:eastAsia="Times New Roman" w:hAnsi="Times New Roman"/>
                  <w:sz w:val="11"/>
                  <w:szCs w:val="11"/>
                  <w:color w:val="0000FF"/>
                </w:rPr>
                <w:t>Amended and Restated Limited Liability Company</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Houston Electric’s Form 10-Q for</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Borders>
              <w:top w:val="single" w:sz="8" w:color="0000FF"/>
              <w:bottom w:val="single" w:sz="8" w:color="0000FF"/>
            </w:tcBorders>
            <w:gridSpan w:val="8"/>
          </w:tcPr>
          <w:p>
            <w:pPr>
              <w:spacing w:after="0" w:line="96" w:lineRule="exact"/>
              <w:rPr>
                <w:rFonts w:ascii="Times New Roman" w:cs="Times New Roman" w:eastAsia="Times New Roman" w:hAnsi="Times New Roman"/>
                <w:sz w:val="11"/>
                <w:szCs w:val="11"/>
                <w:color w:val="0000FF"/>
              </w:rPr>
            </w:pPr>
            <w:hyperlink r:id="rId99">
              <w:r>
                <w:rPr>
                  <w:rFonts w:ascii="Times New Roman" w:cs="Times New Roman" w:eastAsia="Times New Roman" w:hAnsi="Times New Roman"/>
                  <w:sz w:val="11"/>
                  <w:szCs w:val="11"/>
                  <w:color w:val="0000FF"/>
                </w:rPr>
                <w:t>Agreement of Houston Electric</w:t>
              </w:r>
            </w:hyperlink>
          </w:p>
        </w:tc>
        <w:tc>
          <w:tcPr>
            <w:tcW w:w="920" w:type="dxa"/>
            <w:vAlign w:val="bottom"/>
            <w:tcBorders>
              <w:top w:val="single" w:sz="8" w:color="0000FF"/>
            </w:tcBorders>
            <w:gridSpan w:val="7"/>
          </w:tcPr>
          <w:p>
            <w:pPr>
              <w:spacing w:after="0"/>
              <w:rPr>
                <w:sz w:val="8"/>
                <w:szCs w:val="8"/>
                <w:color w:val="auto"/>
              </w:rPr>
            </w:pPr>
          </w:p>
        </w:tc>
        <w:tc>
          <w:tcPr>
            <w:tcW w:w="24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8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the quarter ended June 30, 2011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3"/>
          </w:tcPr>
          <w:p>
            <w:pPr>
              <w:spacing w:after="0"/>
              <w:rPr>
                <w:rFonts w:ascii="Times New Roman" w:cs="Times New Roman" w:eastAsia="Times New Roman" w:hAnsi="Times New Roman"/>
                <w:sz w:val="11"/>
                <w:szCs w:val="11"/>
                <w:color w:val="0000FF"/>
              </w:rPr>
            </w:pPr>
            <w:hyperlink r:id="rId95">
              <w:r>
                <w:rPr>
                  <w:rFonts w:ascii="Times New Roman" w:cs="Times New Roman" w:eastAsia="Times New Roman" w:hAnsi="Times New Roman"/>
                  <w:sz w:val="11"/>
                  <w:szCs w:val="11"/>
                  <w:color w:val="0000FF"/>
                </w:rPr>
                <w:t>Bylaws of RERC Corp.</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CERC Form 10-K for the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3(b)</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ended December 31, 1997</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3"/>
          </w:tcPr>
          <w:p>
            <w:pPr>
              <w:spacing w:after="0" w:line="119" w:lineRule="exact"/>
              <w:rPr>
                <w:rFonts w:ascii="Times New Roman" w:cs="Times New Roman" w:eastAsia="Times New Roman" w:hAnsi="Times New Roman"/>
                <w:sz w:val="11"/>
                <w:szCs w:val="11"/>
                <w:color w:val="0000FF"/>
              </w:rPr>
            </w:pPr>
            <w:hyperlink r:id="rId100">
              <w:r>
                <w:rPr>
                  <w:rFonts w:ascii="Times New Roman" w:cs="Times New Roman" w:eastAsia="Times New Roman" w:hAnsi="Times New Roman"/>
                  <w:sz w:val="11"/>
                  <w:szCs w:val="11"/>
                  <w:color w:val="0000FF"/>
                </w:rPr>
                <w:t>Statement of Resolutions Deleting Shares Designated Series</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CenterPoint Energy’s Form 10-K</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color w:val="auto"/>
              </w:rPr>
              <w:t>3(c)</w:t>
            </w: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60" w:type="dxa"/>
            <w:vAlign w:val="bottom"/>
            <w:tcBorders>
              <w:top w:val="single" w:sz="8" w:color="0000FF"/>
            </w:tcBorders>
            <w:gridSpan w:val="27"/>
          </w:tcPr>
          <w:p>
            <w:pPr>
              <w:spacing w:after="0" w:line="96" w:lineRule="exact"/>
              <w:rPr>
                <w:rFonts w:ascii="Times New Roman" w:cs="Times New Roman" w:eastAsia="Times New Roman" w:hAnsi="Times New Roman"/>
                <w:sz w:val="11"/>
                <w:szCs w:val="11"/>
                <w:color w:val="0000FF"/>
              </w:rPr>
            </w:pPr>
            <w:hyperlink r:id="rId100">
              <w:r>
                <w:rPr>
                  <w:rFonts w:ascii="Times New Roman" w:cs="Times New Roman" w:eastAsia="Times New Roman" w:hAnsi="Times New Roman"/>
                  <w:sz w:val="11"/>
                  <w:szCs w:val="11"/>
                  <w:color w:val="0000FF"/>
                </w:rPr>
                <w:t>A Preferred Stock of CenterPoint Energy</w:t>
              </w:r>
            </w:hyperlink>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8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year ended December 31,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2011</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3"/>
          </w:tcPr>
          <w:p>
            <w:pPr>
              <w:spacing w:after="0" w:line="119" w:lineRule="exact"/>
              <w:rPr>
                <w:rFonts w:ascii="Times New Roman" w:cs="Times New Roman" w:eastAsia="Times New Roman" w:hAnsi="Times New Roman"/>
                <w:sz w:val="11"/>
                <w:szCs w:val="11"/>
                <w:color w:val="0000FF"/>
              </w:rPr>
            </w:pPr>
            <w:hyperlink r:id="rId101">
              <w:r>
                <w:rPr>
                  <w:rFonts w:ascii="Times New Roman" w:cs="Times New Roman" w:eastAsia="Times New Roman" w:hAnsi="Times New Roman"/>
                  <w:sz w:val="11"/>
                  <w:szCs w:val="11"/>
                  <w:color w:val="0000FF"/>
                </w:rPr>
                <w:t>Indenture dated as of February 26, 2026, between</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20" w:type="dxa"/>
            <w:vAlign w:val="bottom"/>
            <w:gridSpan w:val="2"/>
            <w:vMerge w:val="restart"/>
          </w:tcPr>
          <w:p>
            <w:pPr>
              <w:spacing w:after="0" w:line="117" w:lineRule="exact"/>
              <w:rPr>
                <w:sz w:val="20"/>
                <w:szCs w:val="20"/>
                <w:color w:val="auto"/>
              </w:rPr>
            </w:pPr>
            <w:r>
              <w:rPr>
                <w:rFonts w:ascii="Times New Roman" w:cs="Times New Roman" w:eastAsia="Times New Roman" w:hAnsi="Times New Roman"/>
                <w:sz w:val="11"/>
                <w:szCs w:val="11"/>
                <w:color w:val="auto"/>
              </w:rPr>
              <w:t>dated February 26, 2026</w:t>
            </w: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gridSpan w:val="33"/>
          </w:tcPr>
          <w:p>
            <w:pPr>
              <w:spacing w:after="0" w:line="96" w:lineRule="exact"/>
              <w:rPr>
                <w:rFonts w:ascii="Times New Roman" w:cs="Times New Roman" w:eastAsia="Times New Roman" w:hAnsi="Times New Roman"/>
                <w:sz w:val="11"/>
                <w:szCs w:val="11"/>
                <w:color w:val="0000FF"/>
              </w:rPr>
            </w:pPr>
            <w:hyperlink r:id="rId101">
              <w:r>
                <w:rPr>
                  <w:rFonts w:ascii="Times New Roman" w:cs="Times New Roman" w:eastAsia="Times New Roman" w:hAnsi="Times New Roman"/>
                  <w:sz w:val="11"/>
                  <w:szCs w:val="11"/>
                  <w:color w:val="0000FF"/>
                </w:rPr>
                <w:t>CenterPoint Energy, Inc. and The Bank of New York Mellon</w:t>
              </w:r>
            </w:hyperlink>
          </w:p>
        </w:tc>
        <w:tc>
          <w:tcPr>
            <w:tcW w:w="172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tcBorders>
              <w:top w:val="single" w:sz="8" w:color="0000FF"/>
            </w:tcBorders>
            <w:gridSpan w:val="29"/>
          </w:tcPr>
          <w:p>
            <w:pPr>
              <w:spacing w:after="0" w:line="97" w:lineRule="exact"/>
              <w:rPr>
                <w:rFonts w:ascii="Times New Roman" w:cs="Times New Roman" w:eastAsia="Times New Roman" w:hAnsi="Times New Roman"/>
                <w:sz w:val="11"/>
                <w:szCs w:val="11"/>
                <w:color w:val="0000FF"/>
              </w:rPr>
            </w:pPr>
            <w:hyperlink r:id="rId101">
              <w:r>
                <w:rPr>
                  <w:rFonts w:ascii="Times New Roman" w:cs="Times New Roman" w:eastAsia="Times New Roman" w:hAnsi="Times New Roman"/>
                  <w:sz w:val="11"/>
                  <w:szCs w:val="11"/>
                  <w:color w:val="0000FF"/>
                </w:rPr>
                <w:t>Trust Company, National Association, as trustee</w:t>
              </w:r>
            </w:hyperlink>
          </w:p>
        </w:tc>
        <w:tc>
          <w:tcPr>
            <w:tcW w:w="40" w:type="dxa"/>
            <w:vAlign w:val="bottom"/>
            <w:gridSpan w:val="2"/>
          </w:tcPr>
          <w:p>
            <w:pPr>
              <w:spacing w:after="0"/>
              <w:rPr>
                <w:sz w:val="8"/>
                <w:szCs w:val="8"/>
                <w:color w:val="auto"/>
              </w:rPr>
            </w:pPr>
          </w:p>
        </w:tc>
        <w:tc>
          <w:tcPr>
            <w:tcW w:w="8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tcBorders>
              <w:bottom w:val="single" w:sz="8" w:color="0000FF"/>
            </w:tcBorders>
            <w:gridSpan w:val="24"/>
          </w:tcPr>
          <w:p>
            <w:pPr>
              <w:spacing w:after="0"/>
              <w:rPr>
                <w:rFonts w:ascii="Times New Roman" w:cs="Times New Roman" w:eastAsia="Times New Roman" w:hAnsi="Times New Roman"/>
                <w:sz w:val="11"/>
                <w:szCs w:val="11"/>
                <w:color w:val="0000FF"/>
              </w:rPr>
            </w:pPr>
            <w:hyperlink r:id="rId102">
              <w:r>
                <w:rPr>
                  <w:rFonts w:ascii="Times New Roman" w:cs="Times New Roman" w:eastAsia="Times New Roman" w:hAnsi="Times New Roman"/>
                  <w:sz w:val="11"/>
                  <w:szCs w:val="11"/>
                  <w:color w:val="0000FF"/>
                </w:rPr>
                <w:t>General Mortgage Indenture, dated as of October 10, 2002,</w:t>
              </w:r>
            </w:hyperlink>
          </w:p>
        </w:tc>
        <w:tc>
          <w:tcPr>
            <w:tcW w:w="220" w:type="dxa"/>
            <w:vAlign w:val="bottom"/>
            <w:gridSpan w:val="9"/>
          </w:tcPr>
          <w:p>
            <w:pPr>
              <w:spacing w:after="0"/>
              <w:rPr>
                <w:sz w:val="11"/>
                <w:szCs w:val="11"/>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Houston Electric’s Form 10-Q for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4(j)(1)</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gridSpan w:val="33"/>
          </w:tcPr>
          <w:p>
            <w:pPr>
              <w:spacing w:after="0" w:line="96" w:lineRule="exact"/>
              <w:rPr>
                <w:rFonts w:ascii="Times New Roman" w:cs="Times New Roman" w:eastAsia="Times New Roman" w:hAnsi="Times New Roman"/>
                <w:sz w:val="11"/>
                <w:szCs w:val="11"/>
                <w:color w:val="0000FF"/>
              </w:rPr>
            </w:pPr>
            <w:hyperlink r:id="rId102">
              <w:r>
                <w:rPr>
                  <w:rFonts w:ascii="Times New Roman" w:cs="Times New Roman" w:eastAsia="Times New Roman" w:hAnsi="Times New Roman"/>
                  <w:sz w:val="11"/>
                  <w:szCs w:val="11"/>
                  <w:color w:val="0000FF"/>
                </w:rPr>
                <w:t>between Houston Electric and The Bank of New York Mellon</w:t>
              </w:r>
            </w:hyperlink>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the quarter ended September 30,</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40" w:type="dxa"/>
            <w:vAlign w:val="bottom"/>
            <w:tcBorders>
              <w:top w:val="single" w:sz="8" w:color="0000FF"/>
            </w:tcBorders>
            <w:gridSpan w:val="31"/>
          </w:tcPr>
          <w:p>
            <w:pPr>
              <w:spacing w:after="0" w:line="97" w:lineRule="exact"/>
              <w:rPr>
                <w:rFonts w:ascii="Times New Roman" w:cs="Times New Roman" w:eastAsia="Times New Roman" w:hAnsi="Times New Roman"/>
                <w:sz w:val="11"/>
                <w:szCs w:val="11"/>
                <w:color w:val="0000FF"/>
              </w:rPr>
            </w:pPr>
            <w:hyperlink r:id="rId102">
              <w:r>
                <w:rPr>
                  <w:rFonts w:ascii="Times New Roman" w:cs="Times New Roman" w:eastAsia="Times New Roman" w:hAnsi="Times New Roman"/>
                  <w:sz w:val="11"/>
                  <w:szCs w:val="11"/>
                  <w:color w:val="0000FF"/>
                </w:rPr>
                <w:t>Trust Company, National Association (successor in trust to</w:t>
              </w:r>
            </w:hyperlink>
          </w:p>
        </w:tc>
        <w:tc>
          <w:tcPr>
            <w:tcW w:w="80" w:type="dxa"/>
            <w:vAlign w:val="bottom"/>
            <w:gridSpan w:val="2"/>
          </w:tcPr>
          <w:p>
            <w:pPr>
              <w:spacing w:after="0"/>
              <w:rPr>
                <w:sz w:val="8"/>
                <w:szCs w:val="8"/>
                <w:color w:val="auto"/>
              </w:rPr>
            </w:pPr>
          </w:p>
        </w:tc>
        <w:tc>
          <w:tcPr>
            <w:tcW w:w="162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2002</w:t>
            </w: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top w:val="single" w:sz="8" w:color="0000FF"/>
              <w:bottom w:val="single" w:sz="8" w:color="0000FF"/>
            </w:tcBorders>
            <w:gridSpan w:val="5"/>
          </w:tcPr>
          <w:p>
            <w:pPr>
              <w:spacing w:after="0" w:line="97" w:lineRule="exact"/>
              <w:rPr>
                <w:rFonts w:ascii="Times New Roman" w:cs="Times New Roman" w:eastAsia="Times New Roman" w:hAnsi="Times New Roman"/>
                <w:sz w:val="11"/>
                <w:szCs w:val="11"/>
                <w:color w:val="0000FF"/>
              </w:rPr>
            </w:pPr>
            <w:hyperlink r:id="rId102">
              <w:r>
                <w:rPr>
                  <w:rFonts w:ascii="Times New Roman" w:cs="Times New Roman" w:eastAsia="Times New Roman" w:hAnsi="Times New Roman"/>
                  <w:sz w:val="11"/>
                  <w:szCs w:val="11"/>
                  <w:color w:val="0000FF"/>
                </w:rPr>
                <w:t>JPMorgan Chase Bank)</w:t>
              </w:r>
            </w:hyperlink>
          </w:p>
        </w:tc>
        <w:tc>
          <w:tcPr>
            <w:tcW w:w="1560" w:type="dxa"/>
            <w:vAlign w:val="bottom"/>
            <w:tcBorders>
              <w:top w:val="single" w:sz="8" w:color="0000FF"/>
            </w:tcBorders>
            <w:gridSpan w:val="17"/>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0" w:type="dxa"/>
            <w:vAlign w:val="bottom"/>
            <w:gridSpan w:val="8"/>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3"/>
          </w:tcPr>
          <w:p>
            <w:pPr>
              <w:spacing w:after="0"/>
              <w:rPr>
                <w:rFonts w:ascii="Times New Roman" w:cs="Times New Roman" w:eastAsia="Times New Roman" w:hAnsi="Times New Roman"/>
                <w:sz w:val="11"/>
                <w:szCs w:val="11"/>
                <w:color w:val="0000FF"/>
              </w:rPr>
            </w:pPr>
            <w:hyperlink r:id="rId103">
              <w:r>
                <w:rPr>
                  <w:rFonts w:ascii="Times New Roman" w:cs="Times New Roman" w:eastAsia="Times New Roman" w:hAnsi="Times New Roman"/>
                  <w:sz w:val="11"/>
                  <w:szCs w:val="11"/>
                  <w:color w:val="0000FF"/>
                </w:rPr>
                <w:t>Ninth Supplemental Indenture, dated as of November 12,</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4(e)(10)</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0" w:type="dxa"/>
            <w:vAlign w:val="bottom"/>
            <w:tcBorders>
              <w:top w:val="single" w:sz="8" w:color="0000FF"/>
            </w:tcBorders>
            <w:gridSpan w:val="20"/>
          </w:tcPr>
          <w:p>
            <w:pPr>
              <w:spacing w:after="0" w:line="96" w:lineRule="exact"/>
              <w:rPr>
                <w:rFonts w:ascii="Times New Roman" w:cs="Times New Roman" w:eastAsia="Times New Roman" w:hAnsi="Times New Roman"/>
                <w:sz w:val="11"/>
                <w:szCs w:val="11"/>
                <w:color w:val="0000FF"/>
              </w:rPr>
            </w:pPr>
            <w:hyperlink r:id="rId103">
              <w:r>
                <w:rPr>
                  <w:rFonts w:ascii="Times New Roman" w:cs="Times New Roman" w:eastAsia="Times New Roman" w:hAnsi="Times New Roman"/>
                  <w:sz w:val="11"/>
                  <w:szCs w:val="11"/>
                  <w:color w:val="0000FF"/>
                </w:rPr>
                <w:t>2002, to Exhibit 4.</w:t>
              </w:r>
              <w:r>
                <w:rPr>
                  <w:rFonts w:ascii="Times New Roman" w:cs="Times New Roman" w:eastAsia="Times New Roman" w:hAnsi="Times New Roman"/>
                  <w:sz w:val="11"/>
                  <w:szCs w:val="11"/>
                  <w:color w:val="000000"/>
                </w:rPr>
                <w:t>2</w:t>
              </w:r>
            </w:hyperlink>
          </w:p>
        </w:tc>
        <w:tc>
          <w:tcPr>
            <w:tcW w:w="80" w:type="dxa"/>
            <w:vAlign w:val="bottom"/>
            <w:gridSpan w:val="3"/>
          </w:tcPr>
          <w:p>
            <w:pPr>
              <w:spacing w:after="0"/>
              <w:rPr>
                <w:sz w:val="8"/>
                <w:szCs w:val="8"/>
                <w:color w:val="auto"/>
              </w:rPr>
            </w:pPr>
          </w:p>
        </w:tc>
        <w:tc>
          <w:tcPr>
            <w:tcW w:w="40" w:type="dxa"/>
            <w:vAlign w:val="bottom"/>
            <w:gridSpan w:val="2"/>
          </w:tcPr>
          <w:p>
            <w:pPr>
              <w:spacing w:after="0"/>
              <w:rPr>
                <w:sz w:val="8"/>
                <w:szCs w:val="8"/>
                <w:color w:val="auto"/>
              </w:rPr>
            </w:pPr>
          </w:p>
        </w:tc>
        <w:tc>
          <w:tcPr>
            <w:tcW w:w="200" w:type="dxa"/>
            <w:vAlign w:val="bottom"/>
            <w:gridSpan w:val="8"/>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year ended December 31,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2002</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4.4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3"/>
          </w:tcPr>
          <w:p>
            <w:pPr>
              <w:spacing w:after="0" w:line="119" w:lineRule="exact"/>
              <w:rPr>
                <w:rFonts w:ascii="Times New Roman" w:cs="Times New Roman" w:eastAsia="Times New Roman" w:hAnsi="Times New Roman"/>
                <w:sz w:val="11"/>
                <w:szCs w:val="11"/>
                <w:color w:val="0000FF"/>
              </w:rPr>
            </w:pPr>
            <w:hyperlink r:id="rId104">
              <w:r>
                <w:rPr>
                  <w:rFonts w:ascii="Times New Roman" w:cs="Times New Roman" w:eastAsia="Times New Roman" w:hAnsi="Times New Roman"/>
                  <w:sz w:val="11"/>
                  <w:szCs w:val="11"/>
                  <w:color w:val="0000FF"/>
                </w:rPr>
                <w:t>Twentieth Supplemental Indenture, dated as of December 9,</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Houston Electric’s Form 8-K dated</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tcBorders>
              <w:top w:val="single" w:sz="8" w:color="0000FF"/>
            </w:tcBorders>
            <w:gridSpan w:val="25"/>
          </w:tcPr>
          <w:p>
            <w:pPr>
              <w:spacing w:after="0" w:line="96" w:lineRule="exact"/>
              <w:rPr>
                <w:rFonts w:ascii="Times New Roman" w:cs="Times New Roman" w:eastAsia="Times New Roman" w:hAnsi="Times New Roman"/>
                <w:sz w:val="11"/>
                <w:szCs w:val="11"/>
                <w:color w:val="0000FF"/>
              </w:rPr>
            </w:pPr>
            <w:hyperlink r:id="rId104">
              <w:r>
                <w:rPr>
                  <w:rFonts w:ascii="Times New Roman" w:cs="Times New Roman" w:eastAsia="Times New Roman" w:hAnsi="Times New Roman"/>
                  <w:sz w:val="11"/>
                  <w:szCs w:val="11"/>
                  <w:color w:val="0000FF"/>
                </w:rPr>
                <w:t>2008, to Exhibit 4.</w:t>
              </w:r>
              <w:r>
                <w:rPr>
                  <w:rFonts w:ascii="Times New Roman" w:cs="Times New Roman" w:eastAsia="Times New Roman" w:hAnsi="Times New Roman"/>
                  <w:sz w:val="11"/>
                  <w:szCs w:val="11"/>
                  <w:color w:val="000000"/>
                </w:rPr>
                <w:t>2</w:t>
              </w:r>
            </w:hyperlink>
          </w:p>
        </w:tc>
        <w:tc>
          <w:tcPr>
            <w:tcW w:w="200" w:type="dxa"/>
            <w:vAlign w:val="bottom"/>
            <w:gridSpan w:val="8"/>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January 9, 2009</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3"/>
          </w:tcPr>
          <w:p>
            <w:pPr>
              <w:spacing w:after="0"/>
              <w:rPr>
                <w:rFonts w:ascii="Times New Roman" w:cs="Times New Roman" w:eastAsia="Times New Roman" w:hAnsi="Times New Roman"/>
                <w:sz w:val="11"/>
                <w:szCs w:val="11"/>
                <w:color w:val="0000FF"/>
              </w:rPr>
            </w:pPr>
            <w:hyperlink r:id="rId105">
              <w:r>
                <w:rPr>
                  <w:rFonts w:ascii="Times New Roman" w:cs="Times New Roman" w:eastAsia="Times New Roman" w:hAnsi="Times New Roman"/>
                  <w:sz w:val="11"/>
                  <w:szCs w:val="11"/>
                  <w:color w:val="0000FF"/>
                </w:rPr>
                <w:t>Thirty-Ninth Supplemental Indenture, dated as of February</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Houston Electric’s Form 8-K dated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top w:val="single" w:sz="8" w:color="0000FF"/>
              <w:bottom w:val="single" w:sz="8" w:color="0000FF"/>
            </w:tcBorders>
            <w:gridSpan w:val="4"/>
          </w:tcPr>
          <w:p>
            <w:pPr>
              <w:spacing w:after="0" w:line="96" w:lineRule="exact"/>
              <w:rPr>
                <w:rFonts w:ascii="Times New Roman" w:cs="Times New Roman" w:eastAsia="Times New Roman" w:hAnsi="Times New Roman"/>
                <w:sz w:val="11"/>
                <w:szCs w:val="11"/>
                <w:color w:val="0000FF"/>
              </w:rPr>
            </w:pPr>
            <w:r>
              <w:rPr>
                <w:rFonts w:ascii="Times New Roman" w:cs="Times New Roman" w:eastAsia="Times New Roman" w:hAnsi="Times New Roman"/>
                <w:sz w:val="11"/>
                <w:szCs w:val="11"/>
                <w:color w:val="0000FF"/>
              </w:rPr>
              <w:t xml:space="preserve">27, </w:t>
            </w:r>
            <w:hyperlink r:id="rId105">
              <w:r>
                <w:rPr>
                  <w:rFonts w:ascii="Times New Roman" w:cs="Times New Roman" w:eastAsia="Times New Roman" w:hAnsi="Times New Roman"/>
                  <w:sz w:val="11"/>
                  <w:szCs w:val="11"/>
                  <w:color w:val="0000FF"/>
                </w:rPr>
                <w:t>2026, to Exhibit 4.2</w:t>
              </w:r>
            </w:hyperlink>
          </w:p>
        </w:tc>
        <w:tc>
          <w:tcPr>
            <w:tcW w:w="1600" w:type="dxa"/>
            <w:vAlign w:val="bottom"/>
            <w:tcBorders>
              <w:top w:val="single" w:sz="8" w:color="0000FF"/>
            </w:tcBorders>
            <w:gridSpan w:val="19"/>
          </w:tcPr>
          <w:p>
            <w:pPr>
              <w:spacing w:after="0"/>
              <w:rPr>
                <w:sz w:val="8"/>
                <w:szCs w:val="8"/>
                <w:color w:val="auto"/>
              </w:rPr>
            </w:pPr>
          </w:p>
        </w:tc>
        <w:tc>
          <w:tcPr>
            <w:tcW w:w="240" w:type="dxa"/>
            <w:vAlign w:val="bottom"/>
            <w:gridSpan w:val="10"/>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February 25, 2026</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†4.6</w:t>
            </w:r>
          </w:p>
        </w:tc>
        <w:tc>
          <w:tcPr>
            <w:tcW w:w="20" w:type="dxa"/>
            <w:vAlign w:val="bottom"/>
          </w:tcPr>
          <w:p>
            <w:pPr>
              <w:spacing w:after="0"/>
              <w:rPr>
                <w:sz w:val="12"/>
                <w:szCs w:val="12"/>
                <w:color w:val="auto"/>
              </w:rPr>
            </w:pPr>
          </w:p>
        </w:tc>
        <w:tc>
          <w:tcPr>
            <w:tcW w:w="2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1"/>
                <w:szCs w:val="11"/>
                <w:color w:val="0000FF"/>
              </w:rPr>
              <w:t>Officer’s Certificate, dated as of February 27, 2026</w:t>
            </w:r>
          </w:p>
        </w:tc>
        <w:tc>
          <w:tcPr>
            <w:tcW w:w="600" w:type="dxa"/>
            <w:vAlign w:val="bottom"/>
            <w:gridSpan w:val="19"/>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3"/>
          </w:tcPr>
          <w:p>
            <w:pPr>
              <w:spacing w:after="0"/>
              <w:rPr>
                <w:rFonts w:ascii="Times New Roman" w:cs="Times New Roman" w:eastAsia="Times New Roman" w:hAnsi="Times New Roman"/>
                <w:sz w:val="11"/>
                <w:szCs w:val="11"/>
                <w:color w:val="0000FF"/>
              </w:rPr>
            </w:pPr>
            <w:hyperlink r:id="rId106">
              <w:r>
                <w:rPr>
                  <w:rFonts w:ascii="Times New Roman" w:cs="Times New Roman" w:eastAsia="Times New Roman" w:hAnsi="Times New Roman"/>
                  <w:sz w:val="11"/>
                  <w:szCs w:val="11"/>
                  <w:color w:val="0000FF"/>
                </w:rPr>
                <w:t>Indenture by and among CenterPoint Energy Restoration</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Houston Electric’s Form 8-K dated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tcBorders>
              <w:top w:val="single" w:sz="8" w:color="0000FF"/>
            </w:tcBorders>
            <w:gridSpan w:val="19"/>
          </w:tcPr>
          <w:p>
            <w:pPr>
              <w:spacing w:after="0" w:line="101" w:lineRule="exact"/>
              <w:rPr>
                <w:rFonts w:ascii="Times New Roman" w:cs="Times New Roman" w:eastAsia="Times New Roman" w:hAnsi="Times New Roman"/>
                <w:sz w:val="11"/>
                <w:szCs w:val="11"/>
                <w:u w:val="single" w:color="auto"/>
                <w:color w:val="0000FF"/>
              </w:rPr>
            </w:pPr>
            <w:hyperlink r:id="rId106">
              <w:r>
                <w:rPr>
                  <w:rFonts w:ascii="Times New Roman" w:cs="Times New Roman" w:eastAsia="Times New Roman" w:hAnsi="Times New Roman"/>
                  <w:sz w:val="11"/>
                  <w:szCs w:val="11"/>
                  <w:u w:val="single" w:color="auto"/>
                  <w:color w:val="0000FF"/>
                </w:rPr>
                <w:t>Bond Company III, LLC, U.S. Bank Trust Company,</w:t>
              </w:r>
            </w:hyperlink>
          </w:p>
        </w:tc>
        <w:tc>
          <w:tcPr>
            <w:tcW w:w="340" w:type="dxa"/>
            <w:vAlign w:val="bottom"/>
            <w:gridSpan w:val="14"/>
          </w:tcPr>
          <w:p>
            <w:pPr>
              <w:spacing w:after="0"/>
              <w:rPr>
                <w:sz w:val="8"/>
                <w:szCs w:val="8"/>
                <w:color w:val="auto"/>
              </w:rPr>
            </w:pPr>
          </w:p>
        </w:tc>
        <w:tc>
          <w:tcPr>
            <w:tcW w:w="1720" w:type="dxa"/>
            <w:vAlign w:val="bottom"/>
            <w:gridSpan w:val="2"/>
          </w:tcPr>
          <w:p>
            <w:pPr>
              <w:spacing w:after="0" w:line="101" w:lineRule="exact"/>
              <w:rPr>
                <w:sz w:val="20"/>
                <w:szCs w:val="20"/>
                <w:color w:val="auto"/>
              </w:rPr>
            </w:pPr>
            <w:r>
              <w:rPr>
                <w:rFonts w:ascii="Times New Roman" w:cs="Times New Roman" w:eastAsia="Times New Roman" w:hAnsi="Times New Roman"/>
                <w:sz w:val="11"/>
                <w:szCs w:val="11"/>
                <w:color w:val="auto"/>
              </w:rPr>
              <w:t>February 26, 2026</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080"/>
        <w:spacing w:after="0" w:line="221" w:lineRule="auto"/>
        <w:rPr>
          <w:rFonts w:ascii="Times New Roman" w:cs="Times New Roman" w:eastAsia="Times New Roman" w:hAnsi="Times New Roman"/>
          <w:sz w:val="11"/>
          <w:szCs w:val="11"/>
          <w:u w:val="single" w:color="auto"/>
          <w:color w:val="0000FF"/>
        </w:rPr>
      </w:pPr>
      <w:hyperlink r:id="rId106">
        <w:r>
          <w:rPr>
            <w:rFonts w:ascii="Times New Roman" w:cs="Times New Roman" w:eastAsia="Times New Roman" w:hAnsi="Times New Roman"/>
            <w:sz w:val="11"/>
            <w:szCs w:val="11"/>
            <w:u w:val="single" w:color="auto"/>
            <w:color w:val="0000FF"/>
          </w:rPr>
          <w:t>National Association, as Indenture Trustee, and U.S. Bank</w:t>
        </w:r>
      </w:hyperlink>
    </w:p>
    <w:p>
      <w:pPr>
        <w:ind w:left="1080"/>
        <w:spacing w:after="0" w:line="201" w:lineRule="auto"/>
        <w:rPr>
          <w:rFonts w:ascii="Times New Roman" w:cs="Times New Roman" w:eastAsia="Times New Roman" w:hAnsi="Times New Roman"/>
          <w:sz w:val="11"/>
          <w:szCs w:val="11"/>
          <w:u w:val="single" w:color="auto"/>
          <w:color w:val="0000FF"/>
        </w:rPr>
      </w:pPr>
      <w:hyperlink r:id="rId106">
        <w:r>
          <w:rPr>
            <w:rFonts w:ascii="Times New Roman" w:cs="Times New Roman" w:eastAsia="Times New Roman" w:hAnsi="Times New Roman"/>
            <w:sz w:val="11"/>
            <w:szCs w:val="11"/>
            <w:u w:val="single" w:color="auto"/>
            <w:color w:val="0000FF"/>
          </w:rPr>
          <w:t>National Association, as Securities Intermediary (including</w:t>
        </w:r>
      </w:hyperlink>
    </w:p>
    <w:p>
      <w:pPr>
        <w:ind w:left="1080"/>
        <w:spacing w:after="0" w:line="222" w:lineRule="auto"/>
        <w:rPr>
          <w:rFonts w:ascii="Times New Roman" w:cs="Times New Roman" w:eastAsia="Times New Roman" w:hAnsi="Times New Roman"/>
          <w:sz w:val="11"/>
          <w:szCs w:val="11"/>
          <w:u w:val="single" w:color="auto"/>
          <w:color w:val="0000FF"/>
        </w:rPr>
      </w:pPr>
      <w:hyperlink r:id="rId106">
        <w:r>
          <w:rPr>
            <w:rFonts w:ascii="Times New Roman" w:cs="Times New Roman" w:eastAsia="Times New Roman" w:hAnsi="Times New Roman"/>
            <w:sz w:val="11"/>
            <w:szCs w:val="11"/>
            <w:u w:val="single" w:color="auto"/>
            <w:color w:val="0000FF"/>
          </w:rPr>
          <w:t>the forms of the System Restoration Bonds and the form of</w:t>
        </w:r>
      </w:hyperlink>
    </w:p>
    <w:p>
      <w:pPr>
        <w:ind w:left="1080"/>
        <w:spacing w:after="0"/>
        <w:rPr>
          <w:rFonts w:ascii="Times New Roman" w:cs="Times New Roman" w:eastAsia="Times New Roman" w:hAnsi="Times New Roman"/>
          <w:sz w:val="11"/>
          <w:szCs w:val="11"/>
          <w:u w:val="single" w:color="auto"/>
          <w:color w:val="0000FF"/>
        </w:rPr>
      </w:pPr>
      <w:hyperlink r:id="rId106">
        <w:r>
          <w:rPr>
            <w:rFonts w:ascii="Times New Roman" w:cs="Times New Roman" w:eastAsia="Times New Roman" w:hAnsi="Times New Roman"/>
            <w:sz w:val="11"/>
            <w:szCs w:val="11"/>
            <w:u w:val="single" w:color="auto"/>
            <w:color w:val="0000FF"/>
          </w:rPr>
          <w:t>Series Supplement), dated as of February 26, 2026</w:t>
        </w:r>
      </w:hyperlink>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gridSpan w:val="15"/>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2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15"/>
            <w:vMerge w:val="continue"/>
          </w:tcPr>
          <w:p>
            <w:pPr>
              <w:spacing w:after="0"/>
              <w:rPr>
                <w:sz w:val="13"/>
                <w:szCs w:val="13"/>
                <w:color w:val="auto"/>
              </w:rPr>
            </w:pP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9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4.8</w:t>
            </w: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20" w:type="dxa"/>
            <w:vAlign w:val="bottom"/>
            <w:tcBorders>
              <w:top w:val="single" w:sz="8" w:color="auto"/>
            </w:tcBorders>
            <w:gridSpan w:val="17"/>
          </w:tcPr>
          <w:p>
            <w:pPr>
              <w:spacing w:after="0" w:line="102" w:lineRule="exact"/>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Series Supplement by and between CenterPoint Energy</w:t>
              </w:r>
            </w:hyperlink>
          </w:p>
        </w:tc>
        <w:tc>
          <w:tcPr>
            <w:tcW w:w="100" w:type="dxa"/>
            <w:vAlign w:val="bottom"/>
          </w:tcPr>
          <w:p>
            <w:pPr>
              <w:spacing w:after="0"/>
              <w:rPr>
                <w:sz w:val="8"/>
                <w:szCs w:val="8"/>
                <w:color w:val="auto"/>
              </w:rPr>
            </w:pPr>
          </w:p>
        </w:tc>
        <w:tc>
          <w:tcPr>
            <w:tcW w:w="16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Houston Electric’s Form 8-K dated</w:t>
            </w:r>
          </w:p>
        </w:tc>
        <w:tc>
          <w:tcPr>
            <w:tcW w:w="100" w:type="dxa"/>
            <w:vAlign w:val="bottom"/>
          </w:tcPr>
          <w:p>
            <w:pPr>
              <w:spacing w:after="0"/>
              <w:rPr>
                <w:sz w:val="8"/>
                <w:szCs w:val="8"/>
                <w:color w:val="auto"/>
              </w:rPr>
            </w:pPr>
          </w:p>
        </w:tc>
        <w:tc>
          <w:tcPr>
            <w:tcW w:w="1100" w:type="dxa"/>
            <w:vAlign w:val="bottom"/>
            <w:tcBorders>
              <w:top w:val="single" w:sz="8" w:color="auto"/>
            </w:tcBorders>
          </w:tcPr>
          <w:p>
            <w:pPr>
              <w:jc w:val="right"/>
              <w:ind w:right="343"/>
              <w:spacing w:after="0" w:line="102" w:lineRule="exact"/>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8"/>
                <w:szCs w:val="8"/>
                <w:color w:val="auto"/>
              </w:rPr>
            </w:pPr>
          </w:p>
        </w:tc>
        <w:tc>
          <w:tcPr>
            <w:tcW w:w="920" w:type="dxa"/>
            <w:vAlign w:val="bottom"/>
            <w:tcBorders>
              <w:top w:val="single" w:sz="8" w:color="auto"/>
            </w:tcBorders>
          </w:tcPr>
          <w:p>
            <w:pPr>
              <w:jc w:val="right"/>
              <w:ind w:right="343"/>
              <w:spacing w:after="0" w:line="102" w:lineRule="exact"/>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1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20" w:type="dxa"/>
            <w:vAlign w:val="bottom"/>
            <w:gridSpan w:val="2"/>
            <w:vMerge w:val="restart"/>
          </w:tcPr>
          <w:p>
            <w:pPr>
              <w:spacing w:after="0" w:line="117" w:lineRule="exact"/>
              <w:rPr>
                <w:sz w:val="20"/>
                <w:szCs w:val="20"/>
                <w:color w:val="auto"/>
              </w:rPr>
            </w:pPr>
            <w:r>
              <w:rPr>
                <w:rFonts w:ascii="Times New Roman" w:cs="Times New Roman" w:eastAsia="Times New Roman" w:hAnsi="Times New Roman"/>
                <w:sz w:val="11"/>
                <w:szCs w:val="11"/>
                <w:color w:val="auto"/>
              </w:rPr>
              <w:t>February 26, 2026</w:t>
            </w: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tcBorders>
              <w:bottom w:val="single" w:sz="8" w:color="0000FF"/>
            </w:tcBorders>
            <w:gridSpan w:val="13"/>
          </w:tcPr>
          <w:p>
            <w:pPr>
              <w:spacing w:after="0" w:line="96" w:lineRule="exact"/>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Restoration Bond Company III, LLC and U.S. Bank Trust</w:t>
              </w:r>
            </w:hyperlink>
          </w:p>
        </w:tc>
        <w:tc>
          <w:tcPr>
            <w:tcW w:w="280" w:type="dxa"/>
            <w:vAlign w:val="bottom"/>
            <w:gridSpan w:val="5"/>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gridSpan w:val="18"/>
          </w:tcPr>
          <w:p>
            <w:pPr>
              <w:spacing w:after="0" w:line="97" w:lineRule="exact"/>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Company, National Association, as Indenture Trustee, dated</w:t>
              </w:r>
            </w:hyperlink>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as of February 26, 2026</w:t>
              </w:r>
            </w:hyperlink>
          </w:p>
        </w:tc>
        <w:tc>
          <w:tcPr>
            <w:tcW w:w="1640" w:type="dxa"/>
            <w:vAlign w:val="bottom"/>
            <w:tcBorders>
              <w:top w:val="single" w:sz="8" w:color="0000FF"/>
            </w:tcBorders>
            <w:gridSpan w:val="1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18"/>
          </w:tcPr>
          <w:p>
            <w:pPr>
              <w:spacing w:after="0"/>
              <w:rPr>
                <w:rFonts w:ascii="Times New Roman" w:cs="Times New Roman" w:eastAsia="Times New Roman" w:hAnsi="Times New Roman"/>
                <w:sz w:val="11"/>
                <w:szCs w:val="11"/>
                <w:color w:val="0000FF"/>
              </w:rPr>
            </w:pPr>
            <w:hyperlink r:id="rId109">
              <w:r>
                <w:rPr>
                  <w:rFonts w:ascii="Times New Roman" w:cs="Times New Roman" w:eastAsia="Times New Roman" w:hAnsi="Times New Roman"/>
                  <w:sz w:val="11"/>
                  <w:szCs w:val="11"/>
                  <w:color w:val="0000FF"/>
                </w:rPr>
                <w:t>Term Loan Agreement, dated as of January 16, 2026, among</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CERC’s Form 8-K dated January</w:t>
            </w:r>
          </w:p>
        </w:tc>
        <w:tc>
          <w:tcPr>
            <w:tcW w:w="110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1"/>
                <w:szCs w:val="11"/>
                <w:color w:val="auto"/>
              </w:rPr>
            </w:pPr>
          </w:p>
        </w:tc>
        <w:tc>
          <w:tcPr>
            <w:tcW w:w="9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tcBorders>
              <w:top w:val="single" w:sz="8" w:color="0000FF"/>
            </w:tcBorders>
            <w:gridSpan w:val="16"/>
          </w:tcPr>
          <w:p>
            <w:pPr>
              <w:spacing w:after="0" w:line="96" w:lineRule="exact"/>
              <w:rPr>
                <w:rFonts w:ascii="Times New Roman" w:cs="Times New Roman" w:eastAsia="Times New Roman" w:hAnsi="Times New Roman"/>
                <w:sz w:val="11"/>
                <w:szCs w:val="11"/>
                <w:color w:val="0000FF"/>
              </w:rPr>
            </w:pPr>
            <w:hyperlink r:id="rId109">
              <w:r>
                <w:rPr>
                  <w:rFonts w:ascii="Times New Roman" w:cs="Times New Roman" w:eastAsia="Times New Roman" w:hAnsi="Times New Roman"/>
                  <w:sz w:val="11"/>
                  <w:szCs w:val="11"/>
                  <w:color w:val="0000FF"/>
                </w:rPr>
                <w:t>CenterPoint Energy Resources Corp., as Borrower, Toronto</w:t>
              </w:r>
            </w:hyperlink>
          </w:p>
        </w:tc>
        <w:tc>
          <w:tcPr>
            <w:tcW w:w="180" w:type="dxa"/>
            <w:vAlign w:val="bottom"/>
            <w:gridSpan w:val="2"/>
          </w:tcPr>
          <w:p>
            <w:pPr>
              <w:spacing w:after="0"/>
              <w:rPr>
                <w:sz w:val="8"/>
                <w:szCs w:val="8"/>
                <w:color w:val="auto"/>
              </w:rPr>
            </w:pPr>
          </w:p>
        </w:tc>
        <w:tc>
          <w:tcPr>
            <w:tcW w:w="1620" w:type="dxa"/>
            <w:vAlign w:val="bottom"/>
          </w:tcPr>
          <w:p>
            <w:pPr>
              <w:spacing w:after="0" w:line="96" w:lineRule="exact"/>
              <w:rPr>
                <w:sz w:val="20"/>
                <w:szCs w:val="20"/>
                <w:color w:val="auto"/>
              </w:rPr>
            </w:pPr>
            <w:r>
              <w:rPr>
                <w:rFonts w:ascii="Times New Roman" w:cs="Times New Roman" w:eastAsia="Times New Roman" w:hAnsi="Times New Roman"/>
                <w:sz w:val="11"/>
                <w:szCs w:val="11"/>
                <w:color w:val="auto"/>
              </w:rPr>
              <w:t>16, 2026</w:t>
            </w: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tcBorders>
              <w:top w:val="single" w:sz="8" w:color="0000FF"/>
            </w:tcBorders>
            <w:gridSpan w:val="14"/>
          </w:tcPr>
          <w:p>
            <w:pPr>
              <w:spacing w:after="0" w:line="97" w:lineRule="exact"/>
              <w:rPr>
                <w:rFonts w:ascii="Times New Roman" w:cs="Times New Roman" w:eastAsia="Times New Roman" w:hAnsi="Times New Roman"/>
                <w:sz w:val="11"/>
                <w:szCs w:val="11"/>
                <w:color w:val="0000FF"/>
              </w:rPr>
            </w:pPr>
            <w:hyperlink r:id="rId109">
              <w:r>
                <w:rPr>
                  <w:rFonts w:ascii="Times New Roman" w:cs="Times New Roman" w:eastAsia="Times New Roman" w:hAnsi="Times New Roman"/>
                  <w:sz w:val="11"/>
                  <w:szCs w:val="11"/>
                  <w:color w:val="0000FF"/>
                </w:rPr>
                <w:t>Dominion (Texas) LLC, as Administrative Agent, and the</w:t>
              </w:r>
            </w:hyperlink>
          </w:p>
        </w:tc>
        <w:tc>
          <w:tcPr>
            <w:tcW w:w="240" w:type="dxa"/>
            <w:vAlign w:val="bottom"/>
            <w:gridSpan w:val="4"/>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top w:val="single" w:sz="8" w:color="0000FF"/>
              <w:bottom w:val="single" w:sz="8" w:color="0000FF"/>
            </w:tcBorders>
            <w:gridSpan w:val="2"/>
          </w:tcPr>
          <w:p>
            <w:pPr>
              <w:spacing w:after="0" w:line="97" w:lineRule="exact"/>
              <w:rPr>
                <w:rFonts w:ascii="Times New Roman" w:cs="Times New Roman" w:eastAsia="Times New Roman" w:hAnsi="Times New Roman"/>
                <w:sz w:val="11"/>
                <w:szCs w:val="11"/>
                <w:color w:val="0000FF"/>
              </w:rPr>
            </w:pPr>
            <w:hyperlink r:id="rId109">
              <w:r>
                <w:rPr>
                  <w:rFonts w:ascii="Times New Roman" w:cs="Times New Roman" w:eastAsia="Times New Roman" w:hAnsi="Times New Roman"/>
                  <w:sz w:val="11"/>
                  <w:szCs w:val="11"/>
                  <w:color w:val="0000FF"/>
                </w:rPr>
                <w:t>banks named therein</w:t>
              </w:r>
            </w:hyperlink>
          </w:p>
        </w:tc>
        <w:tc>
          <w:tcPr>
            <w:tcW w:w="1680" w:type="dxa"/>
            <w:vAlign w:val="bottom"/>
            <w:tcBorders>
              <w:top w:val="single" w:sz="8" w:color="0000FF"/>
            </w:tcBorders>
            <w:gridSpan w:val="10"/>
          </w:tcPr>
          <w:p>
            <w:pPr>
              <w:spacing w:after="0"/>
              <w:rPr>
                <w:sz w:val="8"/>
                <w:szCs w:val="8"/>
                <w:color w:val="auto"/>
              </w:rPr>
            </w:pPr>
          </w:p>
        </w:tc>
        <w:tc>
          <w:tcPr>
            <w:tcW w:w="300" w:type="dxa"/>
            <w:vAlign w:val="bottom"/>
            <w:gridSpan w:val="6"/>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†31.1.1</w:t>
            </w:r>
          </w:p>
        </w:tc>
        <w:tc>
          <w:tcPr>
            <w:tcW w:w="20" w:type="dxa"/>
            <w:vAlign w:val="bottom"/>
          </w:tcPr>
          <w:p>
            <w:pPr>
              <w:spacing w:after="0"/>
              <w:rPr>
                <w:sz w:val="12"/>
                <w:szCs w:val="12"/>
                <w:color w:val="auto"/>
              </w:rPr>
            </w:pPr>
          </w:p>
        </w:tc>
        <w:tc>
          <w:tcPr>
            <w:tcW w:w="25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1"/>
                <w:szCs w:val="11"/>
                <w:color w:val="0000FF"/>
              </w:rPr>
              <w:t>Rule 13a-14(a)/15d-14(a) Certification of Jason P. Wells</w:t>
            </w:r>
          </w:p>
        </w:tc>
        <w:tc>
          <w:tcPr>
            <w:tcW w:w="360" w:type="dxa"/>
            <w:vAlign w:val="bottom"/>
            <w:gridSpan w:val="8"/>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†31.1.2</w:t>
            </w: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0000FF"/>
              </w:rPr>
              <w:t>Rule 13a-14(a)/15d-14(a) Certification of Jesus Soto, Jr</w:t>
            </w:r>
            <w:r>
              <w:rPr>
                <w:rFonts w:ascii="Times New Roman" w:cs="Times New Roman" w:eastAsia="Times New Roman" w:hAnsi="Times New Roman"/>
                <w:sz w:val="11"/>
                <w:szCs w:val="11"/>
                <w:color w:val="000000"/>
              </w:rPr>
              <w: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†31.1.3</w:t>
            </w: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0000FF"/>
              </w:rPr>
              <w:t>Rule 13a-14(a)/15d-14(a) Certification of Jesus Soto, Jr.</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†31.2.1</w:t>
            </w: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0000FF"/>
              </w:rPr>
              <w:t>Rule 13a-14(a)/15d-14(a) Certification of Christopher A.</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80" w:type="dxa"/>
            <w:vAlign w:val="bottom"/>
            <w:tcBorders>
              <w:top w:val="single" w:sz="8" w:color="0000FF"/>
            </w:tcBorders>
            <w:gridSpan w:val="11"/>
          </w:tcPr>
          <w:p>
            <w:pPr>
              <w:spacing w:after="0" w:line="86" w:lineRule="exact"/>
              <w:rPr>
                <w:sz w:val="20"/>
                <w:szCs w:val="20"/>
                <w:color w:val="auto"/>
              </w:rPr>
            </w:pPr>
            <w:r>
              <w:rPr>
                <w:rFonts w:ascii="Times New Roman" w:cs="Times New Roman" w:eastAsia="Times New Roman" w:hAnsi="Times New Roman"/>
                <w:sz w:val="9"/>
                <w:szCs w:val="9"/>
                <w:color w:val="0000FF"/>
              </w:rPr>
              <w:t>Foster</w:t>
            </w:r>
          </w:p>
        </w:tc>
        <w:tc>
          <w:tcPr>
            <w:tcW w:w="340" w:type="dxa"/>
            <w:vAlign w:val="bottom"/>
            <w:gridSpan w:val="7"/>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†31.2.2</w:t>
            </w: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0000FF"/>
              </w:rPr>
              <w:t>Rule 13a-14(a)/15d-14(a) Certification of Christopher A.</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80" w:type="dxa"/>
            <w:vAlign w:val="bottom"/>
            <w:tcBorders>
              <w:top w:val="single" w:sz="8" w:color="0000FF"/>
            </w:tcBorders>
            <w:gridSpan w:val="11"/>
          </w:tcPr>
          <w:p>
            <w:pPr>
              <w:spacing w:after="0" w:line="86" w:lineRule="exact"/>
              <w:rPr>
                <w:sz w:val="20"/>
                <w:szCs w:val="20"/>
                <w:color w:val="auto"/>
              </w:rPr>
            </w:pPr>
            <w:r>
              <w:rPr>
                <w:rFonts w:ascii="Times New Roman" w:cs="Times New Roman" w:eastAsia="Times New Roman" w:hAnsi="Times New Roman"/>
                <w:sz w:val="9"/>
                <w:szCs w:val="9"/>
                <w:color w:val="0000FF"/>
              </w:rPr>
              <w:t>Foster</w:t>
            </w:r>
          </w:p>
        </w:tc>
        <w:tc>
          <w:tcPr>
            <w:tcW w:w="340" w:type="dxa"/>
            <w:vAlign w:val="bottom"/>
            <w:gridSpan w:val="7"/>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†31.2.3</w:t>
            </w: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0000FF"/>
              </w:rPr>
              <w:t>Rule 13a-14(a)/15d-14(a) Certification of Christopher A.</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80" w:type="dxa"/>
            <w:vAlign w:val="bottom"/>
            <w:tcBorders>
              <w:top w:val="single" w:sz="8" w:color="0000FF"/>
            </w:tcBorders>
            <w:gridSpan w:val="11"/>
          </w:tcPr>
          <w:p>
            <w:pPr>
              <w:spacing w:after="0" w:line="86" w:lineRule="exact"/>
              <w:rPr>
                <w:sz w:val="20"/>
                <w:szCs w:val="20"/>
                <w:color w:val="auto"/>
              </w:rPr>
            </w:pPr>
            <w:r>
              <w:rPr>
                <w:rFonts w:ascii="Times New Roman" w:cs="Times New Roman" w:eastAsia="Times New Roman" w:hAnsi="Times New Roman"/>
                <w:sz w:val="9"/>
                <w:szCs w:val="9"/>
                <w:color w:val="0000FF"/>
              </w:rPr>
              <w:t>Foster</w:t>
            </w:r>
          </w:p>
        </w:tc>
        <w:tc>
          <w:tcPr>
            <w:tcW w:w="340" w:type="dxa"/>
            <w:vAlign w:val="bottom"/>
            <w:gridSpan w:val="7"/>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†32.1.1</w:t>
            </w:r>
          </w:p>
        </w:tc>
        <w:tc>
          <w:tcPr>
            <w:tcW w:w="20" w:type="dxa"/>
            <w:vAlign w:val="bottom"/>
          </w:tcPr>
          <w:p>
            <w:pPr>
              <w:spacing w:after="0"/>
              <w:rPr>
                <w:sz w:val="12"/>
                <w:szCs w:val="12"/>
                <w:color w:val="auto"/>
              </w:rPr>
            </w:pPr>
          </w:p>
        </w:tc>
        <w:tc>
          <w:tcPr>
            <w:tcW w:w="2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1"/>
                <w:szCs w:val="11"/>
                <w:color w:val="0000FF"/>
              </w:rPr>
              <w:t>Section 1350 Certification of Jason P. Wells</w:t>
            </w:r>
          </w:p>
        </w:tc>
        <w:tc>
          <w:tcPr>
            <w:tcW w:w="920" w:type="dxa"/>
            <w:vAlign w:val="bottom"/>
            <w:gridSpan w:val="13"/>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†32.1.2</w:t>
            </w:r>
          </w:p>
        </w:tc>
        <w:tc>
          <w:tcPr>
            <w:tcW w:w="20" w:type="dxa"/>
            <w:vAlign w:val="bottom"/>
          </w:tcPr>
          <w:p>
            <w:pPr>
              <w:spacing w:after="0"/>
              <w:rPr>
                <w:sz w:val="12"/>
                <w:szCs w:val="12"/>
                <w:color w:val="auto"/>
              </w:rPr>
            </w:pPr>
          </w:p>
        </w:tc>
        <w:tc>
          <w:tcPr>
            <w:tcW w:w="1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1"/>
                <w:szCs w:val="11"/>
                <w:color w:val="0000FF"/>
              </w:rPr>
              <w:t>Section 1350 Certification of Jesus Soto, Jr.</w:t>
            </w:r>
          </w:p>
        </w:tc>
        <w:tc>
          <w:tcPr>
            <w:tcW w:w="940" w:type="dxa"/>
            <w:vAlign w:val="bottom"/>
            <w:gridSpan w:val="14"/>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†32.1.3</w:t>
            </w:r>
          </w:p>
        </w:tc>
        <w:tc>
          <w:tcPr>
            <w:tcW w:w="20" w:type="dxa"/>
            <w:vAlign w:val="bottom"/>
          </w:tcPr>
          <w:p>
            <w:pPr>
              <w:spacing w:after="0"/>
              <w:rPr>
                <w:sz w:val="12"/>
                <w:szCs w:val="12"/>
                <w:color w:val="auto"/>
              </w:rPr>
            </w:pPr>
          </w:p>
        </w:tc>
        <w:tc>
          <w:tcPr>
            <w:tcW w:w="1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1"/>
                <w:szCs w:val="11"/>
                <w:color w:val="0000FF"/>
              </w:rPr>
              <w:t>Section 1350 Certification of Jesus Soto, Jr.</w:t>
            </w:r>
          </w:p>
        </w:tc>
        <w:tc>
          <w:tcPr>
            <w:tcW w:w="940" w:type="dxa"/>
            <w:vAlign w:val="bottom"/>
            <w:gridSpan w:val="14"/>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†32.2.1</w:t>
            </w: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0000FF"/>
              </w:rPr>
              <w:t>Section 1350 Certification of Christopher A. Foster</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†32.2.2</w:t>
            </w: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0000FF"/>
              </w:rPr>
              <w:t>Section 1350 Certification of Christopher A. Foster</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†32.2.3</w:t>
            </w: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0000FF"/>
              </w:rPr>
              <w:t>Section 1350 Certification of Christopher A. Foster</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†101.INS</w:t>
            </w:r>
          </w:p>
        </w:tc>
        <w:tc>
          <w:tcPr>
            <w:tcW w:w="20" w:type="dxa"/>
            <w:vAlign w:val="bottom"/>
          </w:tcPr>
          <w:p>
            <w:pPr>
              <w:spacing w:after="0"/>
              <w:rPr>
                <w:sz w:val="11"/>
                <w:szCs w:val="11"/>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auto"/>
              </w:rPr>
              <w:t>Inline XBRL Instance Document - the instance document</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920" w:type="dxa"/>
            <w:vAlign w:val="bottom"/>
            <w:gridSpan w:val="18"/>
          </w:tcPr>
          <w:p>
            <w:pPr>
              <w:spacing w:after="0" w:line="110" w:lineRule="exact"/>
              <w:rPr>
                <w:sz w:val="20"/>
                <w:szCs w:val="20"/>
                <w:color w:val="auto"/>
              </w:rPr>
            </w:pPr>
            <w:r>
              <w:rPr>
                <w:rFonts w:ascii="Times New Roman" w:cs="Times New Roman" w:eastAsia="Times New Roman" w:hAnsi="Times New Roman"/>
                <w:sz w:val="11"/>
                <w:szCs w:val="11"/>
                <w:color w:val="auto"/>
              </w:rPr>
              <w:t>does not appear in the Interactive Data File because its XBRL</w:t>
            </w: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auto"/>
              </w:rPr>
              <w:t>tags are embedded within the Inline XBRL 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†101.SCH</w:t>
            </w:r>
          </w:p>
        </w:tc>
        <w:tc>
          <w:tcPr>
            <w:tcW w:w="20" w:type="dxa"/>
            <w:vAlign w:val="bottom"/>
          </w:tcPr>
          <w:p>
            <w:pPr>
              <w:spacing w:after="0"/>
              <w:rPr>
                <w:sz w:val="13"/>
                <w:szCs w:val="13"/>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5"/>
        </w:trPr>
        <w:tc>
          <w:tcPr>
            <w:tcW w:w="106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1"/>
                <w:szCs w:val="11"/>
                <w:color w:val="auto"/>
              </w:rPr>
              <w:t>†101.CAL</w:t>
            </w:r>
          </w:p>
        </w:tc>
        <w:tc>
          <w:tcPr>
            <w:tcW w:w="20" w:type="dxa"/>
            <w:vAlign w:val="bottom"/>
          </w:tcPr>
          <w:p>
            <w:pPr>
              <w:spacing w:after="0"/>
              <w:rPr>
                <w:sz w:val="10"/>
                <w:szCs w:val="10"/>
                <w:color w:val="auto"/>
              </w:rPr>
            </w:pPr>
          </w:p>
        </w:tc>
        <w:tc>
          <w:tcPr>
            <w:tcW w:w="2920" w:type="dxa"/>
            <w:vAlign w:val="bottom"/>
            <w:gridSpan w:val="18"/>
          </w:tcPr>
          <w:p>
            <w:pPr>
              <w:spacing w:after="0" w:line="125" w:lineRule="exact"/>
              <w:rPr>
                <w:sz w:val="20"/>
                <w:szCs w:val="20"/>
                <w:color w:val="auto"/>
              </w:rPr>
            </w:pPr>
            <w:r>
              <w:rPr>
                <w:rFonts w:ascii="Times New Roman" w:cs="Times New Roman" w:eastAsia="Times New Roman" w:hAnsi="Times New Roman"/>
                <w:sz w:val="11"/>
                <w:szCs w:val="11"/>
                <w:color w:val="auto"/>
              </w:rPr>
              <w:t>Inline XBRL Taxonomy Extension Calculation Linkbase</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†101.DEF</w:t>
            </w:r>
          </w:p>
        </w:tc>
        <w:tc>
          <w:tcPr>
            <w:tcW w:w="20" w:type="dxa"/>
            <w:vAlign w:val="bottom"/>
          </w:tcPr>
          <w:p>
            <w:pPr>
              <w:spacing w:after="0"/>
              <w:rPr>
                <w:sz w:val="10"/>
                <w:szCs w:val="10"/>
                <w:color w:val="auto"/>
              </w:rPr>
            </w:pPr>
          </w:p>
        </w:tc>
        <w:tc>
          <w:tcPr>
            <w:tcW w:w="2920" w:type="dxa"/>
            <w:vAlign w:val="bottom"/>
            <w:gridSpan w:val="18"/>
          </w:tcPr>
          <w:p>
            <w:pPr>
              <w:spacing w:after="0" w:line="119" w:lineRule="exact"/>
              <w:rPr>
                <w:sz w:val="20"/>
                <w:szCs w:val="20"/>
                <w:color w:val="auto"/>
              </w:rPr>
            </w:pPr>
            <w:r>
              <w:rPr>
                <w:rFonts w:ascii="Times New Roman" w:cs="Times New Roman" w:eastAsia="Times New Roman" w:hAnsi="Times New Roman"/>
                <w:sz w:val="11"/>
                <w:szCs w:val="11"/>
                <w:color w:val="auto"/>
              </w:rPr>
              <w:t>Inline XBRL Taxonomy Extension Definition Linkbase</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†101.LAB</w:t>
            </w:r>
          </w:p>
        </w:tc>
        <w:tc>
          <w:tcPr>
            <w:tcW w:w="20" w:type="dxa"/>
            <w:vAlign w:val="bottom"/>
          </w:tcPr>
          <w:p>
            <w:pPr>
              <w:spacing w:after="0"/>
              <w:rPr>
                <w:sz w:val="10"/>
                <w:szCs w:val="10"/>
                <w:color w:val="auto"/>
              </w:rPr>
            </w:pPr>
          </w:p>
        </w:tc>
        <w:tc>
          <w:tcPr>
            <w:tcW w:w="2920" w:type="dxa"/>
            <w:vAlign w:val="bottom"/>
            <w:gridSpan w:val="18"/>
          </w:tcPr>
          <w:p>
            <w:pPr>
              <w:spacing w:after="0" w:line="119" w:lineRule="exact"/>
              <w:rPr>
                <w:sz w:val="20"/>
                <w:szCs w:val="20"/>
                <w:color w:val="auto"/>
              </w:rPr>
            </w:pPr>
            <w:r>
              <w:rPr>
                <w:rFonts w:ascii="Times New Roman" w:cs="Times New Roman" w:eastAsia="Times New Roman" w:hAnsi="Times New Roman"/>
                <w:sz w:val="11"/>
                <w:szCs w:val="11"/>
                <w:color w:val="auto"/>
              </w:rPr>
              <w:t>Inline XBRL Taxonomy Extension Labels Linkbase</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†101.PRE</w:t>
            </w:r>
          </w:p>
        </w:tc>
        <w:tc>
          <w:tcPr>
            <w:tcW w:w="20" w:type="dxa"/>
            <w:vAlign w:val="bottom"/>
          </w:tcPr>
          <w:p>
            <w:pPr>
              <w:spacing w:after="0"/>
              <w:rPr>
                <w:sz w:val="10"/>
                <w:szCs w:val="10"/>
                <w:color w:val="auto"/>
              </w:rPr>
            </w:pPr>
          </w:p>
        </w:tc>
        <w:tc>
          <w:tcPr>
            <w:tcW w:w="2920" w:type="dxa"/>
            <w:vAlign w:val="bottom"/>
            <w:gridSpan w:val="18"/>
          </w:tcPr>
          <w:p>
            <w:pPr>
              <w:spacing w:after="0" w:line="119" w:lineRule="exact"/>
              <w:rPr>
                <w:sz w:val="20"/>
                <w:szCs w:val="20"/>
                <w:color w:val="auto"/>
              </w:rPr>
            </w:pPr>
            <w:r>
              <w:rPr>
                <w:rFonts w:ascii="Times New Roman" w:cs="Times New Roman" w:eastAsia="Times New Roman" w:hAnsi="Times New Roman"/>
                <w:sz w:val="11"/>
                <w:szCs w:val="11"/>
                <w:color w:val="auto"/>
              </w:rPr>
              <w:t>Inline XBRL Taxonomy Extension Presentation Linkbase</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w w:val="99"/>
              </w:rPr>
              <w:t>†104</w:t>
            </w:r>
          </w:p>
        </w:tc>
        <w:tc>
          <w:tcPr>
            <w:tcW w:w="20" w:type="dxa"/>
            <w:vAlign w:val="bottom"/>
          </w:tcPr>
          <w:p>
            <w:pPr>
              <w:spacing w:after="0"/>
              <w:rPr>
                <w:sz w:val="10"/>
                <w:szCs w:val="10"/>
                <w:color w:val="auto"/>
              </w:rPr>
            </w:pPr>
          </w:p>
        </w:tc>
        <w:tc>
          <w:tcPr>
            <w:tcW w:w="2920" w:type="dxa"/>
            <w:vAlign w:val="bottom"/>
            <w:gridSpan w:val="18"/>
          </w:tcPr>
          <w:p>
            <w:pPr>
              <w:spacing w:after="0" w:line="119" w:lineRule="exact"/>
              <w:rPr>
                <w:sz w:val="20"/>
                <w:szCs w:val="20"/>
                <w:color w:val="auto"/>
              </w:rPr>
            </w:pPr>
            <w:r>
              <w:rPr>
                <w:rFonts w:ascii="Times New Roman" w:cs="Times New Roman" w:eastAsia="Times New Roman" w:hAnsi="Times New Roman"/>
                <w:sz w:val="11"/>
                <w:szCs w:val="11"/>
                <w:color w:val="auto"/>
              </w:rPr>
              <w:t>Cover Page Interactive Data File (formatted as Inline XBRL</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18"/>
          </w:tcPr>
          <w:p>
            <w:pPr>
              <w:spacing w:after="0"/>
              <w:rPr>
                <w:sz w:val="20"/>
                <w:szCs w:val="20"/>
                <w:color w:val="auto"/>
              </w:rPr>
            </w:pPr>
            <w:r>
              <w:rPr>
                <w:rFonts w:ascii="Times New Roman" w:cs="Times New Roman" w:eastAsia="Times New Roman" w:hAnsi="Times New Roman"/>
                <w:sz w:val="11"/>
                <w:szCs w:val="11"/>
                <w:color w:val="auto"/>
              </w:rPr>
              <w:t>and contained in Exhibit 101)</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20" w:right="560" w:hanging="202"/>
        <w:spacing w:after="0" w:line="255" w:lineRule="auto"/>
        <w:tabs>
          <w:tab w:leader="none" w:pos="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0" w:lineRule="exact"/>
        <w:rPr>
          <w:sz w:val="20"/>
          <w:szCs w:val="20"/>
          <w:color w:val="auto"/>
        </w:rPr>
      </w:pPr>
    </w:p>
    <w:p>
      <w:pPr>
        <w:spacing w:after="0" w:line="3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each registrant has duly caused this report to be signed on its behalf by the undersigned thereunto duly authorized.</w:t>
      </w:r>
    </w:p>
    <w:p>
      <w:pPr>
        <w:spacing w:after="0" w:line="230"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CENTERPOINT ENERGY, INC.</w:t>
      </w:r>
    </w:p>
    <w:p>
      <w:pPr>
        <w:spacing w:after="0" w:line="25"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w:t>
      </w:r>
    </w:p>
    <w:p>
      <w:pPr>
        <w:spacing w:after="0" w:line="19"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CENTERPOINT ENERGY RESOURCES CORP.</w:t>
      </w:r>
    </w:p>
    <w:p>
      <w:pPr>
        <w:spacing w:after="0" w:line="355" w:lineRule="exact"/>
        <w:rPr>
          <w:sz w:val="20"/>
          <w:szCs w:val="20"/>
          <w:color w:val="auto"/>
        </w:rPr>
      </w:pPr>
    </w:p>
    <w:tbl>
      <w:tblPr>
        <w:tblLayout w:type="fixed"/>
        <w:tblInd w:w="4920" w:type="dxa"/>
        <w:tblCellMar>
          <w:top w:w="0" w:type="dxa"/>
          <w:left w:w="0" w:type="dxa"/>
          <w:bottom w:w="0" w:type="dxa"/>
          <w:right w:w="0" w:type="dxa"/>
        </w:tblCellMar>
      </w:tblPr>
      <w:tr>
        <w:trPr>
          <w:trHeight w:val="184"/>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w w:val="88"/>
              </w:rPr>
              <w:t>By:</w:t>
            </w:r>
          </w:p>
        </w:tc>
        <w:tc>
          <w:tcPr>
            <w:tcW w:w="6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Russell K. Wright</w:t>
            </w:r>
          </w:p>
        </w:tc>
      </w:tr>
      <w:tr>
        <w:trPr>
          <w:trHeight w:val="167"/>
        </w:trPr>
        <w:tc>
          <w:tcPr>
            <w:tcW w:w="200" w:type="dxa"/>
            <w:vAlign w:val="bottom"/>
          </w:tcPr>
          <w:p>
            <w:pPr>
              <w:spacing w:after="0"/>
              <w:rPr>
                <w:sz w:val="14"/>
                <w:szCs w:val="14"/>
                <w:color w:val="auto"/>
              </w:rPr>
            </w:pP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Russell K. Wright</w:t>
            </w:r>
          </w:p>
        </w:tc>
      </w:tr>
      <w:tr>
        <w:trPr>
          <w:trHeight w:val="180"/>
        </w:trPr>
        <w:tc>
          <w:tcPr>
            <w:tcW w:w="200" w:type="dxa"/>
            <w:vAlign w:val="bottom"/>
          </w:tcPr>
          <w:p>
            <w:pPr>
              <w:spacing w:after="0"/>
              <w:rPr>
                <w:sz w:val="15"/>
                <w:szCs w:val="15"/>
                <w:color w:val="auto"/>
              </w:rPr>
            </w:pP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Vice President and Chief Accounting Officer</w:t>
            </w:r>
          </w:p>
        </w:tc>
      </w:tr>
      <w:tr>
        <w:trPr>
          <w:trHeight w:val="184"/>
        </w:trPr>
        <w:tc>
          <w:tcPr>
            <w:tcW w:w="200" w:type="dxa"/>
            <w:vAlign w:val="bottom"/>
          </w:tcPr>
          <w:p>
            <w:pPr>
              <w:spacing w:after="0"/>
              <w:rPr>
                <w:sz w:val="16"/>
                <w:szCs w:val="16"/>
                <w:color w:val="auto"/>
              </w:rPr>
            </w:pP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(Duly Authorized Officer and Principal Accounting Officer)</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1280"/>
          </w:cols>
          <w:pgMar w:left="300" w:top="123" w:right="319" w:bottom="1440"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4"/>
          <w:szCs w:val="14"/>
          <w:color w:val="auto"/>
        </w:rPr>
        <w:t>Exhibit 31.1.1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Jason P. Wells, certify that:</w:t>
      </w:r>
    </w:p>
    <w:p>
      <w:pPr>
        <w:spacing w:after="0" w:line="179" w:lineRule="exact"/>
        <w:rPr>
          <w:sz w:val="20"/>
          <w:szCs w:val="20"/>
          <w:color w:val="auto"/>
        </w:rPr>
      </w:pPr>
    </w:p>
    <w:p>
      <w:pPr>
        <w:ind w:left="1020" w:hanging="506"/>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Inc.;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sz w:val="20"/>
          <w:szCs w:val="20"/>
          <w:color w:val="auto"/>
        </w:rPr>
      </w:pPr>
    </w:p>
    <w:p>
      <w:pPr>
        <w:jc w:val="both"/>
        <w:ind w:left="1020" w:hanging="506"/>
        <w:spacing w:after="0" w:line="280" w:lineRule="auto"/>
        <w:tabs>
          <w:tab w:leader="none" w:pos="101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23, 2026</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Jason P. Wells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9" w:right="31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4"/>
          <w:szCs w:val="14"/>
          <w:color w:val="auto"/>
        </w:rPr>
        <w:t>Exhibit 31.1.2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Jesus Soto, Jr., certify that:</w:t>
      </w:r>
    </w:p>
    <w:p>
      <w:pPr>
        <w:spacing w:after="0" w:line="179" w:lineRule="exact"/>
        <w:rPr>
          <w:sz w:val="20"/>
          <w:szCs w:val="20"/>
          <w:color w:val="auto"/>
        </w:rPr>
      </w:pPr>
    </w:p>
    <w:p>
      <w:pPr>
        <w:ind w:left="1020" w:hanging="506"/>
        <w:spacing w:after="0"/>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Houston Electric, LLC;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23, 2026</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Jesus Soto, Jr.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9" w:right="3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4"/>
          <w:szCs w:val="14"/>
          <w:color w:val="auto"/>
        </w:rPr>
        <w:t>Exhibit 31.1.3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Jesus Soto, Jr., certify that:</w:t>
      </w:r>
    </w:p>
    <w:p>
      <w:pPr>
        <w:spacing w:after="0" w:line="179" w:lineRule="exact"/>
        <w:rPr>
          <w:sz w:val="20"/>
          <w:szCs w:val="20"/>
          <w:color w:val="auto"/>
        </w:rPr>
      </w:pPr>
    </w:p>
    <w:p>
      <w:pPr>
        <w:ind w:left="1000" w:hanging="486"/>
        <w:spacing w:after="0"/>
        <w:tabs>
          <w:tab w:leader="none" w:pos="10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Resources Corp.;</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64"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10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firstLine="514"/>
        <w:spacing w:after="0" w:line="287" w:lineRule="auto"/>
        <w:tabs>
          <w:tab w:leader="none" w:pos="1071"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23, 2026</w:t>
      </w:r>
    </w:p>
    <w:p>
      <w:pPr>
        <w:spacing w:after="0" w:line="30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14605</wp:posOffset>
            </wp:positionV>
            <wp:extent cx="224345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2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Jesus Soto, Jr.</w:t>
      </w:r>
    </w:p>
    <w:p>
      <w:pPr>
        <w:spacing w:after="0" w:line="4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9" w:right="3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4"/>
          <w:szCs w:val="14"/>
          <w:color w:val="auto"/>
        </w:rPr>
        <w:t>Exhibit 31.2.1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20" w:hanging="506"/>
        <w:spacing w:after="0"/>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Inc.;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sz w:val="20"/>
          <w:szCs w:val="20"/>
          <w:color w:val="auto"/>
        </w:rPr>
      </w:pPr>
    </w:p>
    <w:p>
      <w:pPr>
        <w:jc w:val="both"/>
        <w:ind w:left="1020" w:hanging="506"/>
        <w:spacing w:after="0" w:line="280" w:lineRule="auto"/>
        <w:tabs>
          <w:tab w:leader="none" w:pos="1018"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23, 2026</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4"/>
          <w:szCs w:val="14"/>
          <w:color w:val="auto"/>
        </w:rPr>
        <w:t>Exhibit 31.2.2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20" w:hanging="506"/>
        <w:spacing w:after="0"/>
        <w:tabs>
          <w:tab w:leader="none" w:pos="10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Houston Electric, LLC;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23, 2026</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4"/>
          <w:szCs w:val="14"/>
          <w:color w:val="auto"/>
        </w:rPr>
        <w:t>Exhibit 31.2.3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00" w:hanging="486"/>
        <w:spacing w:after="0"/>
        <w:tabs>
          <w:tab w:leader="none" w:pos="10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Resources Corp.;</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6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10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firstLine="514"/>
        <w:spacing w:after="0" w:line="287" w:lineRule="auto"/>
        <w:tabs>
          <w:tab w:leader="none" w:pos="1071"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8"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23, 2026</w:t>
      </w:r>
    </w:p>
    <w:p>
      <w:pPr>
        <w:spacing w:after="0" w:line="30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4860925</wp:posOffset>
            </wp:positionH>
            <wp:positionV relativeFrom="paragraph">
              <wp:posOffset>14605</wp:posOffset>
            </wp:positionV>
            <wp:extent cx="230441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2304415" cy="6985"/>
                    </a:xfrm>
                    <a:prstGeom prst="rect">
                      <a:avLst/>
                    </a:prstGeom>
                    <a:noFill/>
                  </pic:spPr>
                </pic:pic>
              </a:graphicData>
            </a:graphic>
          </wp:anchor>
        </w:drawing>
      </w:r>
    </w:p>
    <w:p>
      <w:pPr>
        <w:spacing w:after="0" w:line="2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5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4"/>
          <w:szCs w:val="14"/>
          <w:color w:val="auto"/>
        </w:rPr>
        <w:t>Exhibit 32.1.1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Inc. (the “Company”) on Form 10-Q for the quarter ended March 31, 2026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Jason P. Wells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23, 2026</w:t>
      </w:r>
    </w:p>
    <w:p>
      <w:pPr>
        <w:sectPr>
          <w:pgSz w:w="11900" w:h="16838" w:orient="portrait"/>
          <w:cols w:equalWidth="0" w:num="1">
            <w:col w:w="11280"/>
          </w:cols>
          <w:pgMar w:left="300" w:top="729" w:right="3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4"/>
          <w:szCs w:val="14"/>
          <w:color w:val="auto"/>
        </w:rPr>
        <w:t>Exhibit 32.1.2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Houston Electric, LLC (the “Company”) on Form 10-Q for the quarter ended March 31, 2026 (the “Report”), as filed with the Securities and Exchange Commission on the date hereof, I, Jesus Soto, Jr.,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Jesus Soto, Jr.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23, 2026</w:t>
      </w:r>
    </w:p>
    <w:p>
      <w:pPr>
        <w:sectPr>
          <w:pgSz w:w="11900" w:h="16838" w:orient="portrait"/>
          <w:cols w:equalWidth="0" w:num="1">
            <w:col w:w="11280"/>
          </w:cols>
          <w:pgMar w:left="300" w:top="729" w:right="3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4"/>
          <w:szCs w:val="14"/>
          <w:color w:val="auto"/>
        </w:rPr>
        <w:t>Exhibit 32.1.3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Resources Corp. (the “Company”) on Form 10-Q for the quarter ended March 31, 2026 (the “Report”), as filed with the Securities and Exchange Commission on the date hereof, I, Jesus Soto, Jr.,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3944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313944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Jesus Soto, Jr.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23, 2026</w:t>
      </w:r>
    </w:p>
    <w:p>
      <w:pPr>
        <w:sectPr>
          <w:pgSz w:w="11900" w:h="16838" w:orient="portrait"/>
          <w:cols w:equalWidth="0" w:num="1">
            <w:col w:w="11280"/>
          </w:cols>
          <w:pgMar w:left="300" w:top="729" w:right="3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4"/>
          <w:szCs w:val="14"/>
          <w:color w:val="auto"/>
        </w:rPr>
        <w:t>Exhibit 32.2.1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Inc. (the “Company”) on Form 10-Q for the quarter ended March 31, 2026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23, 2026</w:t>
      </w:r>
    </w:p>
    <w:p>
      <w:pPr>
        <w:sectPr>
          <w:pgSz w:w="11900" w:h="16838" w:orient="portrait"/>
          <w:cols w:equalWidth="0" w:num="1">
            <w:col w:w="11280"/>
          </w:cols>
          <w:pgMar w:left="300" w:top="729" w:right="3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4"/>
          <w:szCs w:val="14"/>
          <w:color w:val="auto"/>
        </w:rPr>
        <w:t>Exhibit 32.2.2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Houston Electric, LLC (the “Company”) on Form 10-Q for the quarter ended March 31, 2026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23, 2026</w:t>
      </w:r>
    </w:p>
    <w:p>
      <w:pPr>
        <w:sectPr>
          <w:pgSz w:w="11900" w:h="16838" w:orient="portrait"/>
          <w:cols w:equalWidth="0" w:num="1">
            <w:col w:w="11280"/>
          </w:cols>
          <w:pgMar w:left="300" w:top="730" w:right="3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4"/>
          <w:szCs w:val="14"/>
          <w:color w:val="auto"/>
        </w:rPr>
        <w:t>Exhibit 32.2.3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Resources Corp. (the “Company”) on Form 10-Q for the quarter ended March 31, 2026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23, 2026</w:t>
      </w:r>
    </w:p>
    <w:sectPr>
      <w:pgSz w:w="11900" w:h="16838" w:orient="portrait"/>
      <w:cols w:equalWidth="0" w:num="1">
        <w:col w:w="11280"/>
      </w:cols>
      <w:pgMar w:left="300" w:top="89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decimal"/>
      <w:start w:val="1"/>
    </w:lvl>
    <w:lvl w:ilvl="1">
      <w:lvlJc w:val="left"/>
      <w:lvlText w:val="(%2)"/>
      <w:numFmt w:val="decimal"/>
      <w:start w:val="1"/>
    </w:lvl>
  </w:abstractNum>
  <w:abstractNum w:abstractNumId="9">
    <w:nsid w:val="153EA438"/>
    <w:multiLevelType w:val="hybridMultilevel"/>
    <w:lvl w:ilvl="0">
      <w:lvlJc w:val="left"/>
      <w:lvlText w:val="(%1)"/>
      <w:numFmt w:val="decimal"/>
      <w:start w:val="5"/>
    </w:lvl>
    <w:lvl w:ilvl="1">
      <w:lvlJc w:val="left"/>
      <w:lvlText w:val="%2"/>
      <w:numFmt w:val="decimal"/>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1"/>
      <w:numFmt w:val="decimal"/>
      <w:start w:val="1"/>
    </w:lvl>
    <w:lvl w:ilvl="1">
      <w:lvlJc w:val="left"/>
      <w:lvlText w:val="(%2)"/>
      <w:numFmt w:val="decimal"/>
      <w:start w:val="1"/>
    </w:lvl>
  </w:abstractNum>
  <w:abstractNum w:abstractNumId="14">
    <w:nsid w:val="1D4ED43B"/>
    <w:multiLevelType w:val="hybridMultilevel"/>
    <w:lvl w:ilvl="0">
      <w:lvlJc w:val="left"/>
      <w:lvlText w:val="(%1)"/>
      <w:numFmt w:val="decimal"/>
      <w:start w:val="8"/>
    </w:lvl>
    <w:lvl w:ilvl="1">
      <w:lvlJc w:val="left"/>
      <w:lvlText w:val="%2"/>
      <w:numFmt w:val="decimal"/>
      <w:start w:val="1"/>
    </w:lvl>
  </w:abstractNum>
  <w:abstractNum w:abstractNumId="15">
    <w:nsid w:val="725A06FB"/>
    <w:multiLevelType w:val="hybridMultilevel"/>
    <w:lvl w:ilvl="0">
      <w:lvlJc w:val="left"/>
      <w:lvlText w:val="(%1)"/>
      <w:numFmt w:val="decimal"/>
      <w:start w:val="1"/>
    </w:lvl>
  </w:abstractNum>
  <w:abstractNum w:abstractNumId="16">
    <w:nsid w:val="2CD89A32"/>
    <w:multiLevelType w:val="hybridMultilevel"/>
    <w:lvl w:ilvl="0">
      <w:lvlJc w:val="left"/>
      <w:lvlText w:val="(%1)"/>
      <w:numFmt w:val="decimal"/>
      <w:start w:val="1"/>
    </w:lvl>
  </w:abstractNum>
  <w:abstractNum w:abstractNumId="17">
    <w:nsid w:val="57E4CCAF"/>
    <w:multiLevelType w:val="hybridMultilevel"/>
    <w:lvl w:ilvl="0">
      <w:lvlJc w:val="left"/>
      <w:lvlText w:val="(%1)"/>
      <w:numFmt w:val="decimal"/>
      <w:start w:val="10"/>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lowerLetter"/>
      <w:start w:val="3"/>
    </w:lvl>
  </w:abstractNum>
  <w:abstractNum w:abstractNumId="21">
    <w:nsid w:val="6DE91B18"/>
    <w:multiLevelType w:val="hybridMultilevel"/>
    <w:lvl w:ilvl="0">
      <w:lvlJc w:val="left"/>
      <w:lvlText w:val="(%1)"/>
      <w:numFmt w:val="lowerRoman"/>
      <w:start w:val="1"/>
    </w:lvl>
  </w:abstractNum>
  <w:abstractNum w:abstractNumId="22">
    <w:nsid w:val="38437FDB"/>
    <w:multiLevelType w:val="hybridMultilevel"/>
    <w:lvl w:ilvl="0">
      <w:lvlJc w:val="left"/>
      <w:lvlText w:val="%1"/>
      <w:numFmt w:val="decimal"/>
      <w:start w:val="1"/>
    </w:lvl>
    <w:lvl w:ilvl="1">
      <w:lvlJc w:val="left"/>
      <w:lvlText w:val="(%2)"/>
      <w:numFmt w:val="decimal"/>
      <w:start w:val="1"/>
    </w:lvl>
  </w:abstractNum>
  <w:abstractNum w:abstractNumId="23">
    <w:nsid w:val="7644A45C"/>
    <w:multiLevelType w:val="hybridMultilevel"/>
    <w:lvl w:ilvl="0">
      <w:lvlJc w:val="left"/>
      <w:lvlText w:val="(%1)"/>
      <w:numFmt w:val="decimal"/>
      <w:start w:val="13"/>
    </w:lvl>
    <w:lvl w:ilvl="1">
      <w:lvlJc w:val="left"/>
      <w:lvlText w:val="%2"/>
      <w:numFmt w:val="decimal"/>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1"/>
      <w:numFmt w:val="decimal"/>
      <w:start w:val="1"/>
    </w:lvl>
    <w:lvl w:ilvl="1">
      <w:lvlJc w:val="left"/>
      <w:lvlText w:val="(%2)"/>
      <w:numFmt w:val="decimal"/>
      <w:start w:val="1"/>
    </w:lvl>
  </w:abstractNum>
  <w:abstractNum w:abstractNumId="31">
    <w:nsid w:val="75C6C33A"/>
    <w:multiLevelType w:val="hybridMultilevel"/>
    <w:lvl w:ilvl="0">
      <w:lvlJc w:val="left"/>
      <w:lvlText w:val="(%1)"/>
      <w:numFmt w:val="decimal"/>
      <w:start w:val="14"/>
    </w:lvl>
    <w:lvl w:ilvl="1">
      <w:lvlJc w:val="left"/>
      <w:lvlText w:val="%2"/>
      <w:numFmt w:val="decimal"/>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emdash "/>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lowerLetter"/>
      <w:start w:val="1"/>
    </w:lvl>
  </w:abstractNum>
  <w:abstractNum w:abstractNumId="44">
    <w:nsid w:val="47398C89"/>
    <w:multiLevelType w:val="hybridMultilevel"/>
    <w:lvl w:ilvl="0">
      <w:lvlJc w:val="left"/>
      <w:lvlText w:val="%1."/>
      <w:numFmt w:val="decimal"/>
      <w:start w:val="5"/>
    </w:lvl>
  </w:abstractNum>
  <w:abstractNum w:abstractNumId="45">
    <w:nsid w:val="354FE9F9"/>
    <w:multiLevelType w:val="hybridMultilevel"/>
    <w:lvl w:ilvl="0">
      <w:lvlJc w:val="left"/>
      <w:lvlText w:val="(%1)"/>
      <w:numFmt w:val="lowerLetter"/>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lowerLetter"/>
      <w:start w:val="1"/>
    </w:lvl>
  </w:abstractNum>
  <w:abstractNum w:abstractNumId="48">
    <w:nsid w:val="D34B6A8"/>
    <w:multiLevelType w:val="hybridMultilevel"/>
    <w:lvl w:ilvl="0">
      <w:lvlJc w:val="left"/>
      <w:lvlText w:val="%1."/>
      <w:numFmt w:val="decimal"/>
      <w:start w:val="5"/>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decimal"/>
      <w:start w:val="5"/>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decimal"/>
      <w:start w:val="5"/>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lowerLetter"/>
      <w:start w:val="1"/>
    </w:lvl>
  </w:abstractNum>
  <w:abstractNum w:abstractNumId="60">
    <w:nsid w:val="4AD084E9"/>
    <w:multiLevelType w:val="hybridMultilevel"/>
    <w:lvl w:ilvl="0">
      <w:lvlJc w:val="left"/>
      <w:lvlText w:val="%1."/>
      <w:numFmt w:val="decimal"/>
      <w:start w:val="5"/>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decimal"/>
      <w:start w:val="5"/>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107"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88" Type="http://schemas.openxmlformats.org/officeDocument/2006/relationships/hyperlink" Target="https://www.sec.gov/ix?doc=/Archives/edgar/data/0001130310/000113031026000008/cnp-20251231.htm" TargetMode="External"/><Relationship Id="rId91" Type="http://schemas.openxmlformats.org/officeDocument/2006/relationships/hyperlink" Target="https://www.sec.gov/ix?doc=/Archives/edgar/data/0001130310/000119312524039277/d794478d8k.htm" TargetMode="External"/><Relationship Id="rId92" Type="http://schemas.openxmlformats.org/officeDocument/2006/relationships/hyperlink" Target="https://www.sec.gov/Archives/edgar/data/1130310/000119312525245197/d921256dex21.htm" TargetMode="External"/><Relationship Id="rId93" Type="http://schemas.openxmlformats.org/officeDocument/2006/relationships/hyperlink" Target="https://www.sec.gov/Archives/edgar/data/1130310/000110465926044889/tm2612010d1_8k.htm" TargetMode="External"/><Relationship Id="rId94" Type="http://schemas.openxmlformats.org/officeDocument/2006/relationships/hyperlink" Target="https://www.sec.gov/Archives/edgar/data/48732/000113031011000048/ex3-1.htm" TargetMode="External"/><Relationship Id="rId95" Type="http://schemas.openxmlformats.org/officeDocument/2006/relationships/hyperlink" Target="https://www.sec.gov/Archives/edgar/data/1042773/0000950129-98-001585.txt" TargetMode="External"/><Relationship Id="rId96" Type="http://schemas.openxmlformats.org/officeDocument/2006/relationships/hyperlink" Target="https://www.sec.gov/Archives/edgar/data/48732/0000950129-99-001059.txt" TargetMode="External"/><Relationship Id="rId97" Type="http://schemas.openxmlformats.org/officeDocument/2006/relationships/hyperlink" Target="https://www.sec.gov/Archives/edgar/data/1042773/000095012903004183/h07971exv3wa4.txt" TargetMode="External"/><Relationship Id="rId98" Type="http://schemas.openxmlformats.org/officeDocument/2006/relationships/hyperlink" Target="https://www.sec.gov/Archives/edgar/data/1130310/000113031025000122/a250925fifthamendedandre.htm" TargetMode="External"/><Relationship Id="rId99" Type="http://schemas.openxmlformats.org/officeDocument/2006/relationships/hyperlink" Target="https://www.sec.gov/Archives/edgar/data/48732/000113031011000048/ex3-2.htm" TargetMode="External"/><Relationship Id="rId100" Type="http://schemas.openxmlformats.org/officeDocument/2006/relationships/hyperlink" Target="https://www.sec.gov/Archives/edgar/data/1130310/000113031012000011/exhibit3c.htm" TargetMode="External"/><Relationship Id="rId101" Type="http://schemas.openxmlformats.org/officeDocument/2006/relationships/hyperlink" Target="https://www.sec.gov/Archives/edgar/data/1130310/000110465926020626/tm267410d1_ex4-1.htm" TargetMode="External"/><Relationship Id="rId102" Type="http://schemas.openxmlformats.org/officeDocument/2006/relationships/hyperlink" Target="https://www.sec.gov/Archives/edgar/data/48732/000095012902005703/h01010exv4wj1.txt" TargetMode="External"/><Relationship Id="rId103" Type="http://schemas.openxmlformats.org/officeDocument/2006/relationships/hyperlink" Target="https://www.sec.gov/Archives/edgar/data/48732/000095012903001324/h03758exv4wk10.txt" TargetMode="External"/><Relationship Id="rId104" Type="http://schemas.openxmlformats.org/officeDocument/2006/relationships/hyperlink" Target="https://www.sec.gov/Archives/edgar/data/48732/000095013409000323/h65378exv4w2.htm" TargetMode="External"/><Relationship Id="rId105" Type="http://schemas.openxmlformats.org/officeDocument/2006/relationships/hyperlink" Target="https://www.sec.gov/Archives/edgar/data/48732/000110465926019763/tm267005d4_ex4-4.htm" TargetMode="External"/><Relationship Id="rId106" Type="http://schemas.openxmlformats.org/officeDocument/2006/relationships/hyperlink" Target="https://www.sec.gov/Archives/edgar/data/48732/000110465926020633/tm267408d1_ex4-1.htm" TargetMode="External"/><Relationship Id="rId108" Type="http://schemas.openxmlformats.org/officeDocument/2006/relationships/hyperlink" Target="https://www.sec.gov/Archives/edgar/data/48732/000110465926020633/tm267408d1_ex4-2.htm" TargetMode="External"/><Relationship Id="rId109" Type="http://schemas.openxmlformats.org/officeDocument/2006/relationships/hyperlink" Target="https://www.sec.gov/Archives/edgar/data/1042773/000110465926004560/tm26336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2026-04-23T05:26:23Z</dcterms:created>
  <dcterms:modified xsi:type="dcterms:W3CDTF">2026-04-23T05:26:23Z</dcterms:modified>
</cp:coreProperties>
</file>