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Washington, D.C. 20549</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October 27, 2026</w:t>
      </w:r>
    </w:p>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CENTERPOINT ENERGY, INC.</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94615</wp:posOffset>
            </wp:positionV>
            <wp:extent cx="17945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0"/>
          </w:cols>
          <w:pgMar w:left="300" w:top="544" w:right="299" w:bottom="1440" w:gutter="0" w:footer="0" w:header="0"/>
        </w:sectPr>
      </w:pPr>
    </w:p>
    <w:p>
      <w:pPr>
        <w:spacing w:after="0" w:line="296"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2"/>
          <w:szCs w:val="12"/>
          <w:b w:val="1"/>
          <w:bCs w:val="1"/>
          <w:color w:val="auto"/>
        </w:rPr>
        <w:t>Texas</w:t>
      </w:r>
    </w:p>
    <w:p>
      <w:pPr>
        <w:spacing w:after="0" w:line="21"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1"/>
          <w:szCs w:val="11"/>
          <w:color w:val="auto"/>
        </w:rPr>
        <w:t>(State or other jurisdiction</w:t>
      </w:r>
    </w:p>
    <w:p>
      <w:pPr>
        <w:spacing w:after="0" w:line="18"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2"/>
          <w:szCs w:val="12"/>
          <w:color w:val="auto"/>
        </w:rPr>
        <w:t>of incorporation)</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12"/>
          <w:szCs w:val="12"/>
          <w:b w:val="1"/>
          <w:bCs w:val="1"/>
          <w:color w:val="auto"/>
        </w:rPr>
        <w:t>1-31447</w:t>
      </w:r>
    </w:p>
    <w:p>
      <w:pPr>
        <w:spacing w:after="0" w:line="21"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12"/>
          <w:szCs w:val="12"/>
          <w:color w:val="auto"/>
        </w:rPr>
        <w:t>(Commission File Number)</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74-0694415</w:t>
      </w:r>
    </w:p>
    <w:p>
      <w:pPr>
        <w:spacing w:after="0" w:line="21"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2"/>
          <w:szCs w:val="12"/>
          <w:color w:val="auto"/>
        </w:rPr>
        <w:t>(IRS Employer</w:t>
      </w:r>
    </w:p>
    <w:p>
      <w:pPr>
        <w:spacing w:after="0" w:line="6"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53" w:lineRule="exact"/>
        <w:rPr>
          <w:sz w:val="24"/>
          <w:szCs w:val="24"/>
          <w:color w:val="auto"/>
        </w:rPr>
      </w:pPr>
    </w:p>
    <w:p>
      <w:pPr>
        <w:sectPr>
          <w:pgSz w:w="11900" w:h="16838" w:orient="portrait"/>
          <w:cols w:equalWidth="0" w:num="3">
            <w:col w:w="4260" w:space="720"/>
            <w:col w:w="3460" w:space="720"/>
            <w:col w:w="2140"/>
          </w:cols>
          <w:pgMar w:left="300" w:top="544" w:right="299" w:bottom="1440" w:gutter="0" w:footer="0" w:header="0"/>
          <w:type w:val="continuous"/>
        </w:sectPr>
      </w:pPr>
    </w:p>
    <w:p>
      <w:pPr>
        <w:jc w:val="center"/>
        <w:ind w:right="1860"/>
        <w:spacing w:after="0"/>
        <w:rPr>
          <w:sz w:val="20"/>
          <w:szCs w:val="20"/>
          <w:color w:val="auto"/>
        </w:rPr>
      </w:pPr>
      <w:r>
        <w:rPr>
          <w:rFonts w:ascii="Times New Roman" w:cs="Times New Roman" w:eastAsia="Times New Roman" w:hAnsi="Times New Roman"/>
          <w:sz w:val="12"/>
          <w:szCs w:val="12"/>
          <w:b w:val="1"/>
          <w:bCs w:val="1"/>
          <w:color w:val="auto"/>
        </w:rPr>
        <w:t>1111 Louisiana</w:t>
      </w:r>
    </w:p>
    <w:p>
      <w:pPr>
        <w:spacing w:after="0" w:line="2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2"/>
          <w:szCs w:val="12"/>
          <w:b w:val="1"/>
          <w:bCs w:val="1"/>
          <w:color w:val="auto"/>
        </w:rPr>
        <w:t>Houston Texas</w:t>
      </w:r>
    </w:p>
    <w:p>
      <w:pPr>
        <w:spacing w:after="0" w:line="6"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2560"/>
        <w:spacing w:after="0"/>
        <w:rPr>
          <w:sz w:val="20"/>
          <w:szCs w:val="20"/>
          <w:color w:val="auto"/>
        </w:rPr>
      </w:pPr>
      <w:r>
        <w:rPr>
          <w:rFonts w:ascii="Times New Roman" w:cs="Times New Roman" w:eastAsia="Times New Roman" w:hAnsi="Times New Roman"/>
          <w:sz w:val="12"/>
          <w:szCs w:val="12"/>
          <w:b w:val="1"/>
          <w:bCs w:val="1"/>
          <w:color w:val="auto"/>
        </w:rPr>
        <w:t>77002</w:t>
      </w:r>
    </w:p>
    <w:p>
      <w:pPr>
        <w:spacing w:after="0" w:line="21" w:lineRule="exact"/>
        <w:rPr>
          <w:sz w:val="24"/>
          <w:szCs w:val="24"/>
          <w:color w:val="auto"/>
        </w:rPr>
      </w:pPr>
    </w:p>
    <w:p>
      <w:pPr>
        <w:jc w:val="center"/>
        <w:ind w:right="2560"/>
        <w:spacing w:after="0"/>
        <w:rPr>
          <w:sz w:val="20"/>
          <w:szCs w:val="20"/>
          <w:color w:val="auto"/>
        </w:rPr>
      </w:pPr>
      <w:r>
        <w:rPr>
          <w:rFonts w:ascii="Times New Roman" w:cs="Times New Roman" w:eastAsia="Times New Roman" w:hAnsi="Times New Roman"/>
          <w:sz w:val="12"/>
          <w:szCs w:val="12"/>
          <w:color w:val="auto"/>
        </w:rPr>
        <w:t>(Zip Code)</w:t>
      </w:r>
    </w:p>
    <w:p>
      <w:pPr>
        <w:spacing w:after="0" w:line="153" w:lineRule="exact"/>
        <w:rPr>
          <w:sz w:val="24"/>
          <w:szCs w:val="24"/>
          <w:color w:val="auto"/>
        </w:rPr>
      </w:pPr>
    </w:p>
    <w:p>
      <w:pPr>
        <w:sectPr>
          <w:pgSz w:w="11900" w:h="16838" w:orient="portrait"/>
          <w:cols w:equalWidth="0" w:num="2">
            <w:col w:w="7480" w:space="720"/>
            <w:col w:w="3100"/>
          </w:cols>
          <w:pgMar w:left="300" w:top="544" w:right="299" w:bottom="1440" w:gutter="0" w:footer="0" w:header="0"/>
          <w:type w:val="continuous"/>
        </w:sectPr>
      </w:pPr>
    </w:p>
    <w:p>
      <w:pPr>
        <w:ind w:left="4260"/>
        <w:spacing w:after="0"/>
        <w:tabs>
          <w:tab w:leader="none" w:pos="7120" w:val="left"/>
        </w:tabs>
        <w:rPr>
          <w:sz w:val="20"/>
          <w:szCs w:val="20"/>
          <w:color w:val="auto"/>
        </w:rPr>
      </w:pPr>
      <w:r>
        <w:rPr>
          <w:rFonts w:ascii="Times New Roman" w:cs="Times New Roman" w:eastAsia="Times New Roman" w:hAnsi="Times New Roman"/>
          <w:sz w:val="12"/>
          <w:szCs w:val="12"/>
          <w:color w:val="auto"/>
        </w:rPr>
        <w:t>Registrant’s telephone number, including area code:</w:t>
      </w:r>
      <w:r>
        <w:rPr>
          <w:sz w:val="20"/>
          <w:szCs w:val="20"/>
          <w:color w:val="auto"/>
        </w:rPr>
        <w:tab/>
      </w:r>
      <w:r>
        <w:rPr>
          <w:rFonts w:ascii="Times New Roman" w:cs="Times New Roman" w:eastAsia="Times New Roman" w:hAnsi="Times New Roman"/>
          <w:sz w:val="11"/>
          <w:szCs w:val="11"/>
          <w:b w:val="1"/>
          <w:bCs w:val="1"/>
          <w:color w:val="auto"/>
        </w:rPr>
        <w:t>(713) 207-1111</w:t>
      </w:r>
    </w:p>
    <w:p>
      <w:pPr>
        <w:sectPr>
          <w:pgSz w:w="11900" w:h="16838" w:orient="portrait"/>
          <w:cols w:equalWidth="0" w:num="1">
            <w:col w:w="11300"/>
          </w:cols>
          <w:pgMar w:left="300" w:top="544" w:right="299" w:bottom="1440" w:gutter="0" w:footer="0" w:header="0"/>
          <w:type w:val="continuous"/>
        </w:sectPr>
      </w:pPr>
    </w:p>
    <w:p>
      <w:pPr>
        <w:spacing w:after="0" w:line="152"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i w:val="1"/>
          <w:iCs w:val="1"/>
          <w:color w:val="auto"/>
        </w:rPr>
        <w:t>see</w:t>
      </w:r>
      <w:r>
        <w:rPr>
          <w:rFonts w:ascii="Times New Roman" w:cs="Times New Roman" w:eastAsia="Times New Roman" w:hAnsi="Times New Roman"/>
          <w:sz w:val="12"/>
          <w:szCs w:val="12"/>
          <w:color w:val="auto"/>
        </w:rPr>
        <w:t xml:space="preserve"> General Instruction A.2. below):</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01"/>
        </w:trPr>
        <w:tc>
          <w:tcPr>
            <w:tcW w:w="4980" w:type="dxa"/>
            <w:vAlign w:val="bottom"/>
            <w:gridSpan w:val="3"/>
          </w:tcPr>
          <w:p>
            <w:pPr>
              <w:ind w:left="200"/>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Written communications pursuant to Rule 425 under the Securities Act (17 CFR 230.425)</w:t>
            </w:r>
          </w:p>
        </w:tc>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288"/>
        </w:trPr>
        <w:tc>
          <w:tcPr>
            <w:tcW w:w="4980" w:type="dxa"/>
            <w:vAlign w:val="bottom"/>
            <w:gridSpan w:val="3"/>
          </w:tcPr>
          <w:p>
            <w:pPr>
              <w:ind w:left="200"/>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Soliciting material pursuant to Rule 14a-12 under the Exchange Act (17 CFR 240.14a-12)</w:t>
            </w: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88"/>
        </w:trPr>
        <w:tc>
          <w:tcPr>
            <w:tcW w:w="7560" w:type="dxa"/>
            <w:vAlign w:val="bottom"/>
            <w:gridSpan w:val="5"/>
          </w:tcPr>
          <w:p>
            <w:pPr>
              <w:ind w:left="200"/>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Pre-commencement communications pursuant to Rule 14d-2(b) under the Exchange Act (17 CFR 240.14d-2(b))</w:t>
            </w:r>
          </w:p>
        </w:tc>
        <w:tc>
          <w:tcPr>
            <w:tcW w:w="3740" w:type="dxa"/>
            <w:vAlign w:val="bottom"/>
          </w:tcPr>
          <w:p>
            <w:pPr>
              <w:spacing w:after="0"/>
              <w:rPr>
                <w:sz w:val="24"/>
                <w:szCs w:val="24"/>
                <w:color w:val="auto"/>
              </w:rPr>
            </w:pPr>
          </w:p>
        </w:tc>
      </w:tr>
      <w:tr>
        <w:trPr>
          <w:trHeight w:val="288"/>
        </w:trPr>
        <w:tc>
          <w:tcPr>
            <w:tcW w:w="7560" w:type="dxa"/>
            <w:vAlign w:val="bottom"/>
            <w:gridSpan w:val="5"/>
          </w:tcPr>
          <w:p>
            <w:pPr>
              <w:ind w:left="200"/>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Pre-commencement communications pursuant to Rule 13e-4(c) under the Exchange Act (17 CFR 240.13e-4(c))</w:t>
            </w:r>
          </w:p>
        </w:tc>
        <w:tc>
          <w:tcPr>
            <w:tcW w:w="3740" w:type="dxa"/>
            <w:vAlign w:val="bottom"/>
          </w:tcPr>
          <w:p>
            <w:pPr>
              <w:spacing w:after="0"/>
              <w:rPr>
                <w:sz w:val="24"/>
                <w:szCs w:val="24"/>
                <w:color w:val="auto"/>
              </w:rPr>
            </w:pPr>
          </w:p>
        </w:tc>
      </w:tr>
      <w:tr>
        <w:trPr>
          <w:trHeight w:val="270"/>
        </w:trPr>
        <w:tc>
          <w:tcPr>
            <w:tcW w:w="4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2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40" w:type="dxa"/>
            <w:vAlign w:val="bottom"/>
          </w:tcPr>
          <w:p>
            <w:pPr>
              <w:spacing w:after="0"/>
              <w:rPr>
                <w:sz w:val="23"/>
                <w:szCs w:val="23"/>
                <w:color w:val="auto"/>
              </w:rPr>
            </w:pPr>
          </w:p>
        </w:tc>
      </w:tr>
      <w:tr>
        <w:trPr>
          <w:trHeight w:val="288"/>
        </w:trPr>
        <w:tc>
          <w:tcPr>
            <w:tcW w:w="4980" w:type="dxa"/>
            <w:vAlign w:val="bottom"/>
            <w:gridSpan w:val="3"/>
          </w:tcPr>
          <w:p>
            <w:pPr>
              <w:ind w:left="1420"/>
              <w:spacing w:after="0"/>
              <w:rPr>
                <w:sz w:val="20"/>
                <w:szCs w:val="20"/>
                <w:color w:val="auto"/>
              </w:rPr>
            </w:pPr>
            <w:r>
              <w:rPr>
                <w:rFonts w:ascii="Times New Roman" w:cs="Times New Roman" w:eastAsia="Times New Roman" w:hAnsi="Times New Roman"/>
                <w:sz w:val="12"/>
                <w:szCs w:val="12"/>
                <w:color w:val="auto"/>
              </w:rPr>
              <w:t>Title of each class</w:t>
            </w:r>
          </w:p>
        </w:tc>
        <w:tc>
          <w:tcPr>
            <w:tcW w:w="2580" w:type="dxa"/>
            <w:vAlign w:val="bottom"/>
            <w:gridSpan w:val="2"/>
          </w:tcPr>
          <w:p>
            <w:pPr>
              <w:jc w:val="center"/>
              <w:ind w:right="1240"/>
              <w:spacing w:after="0"/>
              <w:rPr>
                <w:sz w:val="20"/>
                <w:szCs w:val="20"/>
                <w:color w:val="auto"/>
              </w:rPr>
            </w:pPr>
            <w:r>
              <w:rPr>
                <w:rFonts w:ascii="Times New Roman" w:cs="Times New Roman" w:eastAsia="Times New Roman" w:hAnsi="Times New Roman"/>
                <w:sz w:val="12"/>
                <w:szCs w:val="12"/>
                <w:color w:val="auto"/>
                <w:w w:val="98"/>
              </w:rPr>
              <w:t>Trading Symbol(s)</w:t>
            </w:r>
          </w:p>
        </w:tc>
        <w:tc>
          <w:tcPr>
            <w:tcW w:w="3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122"/>
        </w:trPr>
        <w:tc>
          <w:tcPr>
            <w:tcW w:w="3720" w:type="dxa"/>
            <w:vAlign w:val="bottom"/>
            <w:tcBorders>
              <w:top w:val="single" w:sz="8" w:color="auto"/>
            </w:tcBorders>
          </w:tcPr>
          <w:p>
            <w:pPr>
              <w:ind w:left="1080"/>
              <w:spacing w:after="0" w:line="122" w:lineRule="exact"/>
              <w:rPr>
                <w:sz w:val="20"/>
                <w:szCs w:val="20"/>
                <w:color w:val="auto"/>
              </w:rPr>
            </w:pPr>
            <w:r>
              <w:rPr>
                <w:rFonts w:ascii="Times New Roman" w:cs="Times New Roman" w:eastAsia="Times New Roman" w:hAnsi="Times New Roman"/>
                <w:sz w:val="12"/>
                <w:szCs w:val="12"/>
                <w:color w:val="auto"/>
              </w:rPr>
              <w:t>Common Stock, $0.01 par value</w:t>
            </w:r>
          </w:p>
        </w:tc>
        <w:tc>
          <w:tcPr>
            <w:tcW w:w="12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480" w:type="dxa"/>
            <w:vAlign w:val="bottom"/>
            <w:tcBorders>
              <w:top w:val="single" w:sz="8" w:color="auto"/>
            </w:tcBorders>
          </w:tcPr>
          <w:p>
            <w:pPr>
              <w:jc w:val="center"/>
              <w:ind w:right="1080"/>
              <w:spacing w:after="0" w:line="122" w:lineRule="exact"/>
              <w:rPr>
                <w:sz w:val="20"/>
                <w:szCs w:val="20"/>
                <w:color w:val="auto"/>
              </w:rPr>
            </w:pPr>
            <w:r>
              <w:rPr>
                <w:rFonts w:ascii="Times New Roman" w:cs="Times New Roman" w:eastAsia="Times New Roman" w:hAnsi="Times New Roman"/>
                <w:sz w:val="12"/>
                <w:szCs w:val="12"/>
                <w:color w:val="auto"/>
                <w:w w:val="94"/>
              </w:rPr>
              <w:t>CNP</w:t>
            </w:r>
          </w:p>
        </w:tc>
        <w:tc>
          <w:tcPr>
            <w:tcW w:w="100" w:type="dxa"/>
            <w:vAlign w:val="bottom"/>
          </w:tcPr>
          <w:p>
            <w:pPr>
              <w:spacing w:after="0"/>
              <w:rPr>
                <w:sz w:val="10"/>
                <w:szCs w:val="10"/>
                <w:color w:val="auto"/>
              </w:rPr>
            </w:pPr>
          </w:p>
        </w:tc>
        <w:tc>
          <w:tcPr>
            <w:tcW w:w="374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2"/>
                <w:szCs w:val="12"/>
                <w:color w:val="auto"/>
                <w:w w:val="98"/>
              </w:rPr>
              <w:t>The New York Stock Exchange</w:t>
            </w:r>
          </w:p>
        </w:tc>
      </w:tr>
      <w:tr>
        <w:trPr>
          <w:trHeight w:val="155"/>
        </w:trPr>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NYSE Texas</w:t>
            </w:r>
          </w:p>
        </w:tc>
      </w:tr>
    </w:tbl>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or Rule 12b-2 of the Securities Exchange Act of 1934 (§240.12b-2).</w:t>
      </w:r>
    </w:p>
    <w:p>
      <w:pPr>
        <w:spacing w:after="0" w:line="122"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jc w:val="both"/>
        <w:ind w:right="2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80645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97790</wp:posOffset>
            </wp:positionV>
            <wp:extent cx="71780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400685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44" w:right="299" w:bottom="1440" w:gutter="0" w:footer="0" w:header="0"/>
          <w:type w:val="continuous"/>
        </w:sectPr>
      </w:pPr>
    </w:p>
    <w:bookmarkStart w:id="1" w:name="page2"/>
    <w:bookmarkEnd w:id="1"/>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On October 27, 2026, CenterPoint Energy, Inc. (“CenterPoint Energy”) reported third quarter 2026 earnings. For additional information regarding CenterPoint Energy’s third quarter 2026 earnings, please refer to CenterPoint Energy’s press release attached to this report as Exhibit 99.1 (the “Press Release”), which Press Release is incorporated by reference herein.</w:t>
      </w:r>
    </w:p>
    <w:p>
      <w:pPr>
        <w:spacing w:after="0" w:line="10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CenterPoint Energy is holding a conference call to discuss its third quarter 2026 earnings on October 27, 2026. Information about the call can be found in the Press Release furnished herewith as Exhibit 99.1. For additional information regarding CenterPoint Energy’s third quarter 2026 earnings, please refer to the supplemental materials that are being posted on CenterPoint Energy’s website and are attached to this report as Exhibit 99.2 (the “Supplemental Materials”), which Supplemental Materials are incorporated by reference herein.</w:t>
      </w:r>
    </w:p>
    <w:p>
      <w:pPr>
        <w:spacing w:after="0" w:line="11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54"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The information in the Press Release and the Supplemental Materials is being furnished, not filed, pursuant to Items 2.02 and 7.01, respectively. Accordingly, the information in the Press Release and the Supplemental Materials will not be incorporated by reference into any registration statement filed by CenterPoint Energy under the Securities Act of 1933, as amended, unless specifically identified therein as being incorporated therein by reference.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(d)</w:t>
            </w:r>
          </w:p>
        </w:tc>
        <w:tc>
          <w:tcPr>
            <w:tcW w:w="10240" w:type="dxa"/>
            <w:vAlign w:val="bottom"/>
            <w:gridSpan w:val="6"/>
          </w:tcPr>
          <w:p>
            <w:pPr>
              <w:ind w:left="20"/>
              <w:spacing w:after="0"/>
              <w:rPr>
                <w:sz w:val="20"/>
                <w:szCs w:val="20"/>
                <w:color w:val="auto"/>
              </w:rPr>
            </w:pPr>
            <w:r>
              <w:rPr>
                <w:rFonts w:ascii="Times New Roman" w:cs="Times New Roman" w:eastAsia="Times New Roman" w:hAnsi="Times New Roman"/>
                <w:sz w:val="12"/>
                <w:szCs w:val="12"/>
                <w:color w:val="auto"/>
              </w:rPr>
              <w:t>Exhibits.</w:t>
            </w:r>
          </w:p>
        </w:tc>
      </w:tr>
      <w:tr>
        <w:trPr>
          <w:trHeight w:val="273"/>
        </w:trPr>
        <w:tc>
          <w:tcPr>
            <w:tcW w:w="520" w:type="dxa"/>
            <w:vAlign w:val="bottom"/>
          </w:tcPr>
          <w:p>
            <w:pPr>
              <w:spacing w:after="0"/>
              <w:rPr>
                <w:sz w:val="23"/>
                <w:szCs w:val="23"/>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52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180" w:type="dxa"/>
            <w:vAlign w:val="bottom"/>
          </w:tcPr>
          <w:p>
            <w:pPr>
              <w:spacing w:after="0"/>
              <w:rPr>
                <w:sz w:val="23"/>
                <w:szCs w:val="23"/>
                <w:color w:val="auto"/>
              </w:rPr>
            </w:pPr>
          </w:p>
        </w:tc>
      </w:tr>
      <w:tr>
        <w:trPr>
          <w:trHeight w:val="132"/>
        </w:trPr>
        <w:tc>
          <w:tcPr>
            <w:tcW w:w="520" w:type="dxa"/>
            <w:vAlign w:val="bottom"/>
          </w:tcPr>
          <w:p>
            <w:pPr>
              <w:spacing w:after="0"/>
              <w:rPr>
                <w:sz w:val="11"/>
                <w:szCs w:val="11"/>
                <w:color w:val="auto"/>
              </w:rPr>
            </w:pPr>
          </w:p>
        </w:tc>
        <w:tc>
          <w:tcPr>
            <w:tcW w:w="540" w:type="dxa"/>
            <w:vAlign w:val="bottom"/>
            <w:gridSpan w:val="3"/>
          </w:tcPr>
          <w:p>
            <w:pPr>
              <w:spacing w:after="0" w:line="132" w:lineRule="exact"/>
              <w:rPr>
                <w:sz w:val="20"/>
                <w:szCs w:val="20"/>
                <w:color w:val="auto"/>
              </w:rPr>
            </w:pPr>
            <w:r>
              <w:rPr>
                <w:rFonts w:ascii="Times New Roman" w:cs="Times New Roman" w:eastAsia="Times New Roman" w:hAnsi="Times New Roman"/>
                <w:sz w:val="12"/>
                <w:szCs w:val="12"/>
                <w:b w:val="1"/>
                <w:bCs w:val="1"/>
                <w:color w:val="auto"/>
                <w:w w:val="97"/>
              </w:rPr>
              <w:t>NUMBER</w:t>
            </w:r>
          </w:p>
        </w:tc>
        <w:tc>
          <w:tcPr>
            <w:tcW w:w="5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560" w:type="dxa"/>
            <w:vAlign w:val="bottom"/>
            <w:gridSpan w:val="3"/>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EXHIBIT DESCRIPTION</w:t>
            </w:r>
          </w:p>
        </w:tc>
      </w:tr>
      <w:tr>
        <w:trPr>
          <w:trHeight w:val="20"/>
        </w:trPr>
        <w:tc>
          <w:tcPr>
            <w:tcW w:w="52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268"/>
        </w:trPr>
        <w:tc>
          <w:tcPr>
            <w:tcW w:w="52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720" w:type="dxa"/>
            <w:vAlign w:val="bottom"/>
            <w:gridSpan w:val="5"/>
          </w:tcPr>
          <w:p>
            <w:pPr>
              <w:spacing w:after="0"/>
              <w:rPr>
                <w:sz w:val="20"/>
                <w:szCs w:val="20"/>
                <w:color w:val="auto"/>
              </w:rPr>
            </w:pPr>
            <w:r>
              <w:rPr>
                <w:rFonts w:ascii="Times New Roman" w:cs="Times New Roman" w:eastAsia="Times New Roman" w:hAnsi="Times New Roman"/>
                <w:sz w:val="12"/>
                <w:szCs w:val="12"/>
                <w:color w:val="0000EE"/>
              </w:rPr>
              <w:t>Press Release issued October 27, 2026 regarding CenterPoint Energy’s third quarter 2026 earnings</w:t>
            </w:r>
          </w:p>
        </w:tc>
      </w:tr>
      <w:tr>
        <w:trPr>
          <w:trHeight w:val="20"/>
        </w:trPr>
        <w:tc>
          <w:tcPr>
            <w:tcW w:w="700" w:type="dxa"/>
            <w:vAlign w:val="bottom"/>
            <w:tcBorders>
              <w:right w:val="single" w:sz="8" w:color="0000EE"/>
            </w:tcBorders>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r>
      <w:tr>
        <w:trPr>
          <w:trHeight w:val="268"/>
        </w:trPr>
        <w:tc>
          <w:tcPr>
            <w:tcW w:w="8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2</w:t>
            </w: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720" w:type="dxa"/>
            <w:vAlign w:val="bottom"/>
            <w:gridSpan w:val="5"/>
          </w:tcPr>
          <w:p>
            <w:pPr>
              <w:spacing w:after="0"/>
              <w:rPr>
                <w:sz w:val="20"/>
                <w:szCs w:val="20"/>
                <w:color w:val="auto"/>
              </w:rPr>
            </w:pPr>
            <w:r>
              <w:rPr>
                <w:rFonts w:ascii="Times New Roman" w:cs="Times New Roman" w:eastAsia="Times New Roman" w:hAnsi="Times New Roman"/>
                <w:sz w:val="12"/>
                <w:szCs w:val="12"/>
                <w:color w:val="0000EE"/>
              </w:rPr>
              <w:t>Supplemental Materials regarding CenterPoint Energy’s third quarter 2026 earnings</w:t>
            </w:r>
          </w:p>
        </w:tc>
      </w:tr>
      <w:tr>
        <w:trPr>
          <w:trHeight w:val="20"/>
        </w:trPr>
        <w:tc>
          <w:tcPr>
            <w:tcW w:w="7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20" w:type="dxa"/>
            <w:vAlign w:val="bottom"/>
            <w:shd w:val="clear" w:color="auto" w:fill="0000EE"/>
          </w:tcPr>
          <w:p>
            <w:pPr>
              <w:spacing w:after="0" w:line="20" w:lineRule="exact"/>
              <w:rPr>
                <w:sz w:val="1"/>
                <w:szCs w:val="1"/>
                <w:color w:val="auto"/>
              </w:rPr>
            </w:pPr>
          </w:p>
        </w:tc>
        <w:tc>
          <w:tcPr>
            <w:tcW w:w="5700" w:type="dxa"/>
            <w:vAlign w:val="bottom"/>
            <w:gridSpan w:val="4"/>
          </w:tcPr>
          <w:p>
            <w:pPr>
              <w:spacing w:after="0" w:line="20" w:lineRule="exact"/>
              <w:rPr>
                <w:sz w:val="1"/>
                <w:szCs w:val="1"/>
                <w:color w:val="auto"/>
              </w:rPr>
            </w:pPr>
          </w:p>
        </w:tc>
      </w:tr>
      <w:tr>
        <w:trPr>
          <w:trHeight w:val="295"/>
        </w:trPr>
        <w:tc>
          <w:tcPr>
            <w:tcW w:w="8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72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Cover Page Interactive Data File - the cover page XBRL tags are embedded within the Inline XBRL document</w:t>
            </w:r>
          </w:p>
        </w:tc>
      </w:tr>
      <w:tr>
        <w:trPr>
          <w:trHeight w:val="450"/>
        </w:trPr>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2" w:name="page3"/>
    <w:bookmarkEnd w:id="2"/>
    <w:p>
      <w:pPr>
        <w:ind w:left="5320"/>
        <w:spacing w:after="0"/>
        <w:rPr>
          <w:sz w:val="20"/>
          <w:szCs w:val="20"/>
          <w:color w:val="auto"/>
        </w:rPr>
      </w:pPr>
      <w:r>
        <w:rPr>
          <w:rFonts w:ascii="Times New Roman" w:cs="Times New Roman" w:eastAsia="Times New Roman" w:hAnsi="Times New Roman"/>
          <w:sz w:val="12"/>
          <w:szCs w:val="12"/>
          <w:color w:val="auto"/>
        </w:rPr>
        <w:t>SIGNATURE</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CENTERPOINT ENERGY, INC.</w:t>
      </w:r>
    </w:p>
    <w:p>
      <w:pPr>
        <w:spacing w:after="0" w:line="154" w:lineRule="exact"/>
        <w:rPr>
          <w:sz w:val="20"/>
          <w:szCs w:val="20"/>
          <w:color w:val="auto"/>
        </w:rPr>
      </w:pPr>
    </w:p>
    <w:p>
      <w:pPr>
        <w:spacing w:after="0"/>
        <w:tabs>
          <w:tab w:leader="none" w:pos="5640" w:val="left"/>
          <w:tab w:leader="none" w:pos="5960" w:val="left"/>
        </w:tabs>
        <w:rPr>
          <w:sz w:val="20"/>
          <w:szCs w:val="20"/>
          <w:color w:val="auto"/>
        </w:rPr>
      </w:pPr>
      <w:r>
        <w:rPr>
          <w:rFonts w:ascii="Times New Roman" w:cs="Times New Roman" w:eastAsia="Times New Roman" w:hAnsi="Times New Roman"/>
          <w:sz w:val="12"/>
          <w:szCs w:val="12"/>
          <w:color w:val="auto"/>
        </w:rPr>
        <w:t>Date: October 27, 2026</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/s/Russell K. Wright</w:t>
      </w:r>
    </w:p>
    <w:p>
      <w:pPr>
        <w:spacing w:after="0" w:line="2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Russell K.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-85725</wp:posOffset>
            </wp:positionV>
            <wp:extent cx="33718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2"/>
          <w:szCs w:val="12"/>
          <w:color w:val="auto"/>
        </w:rPr>
        <w:t>Vice President 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51"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154" w:lineRule="exact"/>
        <w:rPr>
          <w:sz w:val="20"/>
          <w:szCs w:val="20"/>
          <w:color w:val="auto"/>
        </w:rPr>
      </w:pPr>
    </w:p>
    <w:p>
      <w:pPr>
        <w:ind w:left="7128"/>
        <w:spacing w:after="0"/>
        <w:rPr>
          <w:sz w:val="20"/>
          <w:szCs w:val="20"/>
          <w:color w:val="auto"/>
        </w:rPr>
      </w:pPr>
      <w:r>
        <w:rPr>
          <w:rFonts w:ascii="Times New Roman" w:cs="Times New Roman" w:eastAsia="Times New Roman" w:hAnsi="Times New Roman"/>
          <w:sz w:val="12"/>
          <w:szCs w:val="12"/>
          <w:color w:val="auto"/>
        </w:rPr>
        <w:t>For more information contact</w:t>
      </w:r>
    </w:p>
    <w:p>
      <w:pPr>
        <w:spacing w:after="0" w:line="38" w:lineRule="exact"/>
        <w:rPr>
          <w:sz w:val="20"/>
          <w:szCs w:val="20"/>
          <w:color w:val="auto"/>
        </w:rPr>
      </w:pPr>
    </w:p>
    <w:p>
      <w:pPr>
        <w:ind w:left="7128"/>
        <w:spacing w:after="0"/>
        <w:rPr>
          <w:sz w:val="20"/>
          <w:szCs w:val="20"/>
          <w:color w:val="auto"/>
        </w:rPr>
      </w:pPr>
      <w:r>
        <w:rPr>
          <w:rFonts w:ascii="Times New Roman" w:cs="Times New Roman" w:eastAsia="Times New Roman" w:hAnsi="Times New Roman"/>
          <w:sz w:val="12"/>
          <w:szCs w:val="12"/>
          <w:b w:val="1"/>
          <w:bCs w:val="1"/>
          <w:color w:val="auto"/>
        </w:rPr>
        <w:t>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1348740" cy="5257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48740" cy="525780"/>
                    </a:xfrm>
                    <a:prstGeom prst="rect">
                      <a:avLst/>
                    </a:prstGeom>
                    <a:noFill/>
                  </pic:spPr>
                </pic:pic>
              </a:graphicData>
            </a:graphic>
          </wp:anchor>
        </w:drawing>
      </w:r>
    </w:p>
    <w:p>
      <w:pPr>
        <w:spacing w:after="0" w:line="22" w:lineRule="exact"/>
        <w:rPr>
          <w:sz w:val="20"/>
          <w:szCs w:val="20"/>
          <w:color w:val="auto"/>
        </w:rPr>
      </w:pPr>
    </w:p>
    <w:p>
      <w:pPr>
        <w:ind w:left="7128"/>
        <w:spacing w:after="0"/>
        <w:rPr>
          <w:sz w:val="20"/>
          <w:szCs w:val="20"/>
          <w:color w:val="auto"/>
        </w:rPr>
      </w:pPr>
      <w:r>
        <w:rPr>
          <w:rFonts w:ascii="Times New Roman" w:cs="Times New Roman" w:eastAsia="Times New Roman" w:hAnsi="Times New Roman"/>
          <w:sz w:val="12"/>
          <w:szCs w:val="12"/>
          <w:b w:val="1"/>
          <w:bCs w:val="1"/>
          <w:color w:val="auto"/>
        </w:rPr>
        <w:t>Communications</w:t>
      </w:r>
    </w:p>
    <w:p>
      <w:pPr>
        <w:spacing w:after="0" w:line="46" w:lineRule="exact"/>
        <w:rPr>
          <w:sz w:val="20"/>
          <w:szCs w:val="20"/>
          <w:color w:val="auto"/>
        </w:rPr>
      </w:pPr>
    </w:p>
    <w:p>
      <w:pPr>
        <w:ind w:left="7128"/>
        <w:spacing w:after="0"/>
        <w:rPr>
          <w:sz w:val="20"/>
          <w:szCs w:val="20"/>
          <w:color w:val="auto"/>
        </w:rPr>
      </w:pPr>
      <w:r>
        <w:rPr>
          <w:rFonts w:ascii="Times New Roman" w:cs="Times New Roman" w:eastAsia="Times New Roman" w:hAnsi="Times New Roman"/>
          <w:sz w:val="12"/>
          <w:szCs w:val="12"/>
          <w:color w:val="auto"/>
        </w:rPr>
        <w:t>Media.Relations@CenterPointEnergy.com</w:t>
      </w:r>
    </w:p>
    <w:p>
      <w:pPr>
        <w:spacing w:after="0" w:line="38" w:lineRule="exact"/>
        <w:rPr>
          <w:sz w:val="20"/>
          <w:szCs w:val="20"/>
          <w:color w:val="auto"/>
        </w:rPr>
      </w:pPr>
    </w:p>
    <w:p>
      <w:pPr>
        <w:ind w:left="7128"/>
        <w:spacing w:after="0"/>
        <w:rPr>
          <w:sz w:val="20"/>
          <w:szCs w:val="20"/>
          <w:color w:val="auto"/>
        </w:rPr>
      </w:pPr>
      <w:r>
        <w:rPr>
          <w:rFonts w:ascii="Times New Roman" w:cs="Times New Roman" w:eastAsia="Times New Roman" w:hAnsi="Times New Roman"/>
          <w:sz w:val="12"/>
          <w:szCs w:val="12"/>
          <w:b w:val="1"/>
          <w:bCs w:val="1"/>
          <w:color w:val="auto"/>
        </w:rPr>
        <w:t>Investors:</w:t>
      </w:r>
    </w:p>
    <w:p>
      <w:pPr>
        <w:spacing w:after="0" w:line="42" w:lineRule="exact"/>
        <w:rPr>
          <w:sz w:val="20"/>
          <w:szCs w:val="20"/>
          <w:color w:val="auto"/>
        </w:rPr>
      </w:pPr>
    </w:p>
    <w:p>
      <w:pPr>
        <w:ind w:left="7128"/>
        <w:spacing w:after="0"/>
        <w:rPr>
          <w:sz w:val="20"/>
          <w:szCs w:val="20"/>
          <w:color w:val="auto"/>
        </w:rPr>
      </w:pPr>
      <w:r>
        <w:rPr>
          <w:rFonts w:ascii="Times New Roman" w:cs="Times New Roman" w:eastAsia="Times New Roman" w:hAnsi="Times New Roman"/>
          <w:sz w:val="12"/>
          <w:szCs w:val="12"/>
          <w:b w:val="1"/>
          <w:bCs w:val="1"/>
          <w:color w:val="auto"/>
        </w:rPr>
        <w:t>Ben Vallejo / Ellie Wood</w:t>
      </w:r>
    </w:p>
    <w:p>
      <w:pPr>
        <w:spacing w:after="0" w:line="46" w:lineRule="exact"/>
        <w:rPr>
          <w:sz w:val="20"/>
          <w:szCs w:val="20"/>
          <w:color w:val="auto"/>
        </w:rPr>
      </w:pPr>
    </w:p>
    <w:p>
      <w:pPr>
        <w:ind w:left="7128"/>
        <w:spacing w:after="0"/>
        <w:rPr>
          <w:sz w:val="20"/>
          <w:szCs w:val="20"/>
          <w:color w:val="auto"/>
        </w:rPr>
      </w:pPr>
      <w:r>
        <w:rPr>
          <w:rFonts w:ascii="Times New Roman" w:cs="Times New Roman" w:eastAsia="Times New Roman" w:hAnsi="Times New Roman"/>
          <w:sz w:val="12"/>
          <w:szCs w:val="12"/>
          <w:color w:val="auto"/>
        </w:rPr>
        <w:t>Phone 713.207.6500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1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CenterPoint Energy reports strong Q3 2026 results; raises earnings guidance and increases capital plan; extends higher growth outlook through 2030</w:t>
      </w:r>
    </w:p>
    <w:p>
      <w:pPr>
        <w:spacing w:after="0" w:line="152" w:lineRule="exact"/>
        <w:rPr>
          <w:sz w:val="20"/>
          <w:szCs w:val="20"/>
          <w:color w:val="auto"/>
        </w:rPr>
      </w:pPr>
    </w:p>
    <w:p>
      <w:pPr>
        <w:ind w:left="208" w:hanging="208"/>
        <w:spacing w:after="0"/>
        <w:tabs>
          <w:tab w:leader="none" w:pos="208" w:val="left"/>
        </w:tabs>
        <w:numPr>
          <w:ilvl w:val="0"/>
          <w:numId w:val="1"/>
        </w:numPr>
        <w:rPr>
          <w:rFonts w:ascii="Arial" w:cs="Arial" w:eastAsia="Arial" w:hAnsi="Arial"/>
          <w:sz w:val="12"/>
          <w:szCs w:val="12"/>
          <w:b w:val="1"/>
          <w:bCs w:val="1"/>
          <w:color w:val="auto"/>
        </w:rPr>
      </w:pPr>
      <w:r>
        <w:rPr>
          <w:rFonts w:ascii="Times New Roman" w:cs="Times New Roman" w:eastAsia="Times New Roman" w:hAnsi="Times New Roman"/>
          <w:sz w:val="12"/>
          <w:szCs w:val="12"/>
          <w:i w:val="1"/>
          <w:iCs w:val="1"/>
          <w:color w:val="auto"/>
        </w:rPr>
        <w:t>Reports Q3 2026 earnings of $0.50 per diluted share on a GAAP basis and $0.53 per diluted share on a non-GAAP basis (“non-GAAP EPS”)</w:t>
      </w:r>
    </w:p>
    <w:p>
      <w:pPr>
        <w:spacing w:after="0" w:line="151" w:lineRule="exact"/>
        <w:rPr>
          <w:rFonts w:ascii="Arial" w:cs="Arial" w:eastAsia="Arial" w:hAnsi="Arial"/>
          <w:sz w:val="12"/>
          <w:szCs w:val="12"/>
          <w:b w:val="1"/>
          <w:bCs w:val="1"/>
          <w:color w:val="auto"/>
        </w:rPr>
      </w:pPr>
    </w:p>
    <w:p>
      <w:pPr>
        <w:ind w:left="208" w:hanging="208"/>
        <w:spacing w:after="0"/>
        <w:tabs>
          <w:tab w:leader="none" w:pos="208" w:val="left"/>
        </w:tabs>
        <w:numPr>
          <w:ilvl w:val="0"/>
          <w:numId w:val="1"/>
        </w:numPr>
        <w:rPr>
          <w:rFonts w:ascii="Arial" w:cs="Arial" w:eastAsia="Arial" w:hAnsi="Arial"/>
          <w:sz w:val="12"/>
          <w:szCs w:val="12"/>
          <w:b w:val="1"/>
          <w:bCs w:val="1"/>
          <w:color w:val="auto"/>
        </w:rPr>
      </w:pPr>
      <w:r>
        <w:rPr>
          <w:rFonts w:ascii="Times New Roman" w:cs="Times New Roman" w:eastAsia="Times New Roman" w:hAnsi="Times New Roman"/>
          <w:sz w:val="12"/>
          <w:szCs w:val="12"/>
          <w:i w:val="1"/>
          <w:iCs w:val="1"/>
          <w:color w:val="auto"/>
        </w:rPr>
        <w:t xml:space="preserve">Raises 2026 non-GAAP EPS guidance range to $1.90-$1.92, representing nearly 9% growth at the midpoint over 2025 delivered results </w:t>
      </w:r>
      <w:r>
        <w:rPr>
          <w:rFonts w:ascii="Times New Roman" w:cs="Times New Roman" w:eastAsia="Times New Roman" w:hAnsi="Times New Roman"/>
          <w:sz w:val="19"/>
          <w:szCs w:val="19"/>
          <w:i w:val="1"/>
          <w:iCs w:val="1"/>
          <w:color w:val="auto"/>
          <w:vertAlign w:val="superscript"/>
        </w:rPr>
        <w:t>1</w:t>
      </w:r>
    </w:p>
    <w:p>
      <w:pPr>
        <w:spacing w:after="0" w:line="94" w:lineRule="exact"/>
        <w:rPr>
          <w:rFonts w:ascii="Arial" w:cs="Arial" w:eastAsia="Arial" w:hAnsi="Arial"/>
          <w:sz w:val="12"/>
          <w:szCs w:val="12"/>
          <w:b w:val="1"/>
          <w:bCs w:val="1"/>
          <w:color w:val="auto"/>
        </w:rPr>
      </w:pPr>
    </w:p>
    <w:p>
      <w:pPr>
        <w:ind w:left="208" w:hanging="208"/>
        <w:spacing w:after="0"/>
        <w:tabs>
          <w:tab w:leader="none" w:pos="208" w:val="left"/>
        </w:tabs>
        <w:numPr>
          <w:ilvl w:val="0"/>
          <w:numId w:val="1"/>
        </w:numPr>
        <w:rPr>
          <w:rFonts w:ascii="Arial" w:cs="Arial" w:eastAsia="Arial" w:hAnsi="Arial"/>
          <w:sz w:val="12"/>
          <w:szCs w:val="12"/>
          <w:b w:val="1"/>
          <w:bCs w:val="1"/>
          <w:color w:val="auto"/>
        </w:rPr>
      </w:pPr>
      <w:r>
        <w:rPr>
          <w:rFonts w:ascii="Times New Roman" w:cs="Times New Roman" w:eastAsia="Times New Roman" w:hAnsi="Times New Roman"/>
          <w:sz w:val="12"/>
          <w:szCs w:val="12"/>
          <w:i w:val="1"/>
          <w:iCs w:val="1"/>
          <w:color w:val="auto"/>
        </w:rPr>
        <w:t>Increases 10-year capital plan by $4.0 billion to $70.7 billion and accelerates $1.5 billion of investment into 2026-2030, supporting a rate base CAGR of more than 14% through 2030</w:t>
      </w:r>
    </w:p>
    <w:p>
      <w:pPr>
        <w:spacing w:after="0" w:line="151" w:lineRule="exact"/>
        <w:rPr>
          <w:rFonts w:ascii="Arial" w:cs="Arial" w:eastAsia="Arial" w:hAnsi="Arial"/>
          <w:sz w:val="12"/>
          <w:szCs w:val="12"/>
          <w:b w:val="1"/>
          <w:bCs w:val="1"/>
          <w:color w:val="auto"/>
        </w:rPr>
      </w:pPr>
    </w:p>
    <w:p>
      <w:pPr>
        <w:ind w:left="208" w:hanging="208"/>
        <w:spacing w:after="0"/>
        <w:tabs>
          <w:tab w:leader="none" w:pos="208" w:val="left"/>
        </w:tabs>
        <w:numPr>
          <w:ilvl w:val="0"/>
          <w:numId w:val="1"/>
        </w:numPr>
        <w:rPr>
          <w:rFonts w:ascii="Arial" w:cs="Arial" w:eastAsia="Arial" w:hAnsi="Arial"/>
          <w:sz w:val="12"/>
          <w:szCs w:val="12"/>
          <w:b w:val="1"/>
          <w:bCs w:val="1"/>
          <w:color w:val="auto"/>
        </w:rPr>
      </w:pPr>
      <w:r>
        <w:rPr>
          <w:rFonts w:ascii="Times New Roman" w:cs="Times New Roman" w:eastAsia="Times New Roman" w:hAnsi="Times New Roman"/>
          <w:sz w:val="12"/>
          <w:szCs w:val="12"/>
          <w:i w:val="1"/>
          <w:iCs w:val="1"/>
          <w:color w:val="auto"/>
        </w:rPr>
        <w:t>Initiates 2027 non-GAAP EPS guidance range of $2.07-$2.09, representing approximately 9% growth at the midpoint over increased 2026 guidance</w:t>
      </w:r>
      <w:r>
        <w:rPr>
          <w:rFonts w:ascii="Times New Roman" w:cs="Times New Roman" w:eastAsia="Times New Roman" w:hAnsi="Times New Roman"/>
          <w:sz w:val="19"/>
          <w:szCs w:val="19"/>
          <w:i w:val="1"/>
          <w:iCs w:val="1"/>
          <w:color w:val="auto"/>
          <w:vertAlign w:val="superscript"/>
        </w:rPr>
        <w:t>1</w:t>
      </w:r>
    </w:p>
    <w:p>
      <w:pPr>
        <w:spacing w:after="0" w:line="94" w:lineRule="exact"/>
        <w:rPr>
          <w:rFonts w:ascii="Arial" w:cs="Arial" w:eastAsia="Arial" w:hAnsi="Arial"/>
          <w:sz w:val="12"/>
          <w:szCs w:val="12"/>
          <w:b w:val="1"/>
          <w:bCs w:val="1"/>
          <w:color w:val="auto"/>
        </w:rPr>
      </w:pPr>
    </w:p>
    <w:p>
      <w:pPr>
        <w:ind w:left="208" w:hanging="208"/>
        <w:spacing w:after="0"/>
        <w:tabs>
          <w:tab w:leader="none" w:pos="208" w:val="left"/>
        </w:tabs>
        <w:numPr>
          <w:ilvl w:val="0"/>
          <w:numId w:val="1"/>
        </w:numPr>
        <w:rPr>
          <w:rFonts w:ascii="Arial" w:cs="Arial" w:eastAsia="Arial" w:hAnsi="Arial"/>
          <w:sz w:val="12"/>
          <w:szCs w:val="12"/>
          <w:b w:val="1"/>
          <w:bCs w:val="1"/>
          <w:color w:val="auto"/>
        </w:rPr>
      </w:pPr>
      <w:r>
        <w:rPr>
          <w:rFonts w:ascii="Times New Roman" w:cs="Times New Roman" w:eastAsia="Times New Roman" w:hAnsi="Times New Roman"/>
          <w:sz w:val="12"/>
          <w:szCs w:val="12"/>
          <w:i w:val="1"/>
          <w:iCs w:val="1"/>
          <w:color w:val="auto"/>
        </w:rPr>
        <w:t>Extends non-GAAP EPS growth at the mid-to-high end of its 7%-9% annual range through 2030</w:t>
      </w:r>
    </w:p>
    <w:p>
      <w:pPr>
        <w:spacing w:after="0" w:line="147" w:lineRule="exact"/>
        <w:rPr>
          <w:sz w:val="20"/>
          <w:szCs w:val="20"/>
          <w:color w:val="auto"/>
        </w:rPr>
      </w:pPr>
    </w:p>
    <w:p>
      <w:pPr>
        <w:jc w:val="both"/>
        <w:ind w:left="8" w:right="2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Houston – October 27, 2026 – </w:t>
      </w:r>
      <w:r>
        <w:rPr>
          <w:rFonts w:ascii="Times New Roman" w:cs="Times New Roman" w:eastAsia="Times New Roman" w:hAnsi="Times New Roman"/>
          <w:sz w:val="12"/>
          <w:szCs w:val="12"/>
          <w:color w:val="auto"/>
        </w:rPr>
        <w:t>CenterPoint Energy, Inc. (NYSE: CNP), or “CenterPoint,” today reported net income of $331 million, or $0.50 per diluted share, on a GAAP basis for the third quarter of 2026, compared to $0.45 per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diluted share in the comparable period of 2025.</w:t>
      </w:r>
    </w:p>
    <w:p>
      <w:pPr>
        <w:spacing w:after="0" w:line="107" w:lineRule="exact"/>
        <w:rPr>
          <w:sz w:val="20"/>
          <w:szCs w:val="20"/>
          <w:color w:val="auto"/>
        </w:rPr>
      </w:pPr>
    </w:p>
    <w:p>
      <w:pPr>
        <w:jc w:val="both"/>
        <w:ind w:left="8" w:right="220"/>
        <w:spacing w:after="0" w:line="260" w:lineRule="auto"/>
        <w:rPr>
          <w:sz w:val="20"/>
          <w:szCs w:val="20"/>
          <w:color w:val="auto"/>
        </w:rPr>
      </w:pPr>
      <w:r>
        <w:rPr>
          <w:rFonts w:ascii="Times New Roman" w:cs="Times New Roman" w:eastAsia="Times New Roman" w:hAnsi="Times New Roman"/>
          <w:sz w:val="12"/>
          <w:szCs w:val="12"/>
          <w:color w:val="auto"/>
        </w:rPr>
        <w:t>Non-GAAP EPS for the third quarter of 2026 was $0.53 per diluted share, compared to $0.50 per diluted share in the comparable period of 2025. These strong third quarter results were primarily driven by growth and rate recovery, which contributed $0.09 per share of favorability compared to the third quarter of 2025. Weather and usage contributed $0.03 per share of favorable variance compared to the comparable quarter of 2025, while O&amp;M was flat for the quarter. These drivers were partially offset by $0.04 per share of unfavorable variance from higher financing expenses, reflecting new debt issuances and equity dilution. Lastly, other items contributed $0.05 per share of unfavorable variance when compared to the third quarter of 2025, primarily related to the absence of the one-time tax optimization benefit recorded last year.</w:t>
      </w:r>
    </w:p>
    <w:p>
      <w:pPr>
        <w:spacing w:after="0" w:line="122"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CenterPoint increased its 10-year capital investment plan by $4.0 billion from $66.7 billion to $70.7 billion and accelerated another $1.5 billion of investments into the first 5 years to support accelerating customer demand in the Greater Houston area. It also maintained its incremental capital investment opportunities of at least $10 billion through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179451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145" w:lineRule="exact"/>
        <w:rPr>
          <w:sz w:val="20"/>
          <w:szCs w:val="20"/>
          <w:color w:val="auto"/>
        </w:rPr>
      </w:pPr>
    </w:p>
    <w:p>
      <w:pPr>
        <w:ind w:left="8" w:right="300" w:hanging="8"/>
        <w:spacing w:after="0" w:line="194" w:lineRule="auto"/>
        <w:tabs>
          <w:tab w:leader="none" w:pos="88" w:val="left"/>
        </w:tabs>
        <w:numPr>
          <w:ilvl w:val="0"/>
          <w:numId w:val="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CenterPoint is unable to present a quantitative reconciliation of forward-looking non-GAAP diluted earnings per share without unreasonable effort because changes in the value of ZENS (as defined herein) and related securities, future impairments, and other unusual items are not estimable and are difficult to predict due to various factors outside of management’s control.</w:t>
      </w:r>
    </w:p>
    <w:p>
      <w:pPr>
        <w:spacing w:after="0" w:line="27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color w:val="auto"/>
        </w:rPr>
        <w:t>The company also extended its expectation for non-GAAP EPS growth at the mid-to-high end of its 7% to 9% annual range through 2030.</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continue to see accelerated growth opportunities across Greater Houston, where the region’s speed-to-market advantage is creating a compelling pipeline of additional customer-driven investment opportunities. This growth also supports affordability as we expect it will drive approximately $5 billion in savings for Texas residential and commercial customers over the next decade. Beyond today’s $4 billion capital plan increase to expand system capacity to accommodate growth, we see at least another $10 billion of additional opportunities to enable system reliability, enhance safety and drive economic development across our service territories,” said Jason Wells, Chair of the Board, President and CEO of CenterPoint.</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believe continuing to invest with discipline and staying true to our proven, customer-driven approach, allows us to sustain our competitive advantage and remain ready for the next wave of customer demand. That positions us well to continue to deliver on one of the industry's most tangible and executable long-term growth plans for the benefit of all our stakeholders,” concluded Wells.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 w:name="page6"/>
    <w:bookmarkEnd w:id="5"/>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Earnings Outlook</w:t>
      </w:r>
    </w:p>
    <w:p>
      <w:pPr>
        <w:spacing w:after="0" w:line="154" w:lineRule="exact"/>
        <w:rPr>
          <w:sz w:val="20"/>
          <w:szCs w:val="20"/>
          <w:color w:val="auto"/>
        </w:rPr>
      </w:pPr>
    </w:p>
    <w:p>
      <w:pPr>
        <w:ind w:left="8"/>
        <w:spacing w:after="0" w:line="265" w:lineRule="auto"/>
        <w:rPr>
          <w:sz w:val="20"/>
          <w:szCs w:val="20"/>
          <w:color w:val="auto"/>
        </w:rPr>
      </w:pPr>
      <w:r>
        <w:rPr>
          <w:rFonts w:ascii="Times New Roman" w:cs="Times New Roman" w:eastAsia="Times New Roman" w:hAnsi="Times New Roman"/>
          <w:sz w:val="12"/>
          <w:szCs w:val="12"/>
          <w:color w:val="auto"/>
        </w:rPr>
        <w:t>In addition to presenting its financial results in accordance with GAAP, including presentation of net income or income available to common shareholders (loss) and diluted earnings (loss) per share, CenterPoint provides guidance based on non-GAAP income and non-GAAP diluted earnings per share. Generally, a non-GAAP financial measure is a numerical measure of a company’s historical or future financial performance that excludes or includes amounts that are not normally excluded or included in the most directly comparable GAAP financial measure.</w:t>
      </w:r>
    </w:p>
    <w:p>
      <w:pPr>
        <w:spacing w:after="0" w:line="119" w:lineRule="exact"/>
        <w:rPr>
          <w:sz w:val="20"/>
          <w:szCs w:val="20"/>
          <w:color w:val="auto"/>
        </w:rPr>
      </w:pPr>
    </w:p>
    <w:p>
      <w:pPr>
        <w:ind w:left="8" w:right="100"/>
        <w:spacing w:after="0" w:line="257" w:lineRule="auto"/>
        <w:rPr>
          <w:sz w:val="20"/>
          <w:szCs w:val="20"/>
          <w:color w:val="auto"/>
        </w:rPr>
      </w:pPr>
      <w:r>
        <w:rPr>
          <w:rFonts w:ascii="Times New Roman" w:cs="Times New Roman" w:eastAsia="Times New Roman" w:hAnsi="Times New Roman"/>
          <w:sz w:val="12"/>
          <w:szCs w:val="12"/>
          <w:color w:val="auto"/>
        </w:rPr>
        <w:t>Management evaluates CenterPoint’s financial performance in part based on non-GAAP income and non-GAAP diluted earnings per share. Management believes that presenting these non-GAAP financial measures enhances an investor’s understanding of CenterPoint’s overall financial performance by providing them with an additional meaningful and relevant comparison of current and anticipated future results across periods. The adjustments made in these non-GAAP financial measures exclude items that management believes do not most accurately reflect the company’s fundamental business performance. These excluded items are reflected in the reconciliation tables of this news release, where applicable. CenterPoint’s non-GAAP income and non-GAAP diluted earnings per share measures should be considered as a supplement to, and not as a substitute for, or superior to, net income and diluted earnings per share, which respectively are the most directly comparable GAAP financial measures. These non-GAAP financial measures also may be different than non-GAAP financial measures used by other companies.</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2025 and 2026 non-GAAP EPS and 2026 and 2027 non-GAAP EPS guidance range</w:t>
      </w:r>
    </w:p>
    <w:p>
      <w:pPr>
        <w:spacing w:after="0" w:line="152" w:lineRule="exact"/>
        <w:rPr>
          <w:sz w:val="20"/>
          <w:szCs w:val="20"/>
          <w:color w:val="auto"/>
        </w:rPr>
      </w:pPr>
    </w:p>
    <w:p>
      <w:pPr>
        <w:ind w:left="208" w:hanging="208"/>
        <w:spacing w:after="0"/>
        <w:tabs>
          <w:tab w:leader="none" w:pos="208" w:val="left"/>
        </w:tabs>
        <w:numPr>
          <w:ilvl w:val="0"/>
          <w:numId w:val="3"/>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2025 and 2026 non-GAAP EPS and 2026 and 2027 non-GAAP EPS guidance excludes:</w:t>
      </w:r>
    </w:p>
    <w:p>
      <w:pPr>
        <w:spacing w:after="0" w:line="149" w:lineRule="exact"/>
        <w:rPr>
          <w:rFonts w:ascii="Arial" w:cs="Arial" w:eastAsia="Arial" w:hAnsi="Arial"/>
          <w:sz w:val="12"/>
          <w:szCs w:val="12"/>
          <w:b w:val="1"/>
          <w:bCs w:val="1"/>
          <w:color w:val="auto"/>
        </w:rPr>
      </w:pPr>
    </w:p>
    <w:p>
      <w:pPr>
        <w:ind w:left="648" w:hanging="216"/>
        <w:spacing w:after="0"/>
        <w:tabs>
          <w:tab w:leader="none" w:pos="648" w:val="left"/>
        </w:tabs>
        <w:numPr>
          <w:ilvl w:val="1"/>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Earnings or losses from the change in value of CenterPoint’s 2.0% Zero-Premium Exchangeable Subordinated Notes due 2029 (“ZENS”) and related securities;</w:t>
      </w:r>
    </w:p>
    <w:p>
      <w:pPr>
        <w:spacing w:after="0" w:line="150" w:lineRule="exact"/>
        <w:rPr>
          <w:rFonts w:ascii="Times New Roman" w:cs="Times New Roman" w:eastAsia="Times New Roman" w:hAnsi="Times New Roman"/>
          <w:sz w:val="12"/>
          <w:szCs w:val="12"/>
          <w:color w:val="auto"/>
        </w:rPr>
      </w:pPr>
    </w:p>
    <w:p>
      <w:pPr>
        <w:ind w:left="648" w:hanging="216"/>
        <w:spacing w:after="0"/>
        <w:tabs>
          <w:tab w:leader="none" w:pos="648" w:val="left"/>
        </w:tabs>
        <w:numPr>
          <w:ilvl w:val="1"/>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Gains, losses and impacts, including related expenses, associated with mergers and divestitures, such as the divestiture of our Louisiana, Mississippi and Ohio natural gas LDC businesses;</w:t>
      </w:r>
    </w:p>
    <w:p>
      <w:pPr>
        <w:spacing w:after="0" w:line="150" w:lineRule="exact"/>
        <w:rPr>
          <w:rFonts w:ascii="Times New Roman" w:cs="Times New Roman" w:eastAsia="Times New Roman" w:hAnsi="Times New Roman"/>
          <w:sz w:val="12"/>
          <w:szCs w:val="12"/>
          <w:color w:val="auto"/>
        </w:rPr>
      </w:pPr>
    </w:p>
    <w:p>
      <w:pPr>
        <w:ind w:left="648" w:hanging="216"/>
        <w:spacing w:after="0"/>
        <w:tabs>
          <w:tab w:leader="none" w:pos="648" w:val="left"/>
        </w:tabs>
        <w:numPr>
          <w:ilvl w:val="1"/>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Impacts related to temporary emergency electric energy facilities (“TEEEF”) once they are no longer part of our rate-regulated business.</w:t>
      </w:r>
    </w:p>
    <w:p>
      <w:pPr>
        <w:spacing w:after="0" w:line="150" w:lineRule="exact"/>
        <w:rPr>
          <w:sz w:val="20"/>
          <w:szCs w:val="20"/>
          <w:color w:val="auto"/>
        </w:rPr>
      </w:pPr>
    </w:p>
    <w:p>
      <w:pPr>
        <w:ind w:left="8" w:right="20"/>
        <w:spacing w:after="0" w:line="256" w:lineRule="auto"/>
        <w:rPr>
          <w:sz w:val="20"/>
          <w:szCs w:val="20"/>
          <w:color w:val="auto"/>
        </w:rPr>
      </w:pPr>
      <w:r>
        <w:rPr>
          <w:rFonts w:ascii="Times New Roman" w:cs="Times New Roman" w:eastAsia="Times New Roman" w:hAnsi="Times New Roman"/>
          <w:sz w:val="12"/>
          <w:szCs w:val="12"/>
          <w:color w:val="auto"/>
        </w:rPr>
        <w:t>In providing 2025 and 2026 non-GAAP EPS and 2026 and 2027 non-GAAP EPS guidance, CenterPoint does not consider the items noted above and other potential impacts such as changes in accounting standards, impairments, or other unusual items, which could have a material impact on GAAP reported results for the applicable guidance period. The 2026 and 2027 non-GAAP EPS guidance range also considers assumptions for certain significant variables that may impact earnings, such as customer growth and usage including normal weather, throughput, recovery of capital invested, effective tax rates, financing activities and related interest rates, and regulatory and judicial proceedings. To the extent actual results deviate from these assumptions, the 2026 and 2027 non-GAAP EPS guidance range may not be met, or the projected annual non-GAAP EPS growth rate may change. CenterPoint is unable to present a quantitative reconciliation of forward-looking non-GAAP diluted earnings per share without unreasonable effort because changes in the value of ZENS and related securities, future impairments, and other unusual items are not estimable and are difficult to predict due to various factors outside of management’s control.</w:t>
      </w:r>
    </w:p>
    <w:p>
      <w:pPr>
        <w:spacing w:after="0" w:line="2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38"/>
        </w:trPr>
        <w:tc>
          <w:tcPr>
            <w:tcW w:w="80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Reconciliation of consolidated net income and diluted earnings per share (GAAP) to non-GAAP income and non-GAAP diluted earnings per share</w:t>
            </w: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748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Three Months Ended</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7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September 30, 2026</w:t>
            </w:r>
          </w:p>
        </w:tc>
        <w:tc>
          <w:tcPr>
            <w:tcW w:w="9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Dollars in</w:t>
            </w: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jc w:val="right"/>
              <w:ind w:right="480"/>
              <w:spacing w:after="0" w:line="122" w:lineRule="exact"/>
              <w:rPr>
                <w:sz w:val="20"/>
                <w:szCs w:val="20"/>
                <w:color w:val="auto"/>
              </w:rPr>
            </w:pPr>
            <w:r>
              <w:rPr>
                <w:rFonts w:ascii="Times New Roman" w:cs="Times New Roman" w:eastAsia="Times New Roman" w:hAnsi="Times New Roman"/>
                <w:sz w:val="12"/>
                <w:szCs w:val="12"/>
                <w:b w:val="1"/>
                <w:bCs w:val="1"/>
                <w:color w:val="auto"/>
              </w:rPr>
              <w:t>Diluted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7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2"/>
                <w:szCs w:val="12"/>
                <w:b w:val="1"/>
                <w:bCs w:val="1"/>
                <w:color w:val="auto"/>
              </w:rPr>
              <w:t>millions</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gridSpan w:val="2"/>
          </w:tcPr>
          <w:p>
            <w:pPr>
              <w:jc w:val="right"/>
              <w:ind w:right="680"/>
              <w:spacing w:after="0" w:line="183" w:lineRule="exact"/>
              <w:rPr>
                <w:sz w:val="20"/>
                <w:szCs w:val="20"/>
                <w:color w:val="auto"/>
              </w:rPr>
            </w:pPr>
            <w:r>
              <w:rPr>
                <w:rFonts w:ascii="Times New Roman" w:cs="Times New Roman" w:eastAsia="Times New Roman" w:hAnsi="Times New Roman"/>
                <w:sz w:val="12"/>
                <w:szCs w:val="12"/>
                <w:b w:val="1"/>
                <w:bCs w:val="1"/>
                <w:color w:val="auto"/>
              </w:rPr>
              <w:t>EPS</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133"/>
        </w:trPr>
        <w:tc>
          <w:tcPr>
            <w:tcW w:w="802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Consolidated net income and diluted EPS on a GAAP basis</w:t>
            </w:r>
          </w:p>
        </w:tc>
        <w:tc>
          <w:tcPr>
            <w:tcW w:w="1020" w:type="dxa"/>
            <w:vAlign w:val="bottom"/>
            <w:tcBorders>
              <w:top w:val="single" w:sz="8" w:color="auto"/>
            </w:tcBorders>
            <w:shd w:val="clear" w:color="auto" w:fill="CCEEFF"/>
          </w:tcPr>
          <w:p>
            <w:pPr>
              <w:jc w:val="right"/>
              <w:ind w:right="9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331</w:t>
            </w:r>
          </w:p>
        </w:tc>
        <w:tc>
          <w:tcPr>
            <w:tcW w:w="2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ind w:right="340"/>
              <w:spacing w:after="0" w:line="133"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9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0.50</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0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ZENS-related mark-to-market (gains) losses:</w:t>
            </w: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20" w:type="dxa"/>
            <w:vAlign w:val="bottom"/>
            <w:gridSpan w:val="2"/>
            <w:shd w:val="clear" w:color="auto" w:fill="CCEEFF"/>
          </w:tcPr>
          <w:p>
            <w:pPr>
              <w:ind w:left="100"/>
              <w:spacing w:after="0" w:line="171" w:lineRule="exact"/>
              <w:rPr>
                <w:sz w:val="20"/>
                <w:szCs w:val="20"/>
                <w:color w:val="auto"/>
              </w:rPr>
            </w:pPr>
            <w:r>
              <w:rPr>
                <w:rFonts w:ascii="Times New Roman" w:cs="Times New Roman" w:eastAsia="Times New Roman" w:hAnsi="Times New Roman"/>
                <w:sz w:val="12"/>
                <w:szCs w:val="12"/>
                <w:color w:val="auto"/>
              </w:rPr>
              <w:t>Equity securities (net of tax expense of $4)</w:t>
            </w:r>
            <w:r>
              <w:rPr>
                <w:rFonts w:ascii="Times New Roman" w:cs="Times New Roman" w:eastAsia="Times New Roman" w:hAnsi="Times New Roman"/>
                <w:sz w:val="19"/>
                <w:szCs w:val="19"/>
                <w:color w:val="auto"/>
                <w:vertAlign w:val="superscript"/>
              </w:rPr>
              <w:t>(2)(3)</w:t>
            </w:r>
          </w:p>
        </w:tc>
        <w:tc>
          <w:tcPr>
            <w:tcW w:w="10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(17)</w:t>
            </w:r>
          </w:p>
        </w:tc>
        <w:tc>
          <w:tcPr>
            <w:tcW w:w="4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(0.03)</w:t>
            </w:r>
          </w:p>
        </w:tc>
        <w:tc>
          <w:tcPr>
            <w:tcW w:w="0" w:type="dxa"/>
            <w:vAlign w:val="bottom"/>
          </w:tcPr>
          <w:p>
            <w:pPr>
              <w:spacing w:after="0"/>
              <w:rPr>
                <w:sz w:val="1"/>
                <w:szCs w:val="1"/>
                <w:color w:val="auto"/>
              </w:rPr>
            </w:pPr>
          </w:p>
        </w:tc>
      </w:tr>
      <w:tr>
        <w:trPr>
          <w:trHeight w:val="171"/>
        </w:trPr>
        <w:tc>
          <w:tcPr>
            <w:tcW w:w="8020" w:type="dxa"/>
            <w:vAlign w:val="bottom"/>
            <w:gridSpan w:val="2"/>
          </w:tcPr>
          <w:p>
            <w:pPr>
              <w:ind w:left="100"/>
              <w:spacing w:after="0" w:line="171" w:lineRule="exact"/>
              <w:rPr>
                <w:sz w:val="20"/>
                <w:szCs w:val="20"/>
                <w:color w:val="auto"/>
              </w:rPr>
            </w:pPr>
            <w:r>
              <w:rPr>
                <w:rFonts w:ascii="Times New Roman" w:cs="Times New Roman" w:eastAsia="Times New Roman" w:hAnsi="Times New Roman"/>
                <w:sz w:val="12"/>
                <w:szCs w:val="12"/>
                <w:color w:val="auto"/>
              </w:rPr>
              <w:t>Indexed debt securities (net of tax benefit of $5)</w:t>
            </w:r>
            <w:r>
              <w:rPr>
                <w:rFonts w:ascii="Times New Roman" w:cs="Times New Roman" w:eastAsia="Times New Roman" w:hAnsi="Times New Roman"/>
                <w:sz w:val="19"/>
                <w:szCs w:val="19"/>
                <w:color w:val="auto"/>
                <w:vertAlign w:val="superscript"/>
              </w:rPr>
              <w:t>(2)</w:t>
            </w:r>
          </w:p>
        </w:tc>
        <w:tc>
          <w:tcPr>
            <w:tcW w:w="10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19</w:t>
            </w:r>
          </w:p>
        </w:tc>
        <w:tc>
          <w:tcPr>
            <w:tcW w:w="4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0.03</w:t>
            </w:r>
          </w:p>
        </w:tc>
        <w:tc>
          <w:tcPr>
            <w:tcW w:w="0" w:type="dxa"/>
            <w:vAlign w:val="bottom"/>
          </w:tcPr>
          <w:p>
            <w:pPr>
              <w:spacing w:after="0"/>
              <w:rPr>
                <w:sz w:val="1"/>
                <w:szCs w:val="1"/>
                <w:color w:val="auto"/>
              </w:rPr>
            </w:pPr>
          </w:p>
        </w:tc>
      </w:tr>
      <w:tr>
        <w:trPr>
          <w:trHeight w:val="171"/>
        </w:trPr>
        <w:tc>
          <w:tcPr>
            <w:tcW w:w="802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2"/>
                <w:szCs w:val="12"/>
                <w:b w:val="1"/>
                <w:bCs w:val="1"/>
                <w:color w:val="auto"/>
              </w:rPr>
              <w:t>Impacts associated with mergers and divestitures (net of tax benefit of $1)</w:t>
            </w:r>
            <w:r>
              <w:rPr>
                <w:rFonts w:ascii="Times New Roman" w:cs="Times New Roman" w:eastAsia="Times New Roman" w:hAnsi="Times New Roman"/>
                <w:sz w:val="19"/>
                <w:szCs w:val="19"/>
                <w:color w:val="auto"/>
                <w:vertAlign w:val="superscript"/>
              </w:rPr>
              <w:t>(2)(4)</w:t>
            </w:r>
          </w:p>
        </w:tc>
        <w:tc>
          <w:tcPr>
            <w:tcW w:w="10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w:t>
            </w:r>
          </w:p>
        </w:tc>
        <w:tc>
          <w:tcPr>
            <w:tcW w:w="4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0.00</w:t>
            </w:r>
          </w:p>
        </w:tc>
        <w:tc>
          <w:tcPr>
            <w:tcW w:w="0" w:type="dxa"/>
            <w:vAlign w:val="bottom"/>
          </w:tcPr>
          <w:p>
            <w:pPr>
              <w:spacing w:after="0"/>
              <w:rPr>
                <w:sz w:val="1"/>
                <w:szCs w:val="1"/>
                <w:color w:val="auto"/>
              </w:rPr>
            </w:pPr>
          </w:p>
        </w:tc>
      </w:tr>
      <w:tr>
        <w:trPr>
          <w:trHeight w:val="180"/>
        </w:trPr>
        <w:tc>
          <w:tcPr>
            <w:tcW w:w="8020" w:type="dxa"/>
            <w:vAlign w:val="bottom"/>
            <w:gridSpan w:val="2"/>
          </w:tcPr>
          <w:p>
            <w:pPr>
              <w:spacing w:after="0" w:line="180" w:lineRule="exact"/>
              <w:rPr>
                <w:sz w:val="20"/>
                <w:szCs w:val="20"/>
                <w:color w:val="auto"/>
              </w:rPr>
            </w:pPr>
            <w:r>
              <w:rPr>
                <w:rFonts w:ascii="Times New Roman" w:cs="Times New Roman" w:eastAsia="Times New Roman" w:hAnsi="Times New Roman"/>
                <w:sz w:val="12"/>
                <w:szCs w:val="12"/>
                <w:b w:val="1"/>
                <w:bCs w:val="1"/>
                <w:color w:val="auto"/>
              </w:rPr>
              <w:t>Impacts associated with TEEEF Units removed from Rate Base (net of tax benefit of $5)</w:t>
            </w:r>
            <w:r>
              <w:rPr>
                <w:rFonts w:ascii="Times New Roman" w:cs="Times New Roman" w:eastAsia="Times New Roman" w:hAnsi="Times New Roman"/>
                <w:sz w:val="19"/>
                <w:szCs w:val="19"/>
                <w:color w:val="auto"/>
                <w:vertAlign w:val="superscript"/>
              </w:rPr>
              <w:t>(5)</w:t>
            </w:r>
          </w:p>
        </w:tc>
        <w:tc>
          <w:tcPr>
            <w:tcW w:w="102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19</w:t>
            </w:r>
          </w:p>
        </w:tc>
        <w:tc>
          <w:tcPr>
            <w:tcW w:w="48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0.03</w:t>
            </w:r>
          </w:p>
        </w:tc>
        <w:tc>
          <w:tcPr>
            <w:tcW w:w="0" w:type="dxa"/>
            <w:vAlign w:val="bottom"/>
          </w:tcPr>
          <w:p>
            <w:pPr>
              <w:spacing w:after="0"/>
              <w:rPr>
                <w:sz w:val="1"/>
                <w:szCs w:val="1"/>
                <w:color w:val="auto"/>
              </w:rPr>
            </w:pPr>
          </w:p>
        </w:tc>
      </w:tr>
      <w:tr>
        <w:trPr>
          <w:trHeight w:val="20"/>
        </w:trPr>
        <w:tc>
          <w:tcPr>
            <w:tcW w:w="8020" w:type="dxa"/>
            <w:vAlign w:val="bottom"/>
            <w:gridSpan w:val="2"/>
            <w:vMerge w:val="restart"/>
            <w:shd w:val="clear" w:color="auto" w:fill="CCEEFF"/>
          </w:tcPr>
          <w:p>
            <w:pPr>
              <w:spacing w:after="0" w:line="171" w:lineRule="exact"/>
              <w:rPr>
                <w:sz w:val="20"/>
                <w:szCs w:val="20"/>
                <w:color w:val="auto"/>
              </w:rPr>
            </w:pPr>
            <w:r>
              <w:rPr>
                <w:rFonts w:ascii="Times New Roman" w:cs="Times New Roman" w:eastAsia="Times New Roman" w:hAnsi="Times New Roman"/>
                <w:sz w:val="12"/>
                <w:szCs w:val="12"/>
                <w:b w:val="1"/>
                <w:bCs w:val="1"/>
                <w:color w:val="auto"/>
              </w:rPr>
              <w:t>Consolidated income and diluted EPS on a non-GAAP basis</w:t>
            </w:r>
            <w:r>
              <w:rPr>
                <w:rFonts w:ascii="Times New Roman" w:cs="Times New Roman" w:eastAsia="Times New Roman" w:hAnsi="Times New Roman"/>
                <w:sz w:val="19"/>
                <w:szCs w:val="19"/>
                <w:color w:val="auto"/>
                <w:vertAlign w:val="superscript"/>
              </w:rPr>
              <w:t>(6)</w:t>
            </w: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020" w:type="dxa"/>
            <w:vAlign w:val="bottom"/>
            <w:gridSpan w:val="2"/>
            <w:vMerge w:val="continue"/>
            <w:shd w:val="clear" w:color="auto" w:fill="CCEEFF"/>
          </w:tcPr>
          <w:p>
            <w:pPr>
              <w:spacing w:after="0"/>
              <w:rPr>
                <w:sz w:val="13"/>
                <w:szCs w:val="13"/>
                <w:color w:val="auto"/>
              </w:rPr>
            </w:pPr>
          </w:p>
        </w:tc>
        <w:tc>
          <w:tcPr>
            <w:tcW w:w="1020" w:type="dxa"/>
            <w:vAlign w:val="bottom"/>
            <w:shd w:val="clear" w:color="auto" w:fill="CCEEFF"/>
          </w:tcPr>
          <w:p>
            <w:pPr>
              <w:jc w:val="right"/>
              <w:ind w:right="9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354</w:t>
            </w:r>
          </w:p>
        </w:tc>
        <w:tc>
          <w:tcPr>
            <w:tcW w:w="4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0.53</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Quarterly diluted EPS on both a GAAP and non-GAAP basis are based on the weighted average number of shares of common stock outstanding during the quarter, and the sum of the quarters may not equal year-to-date diluted</w:t>
      </w:r>
    </w:p>
    <w:p>
      <w:pPr>
        <w:spacing w:after="0" w:line="16" w:lineRule="exact"/>
        <w:rPr>
          <w:rFonts w:ascii="Times New Roman" w:cs="Times New Roman" w:eastAsia="Times New Roman" w:hAnsi="Times New Roman"/>
          <w:sz w:val="12"/>
          <w:szCs w:val="12"/>
          <w:color w:val="auto"/>
        </w:rPr>
      </w:pP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EPS</w:t>
      </w:r>
    </w:p>
    <w:p>
      <w:pPr>
        <w:spacing w:after="0" w:line="6" w:lineRule="exact"/>
        <w:rPr>
          <w:rFonts w:ascii="Times New Roman" w:cs="Times New Roman" w:eastAsia="Times New Roman" w:hAnsi="Times New Roman"/>
          <w:sz w:val="12"/>
          <w:szCs w:val="12"/>
          <w:color w:val="auto"/>
        </w:rPr>
      </w:pPr>
    </w:p>
    <w:p>
      <w:pPr>
        <w:ind w:left="420" w:right="120" w:hanging="212"/>
        <w:spacing w:after="0" w:line="250" w:lineRule="auto"/>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Taxes are computed based on the impact removing such item would have on tax expense. Taxes related to the Ohio natural gas LDC business sale are booked proportionately by applying the projected annual effective tax rate percentage to income earned each quarter in accordance with GAAP</w:t>
      </w: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Comprised of common stock of AT&amp;T Inc., Charter Communications, Inc., and Warner Bros. Discovery, Inc.</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$8 million gain on early extinguishment of debt associated with the divestiture of the Ohio natural gas LDC business that was completed on October 1, 2026</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impacts related to temporary emergency electric energy facilities following the removal of the units from our rate regulated business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calculation on a per-share basis may not add down due to rounding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Reconciliation of consolidated net income (loss) and diluted earnings (loss) per share (GAAP) to non-GAAP income and non-GAAP diluted earnings per share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Nine Months Ended</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02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September 30, 2026</w:t>
            </w:r>
          </w:p>
        </w:tc>
        <w:tc>
          <w:tcPr>
            <w:tcW w:w="10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8020" w:type="dxa"/>
            <w:vAlign w:val="bottom"/>
          </w:tcPr>
          <w:p>
            <w:pPr>
              <w:spacing w:after="0"/>
              <w:rPr>
                <w:sz w:val="10"/>
                <w:szCs w:val="10"/>
                <w:color w:val="auto"/>
              </w:rPr>
            </w:pPr>
          </w:p>
        </w:tc>
        <w:tc>
          <w:tcPr>
            <w:tcW w:w="102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Dollars in</w:t>
            </w: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Pr>
          <w:p>
            <w:pPr>
              <w:jc w:val="right"/>
              <w:ind w:right="480"/>
              <w:spacing w:after="0" w:line="124" w:lineRule="exact"/>
              <w:rPr>
                <w:sz w:val="20"/>
                <w:szCs w:val="20"/>
                <w:color w:val="auto"/>
              </w:rPr>
            </w:pPr>
            <w:r>
              <w:rPr>
                <w:rFonts w:ascii="Times New Roman" w:cs="Times New Roman" w:eastAsia="Times New Roman" w:hAnsi="Times New Roman"/>
                <w:sz w:val="12"/>
                <w:szCs w:val="12"/>
                <w:b w:val="1"/>
                <w:bCs w:val="1"/>
                <w:color w:val="auto"/>
              </w:rPr>
              <w:t>Diluted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020" w:type="dxa"/>
            <w:vAlign w:val="bottom"/>
          </w:tcPr>
          <w:p>
            <w:pPr>
              <w:spacing w:after="0"/>
              <w:rPr>
                <w:sz w:val="15"/>
                <w:szCs w:val="15"/>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2"/>
                <w:szCs w:val="12"/>
                <w:b w:val="1"/>
                <w:bCs w:val="1"/>
                <w:color w:val="auto"/>
              </w:rPr>
              <w:t>millions</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gridSpan w:val="2"/>
          </w:tcPr>
          <w:p>
            <w:pPr>
              <w:jc w:val="right"/>
              <w:ind w:right="680"/>
              <w:spacing w:after="0" w:line="180" w:lineRule="exact"/>
              <w:rPr>
                <w:sz w:val="20"/>
                <w:szCs w:val="20"/>
                <w:color w:val="auto"/>
              </w:rPr>
            </w:pPr>
            <w:r>
              <w:rPr>
                <w:rFonts w:ascii="Times New Roman" w:cs="Times New Roman" w:eastAsia="Times New Roman" w:hAnsi="Times New Roman"/>
                <w:sz w:val="12"/>
                <w:szCs w:val="12"/>
                <w:b w:val="1"/>
                <w:bCs w:val="1"/>
                <w:color w:val="auto"/>
              </w:rPr>
              <w:t>EPS</w:t>
            </w:r>
            <w:r>
              <w:rPr>
                <w:rFonts w:ascii="Times New Roman" w:cs="Times New Roman" w:eastAsia="Times New Roman" w:hAnsi="Times New Roman"/>
                <w:sz w:val="19"/>
                <w:szCs w:val="19"/>
                <w:color w:val="auto"/>
                <w:vertAlign w:val="superscript"/>
              </w:rPr>
              <w:t>(1)</w:t>
            </w:r>
          </w:p>
        </w:tc>
        <w:tc>
          <w:tcPr>
            <w:tcW w:w="0" w:type="dxa"/>
            <w:vAlign w:val="bottom"/>
          </w:tcPr>
          <w:p>
            <w:pPr>
              <w:spacing w:after="0"/>
              <w:rPr>
                <w:sz w:val="1"/>
                <w:szCs w:val="1"/>
                <w:color w:val="auto"/>
              </w:rPr>
            </w:pPr>
          </w:p>
        </w:tc>
      </w:tr>
      <w:tr>
        <w:trPr>
          <w:trHeight w:val="133"/>
        </w:trPr>
        <w:tc>
          <w:tcPr>
            <w:tcW w:w="80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Consolidated net income and diluted EPS on a GAAP basis</w:t>
            </w:r>
          </w:p>
        </w:tc>
        <w:tc>
          <w:tcPr>
            <w:tcW w:w="1020" w:type="dxa"/>
            <w:vAlign w:val="bottom"/>
            <w:tcBorders>
              <w:top w:val="single" w:sz="8" w:color="auto"/>
            </w:tcBorders>
            <w:shd w:val="clear" w:color="auto" w:fill="CCEEFF"/>
          </w:tcPr>
          <w:p>
            <w:pPr>
              <w:jc w:val="right"/>
              <w:ind w:right="9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891</w:t>
            </w:r>
          </w:p>
        </w:tc>
        <w:tc>
          <w:tcPr>
            <w:tcW w:w="2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ind w:right="320"/>
              <w:spacing w:after="0" w:line="133"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1.34</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ZENS-related mark-to-market (gains) losses:</w:t>
            </w: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20" w:type="dxa"/>
            <w:vAlign w:val="bottom"/>
            <w:shd w:val="clear" w:color="auto" w:fill="CCEEFF"/>
          </w:tcPr>
          <w:p>
            <w:pPr>
              <w:ind w:left="100"/>
              <w:spacing w:after="0" w:line="171" w:lineRule="exact"/>
              <w:rPr>
                <w:sz w:val="20"/>
                <w:szCs w:val="20"/>
                <w:color w:val="auto"/>
              </w:rPr>
            </w:pPr>
            <w:r>
              <w:rPr>
                <w:rFonts w:ascii="Times New Roman" w:cs="Times New Roman" w:eastAsia="Times New Roman" w:hAnsi="Times New Roman"/>
                <w:sz w:val="12"/>
                <w:szCs w:val="12"/>
                <w:color w:val="auto"/>
              </w:rPr>
              <w:t>Equity securities (net of tax benefit of $18)</w:t>
            </w:r>
            <w:r>
              <w:rPr>
                <w:rFonts w:ascii="Times New Roman" w:cs="Times New Roman" w:eastAsia="Times New Roman" w:hAnsi="Times New Roman"/>
                <w:sz w:val="19"/>
                <w:szCs w:val="19"/>
                <w:color w:val="auto"/>
                <w:vertAlign w:val="superscript"/>
              </w:rPr>
              <w:t>(2)(3)</w:t>
            </w:r>
          </w:p>
        </w:tc>
        <w:tc>
          <w:tcPr>
            <w:tcW w:w="10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67</w:t>
            </w:r>
          </w:p>
        </w:tc>
        <w:tc>
          <w:tcPr>
            <w:tcW w:w="4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0.10</w:t>
            </w:r>
          </w:p>
        </w:tc>
        <w:tc>
          <w:tcPr>
            <w:tcW w:w="0" w:type="dxa"/>
            <w:vAlign w:val="bottom"/>
          </w:tcPr>
          <w:p>
            <w:pPr>
              <w:spacing w:after="0"/>
              <w:rPr>
                <w:sz w:val="1"/>
                <w:szCs w:val="1"/>
                <w:color w:val="auto"/>
              </w:rPr>
            </w:pPr>
          </w:p>
        </w:tc>
      </w:tr>
      <w:tr>
        <w:trPr>
          <w:trHeight w:val="171"/>
        </w:trPr>
        <w:tc>
          <w:tcPr>
            <w:tcW w:w="8020" w:type="dxa"/>
            <w:vAlign w:val="bottom"/>
          </w:tcPr>
          <w:p>
            <w:pPr>
              <w:ind w:left="100"/>
              <w:spacing w:after="0" w:line="171" w:lineRule="exact"/>
              <w:rPr>
                <w:sz w:val="20"/>
                <w:szCs w:val="20"/>
                <w:color w:val="auto"/>
              </w:rPr>
            </w:pPr>
            <w:r>
              <w:rPr>
                <w:rFonts w:ascii="Times New Roman" w:cs="Times New Roman" w:eastAsia="Times New Roman" w:hAnsi="Times New Roman"/>
                <w:sz w:val="12"/>
                <w:szCs w:val="12"/>
                <w:color w:val="auto"/>
              </w:rPr>
              <w:t>Indexed debt securities (net of tax expense of $17)</w:t>
            </w:r>
            <w:r>
              <w:rPr>
                <w:rFonts w:ascii="Times New Roman" w:cs="Times New Roman" w:eastAsia="Times New Roman" w:hAnsi="Times New Roman"/>
                <w:sz w:val="19"/>
                <w:szCs w:val="19"/>
                <w:color w:val="auto"/>
                <w:vertAlign w:val="superscript"/>
              </w:rPr>
              <w:t>(2)</w:t>
            </w:r>
          </w:p>
        </w:tc>
        <w:tc>
          <w:tcPr>
            <w:tcW w:w="102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(63)</w:t>
            </w:r>
          </w:p>
        </w:tc>
        <w:tc>
          <w:tcPr>
            <w:tcW w:w="46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(0.10)</w:t>
            </w:r>
          </w:p>
        </w:tc>
        <w:tc>
          <w:tcPr>
            <w:tcW w:w="0" w:type="dxa"/>
            <w:vAlign w:val="bottom"/>
          </w:tcPr>
          <w:p>
            <w:pPr>
              <w:spacing w:after="0"/>
              <w:rPr>
                <w:sz w:val="1"/>
                <w:szCs w:val="1"/>
                <w:color w:val="auto"/>
              </w:rPr>
            </w:pPr>
          </w:p>
        </w:tc>
      </w:tr>
      <w:tr>
        <w:trPr>
          <w:trHeight w:val="171"/>
        </w:trPr>
        <w:tc>
          <w:tcPr>
            <w:tcW w:w="80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2"/>
                <w:szCs w:val="12"/>
                <w:b w:val="1"/>
                <w:bCs w:val="1"/>
                <w:color w:val="auto"/>
              </w:rPr>
              <w:t>Impacts associated with mergers and divestitures (net of tax expense of $9)</w:t>
            </w:r>
            <w:r>
              <w:rPr>
                <w:rFonts w:ascii="Times New Roman" w:cs="Times New Roman" w:eastAsia="Times New Roman" w:hAnsi="Times New Roman"/>
                <w:sz w:val="19"/>
                <w:szCs w:val="19"/>
                <w:color w:val="auto"/>
                <w:vertAlign w:val="superscript"/>
              </w:rPr>
              <w:t>(2)(4)</w:t>
            </w:r>
          </w:p>
        </w:tc>
        <w:tc>
          <w:tcPr>
            <w:tcW w:w="10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38</w:t>
            </w:r>
          </w:p>
        </w:tc>
        <w:tc>
          <w:tcPr>
            <w:tcW w:w="4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0.06</w:t>
            </w:r>
          </w:p>
        </w:tc>
        <w:tc>
          <w:tcPr>
            <w:tcW w:w="0" w:type="dxa"/>
            <w:vAlign w:val="bottom"/>
          </w:tcPr>
          <w:p>
            <w:pPr>
              <w:spacing w:after="0"/>
              <w:rPr>
                <w:sz w:val="1"/>
                <w:szCs w:val="1"/>
                <w:color w:val="auto"/>
              </w:rPr>
            </w:pPr>
          </w:p>
        </w:tc>
      </w:tr>
      <w:tr>
        <w:trPr>
          <w:trHeight w:val="180"/>
        </w:trPr>
        <w:tc>
          <w:tcPr>
            <w:tcW w:w="8020" w:type="dxa"/>
            <w:vAlign w:val="bottom"/>
          </w:tcPr>
          <w:p>
            <w:pPr>
              <w:spacing w:after="0" w:line="180" w:lineRule="exact"/>
              <w:rPr>
                <w:sz w:val="20"/>
                <w:szCs w:val="20"/>
                <w:color w:val="auto"/>
              </w:rPr>
            </w:pPr>
            <w:r>
              <w:rPr>
                <w:rFonts w:ascii="Times New Roman" w:cs="Times New Roman" w:eastAsia="Times New Roman" w:hAnsi="Times New Roman"/>
                <w:sz w:val="12"/>
                <w:szCs w:val="12"/>
                <w:b w:val="1"/>
                <w:bCs w:val="1"/>
                <w:color w:val="auto"/>
              </w:rPr>
              <w:t>Impacts associated with TEEEF Units removed from Rate Base (net of tax benefit of $15)</w:t>
            </w:r>
            <w:r>
              <w:rPr>
                <w:rFonts w:ascii="Times New Roman" w:cs="Times New Roman" w:eastAsia="Times New Roman" w:hAnsi="Times New Roman"/>
                <w:sz w:val="19"/>
                <w:szCs w:val="19"/>
                <w:color w:val="auto"/>
                <w:vertAlign w:val="superscript"/>
              </w:rPr>
              <w:t>(5)</w:t>
            </w:r>
          </w:p>
        </w:tc>
        <w:tc>
          <w:tcPr>
            <w:tcW w:w="102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57</w:t>
            </w:r>
          </w:p>
        </w:tc>
        <w:tc>
          <w:tcPr>
            <w:tcW w:w="46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0.09</w:t>
            </w:r>
          </w:p>
        </w:tc>
        <w:tc>
          <w:tcPr>
            <w:tcW w:w="0" w:type="dxa"/>
            <w:vAlign w:val="bottom"/>
          </w:tcPr>
          <w:p>
            <w:pPr>
              <w:spacing w:after="0"/>
              <w:rPr>
                <w:sz w:val="1"/>
                <w:szCs w:val="1"/>
                <w:color w:val="auto"/>
              </w:rPr>
            </w:pPr>
          </w:p>
        </w:tc>
      </w:tr>
      <w:tr>
        <w:trPr>
          <w:trHeight w:val="20"/>
        </w:trPr>
        <w:tc>
          <w:tcPr>
            <w:tcW w:w="8020" w:type="dxa"/>
            <w:vAlign w:val="bottom"/>
            <w:vMerge w:val="restart"/>
            <w:shd w:val="clear" w:color="auto" w:fill="CCEEFF"/>
          </w:tcPr>
          <w:p>
            <w:pPr>
              <w:spacing w:after="0" w:line="171" w:lineRule="exact"/>
              <w:rPr>
                <w:sz w:val="20"/>
                <w:szCs w:val="20"/>
                <w:color w:val="auto"/>
              </w:rPr>
            </w:pPr>
            <w:r>
              <w:rPr>
                <w:rFonts w:ascii="Times New Roman" w:cs="Times New Roman" w:eastAsia="Times New Roman" w:hAnsi="Times New Roman"/>
                <w:sz w:val="12"/>
                <w:szCs w:val="12"/>
                <w:b w:val="1"/>
                <w:bCs w:val="1"/>
                <w:color w:val="auto"/>
              </w:rPr>
              <w:t>Consolidated on a non-GAAP basis</w:t>
            </w:r>
            <w:r>
              <w:rPr>
                <w:rFonts w:ascii="Times New Roman" w:cs="Times New Roman" w:eastAsia="Times New Roman" w:hAnsi="Times New Roman"/>
                <w:sz w:val="19"/>
                <w:szCs w:val="19"/>
                <w:color w:val="auto"/>
                <w:vertAlign w:val="superscript"/>
              </w:rPr>
              <w:t>(6)</w:t>
            </w: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020" w:type="dxa"/>
            <w:vAlign w:val="bottom"/>
            <w:vMerge w:val="continue"/>
            <w:shd w:val="clear" w:color="auto" w:fill="CCEEFF"/>
          </w:tcPr>
          <w:p>
            <w:pPr>
              <w:spacing w:after="0"/>
              <w:rPr>
                <w:sz w:val="13"/>
                <w:szCs w:val="13"/>
                <w:color w:val="auto"/>
              </w:rPr>
            </w:pPr>
          </w:p>
        </w:tc>
        <w:tc>
          <w:tcPr>
            <w:tcW w:w="1020" w:type="dxa"/>
            <w:vAlign w:val="bottom"/>
            <w:shd w:val="clear" w:color="auto" w:fill="CCEEFF"/>
          </w:tcPr>
          <w:p>
            <w:pPr>
              <w:jc w:val="right"/>
              <w:ind w:right="9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990</w:t>
            </w: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1.49</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Quarterly diluted EPS on both a GAAP and non-GAAP basis are based on the weighted average number of shares of common stock outstanding during the quarter, and the sum of the quarters may not equal year-to-date diluted</w:t>
      </w:r>
    </w:p>
    <w:p>
      <w:pPr>
        <w:spacing w:after="0" w:line="16" w:lineRule="exact"/>
        <w:rPr>
          <w:rFonts w:ascii="Times New Roman" w:cs="Times New Roman" w:eastAsia="Times New Roman" w:hAnsi="Times New Roman"/>
          <w:sz w:val="12"/>
          <w:szCs w:val="12"/>
          <w:color w:val="auto"/>
        </w:rPr>
      </w:pP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EPS</w:t>
      </w:r>
    </w:p>
    <w:p>
      <w:pPr>
        <w:spacing w:after="0" w:line="6" w:lineRule="exact"/>
        <w:rPr>
          <w:rFonts w:ascii="Times New Roman" w:cs="Times New Roman" w:eastAsia="Times New Roman" w:hAnsi="Times New Roman"/>
          <w:sz w:val="12"/>
          <w:szCs w:val="12"/>
          <w:color w:val="auto"/>
        </w:rPr>
      </w:pPr>
    </w:p>
    <w:p>
      <w:pPr>
        <w:ind w:left="420" w:right="120" w:hanging="212"/>
        <w:spacing w:after="0" w:line="250"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Taxes are computed based on the impact removing such item would have on tax expense. Taxes related to the Ohio natural gas LDC business sale are booked proportionately by applying the projected annual effective tax rate percentage to income earned each quarter in accordance with GAAP</w:t>
      </w: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Comprised of common stock of AT&amp;T Inc., Charter Communications, Inc., and Warner Bros. Discovery, Inc.</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1" w:right="299" w:bottom="1440" w:gutter="0" w:footer="0" w:header="0"/>
        </w:sectPr>
      </w:pPr>
    </w:p>
    <w:bookmarkStart w:id="7" w:name="page8"/>
    <w:bookmarkEnd w:id="7"/>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$5 million loss on early debt extinguishment associated with the divestiture of the Ohio natural gas LDC business that was completed on October 1, 2026</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impacts related to temporary emergency electric energy facilities following the removal of the units from our rate regulated business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calculation on a per-share basis may not add down due to rounding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Reconciliation of consolidated net income and diluted earnings per share (GAAP) to non-GAAP income and non-GAAP diluted earnings per share</w:t>
            </w: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748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7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September 30, 2025</w:t>
            </w:r>
          </w:p>
        </w:tc>
        <w:tc>
          <w:tcPr>
            <w:tcW w:w="9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7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Dollars in</w:t>
            </w: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jc w:val="right"/>
              <w:ind w:right="480"/>
              <w:spacing w:after="0" w:line="124" w:lineRule="exact"/>
              <w:rPr>
                <w:sz w:val="20"/>
                <w:szCs w:val="20"/>
                <w:color w:val="auto"/>
              </w:rPr>
            </w:pPr>
            <w:r>
              <w:rPr>
                <w:rFonts w:ascii="Times New Roman" w:cs="Times New Roman" w:eastAsia="Times New Roman" w:hAnsi="Times New Roman"/>
                <w:sz w:val="12"/>
                <w:szCs w:val="12"/>
                <w:color w:val="auto"/>
              </w:rPr>
              <w:t>Diluted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millions</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gridSpan w:val="2"/>
          </w:tcPr>
          <w:p>
            <w:pPr>
              <w:jc w:val="right"/>
              <w:ind w:right="680"/>
              <w:spacing w:after="0" w:line="180" w:lineRule="exact"/>
              <w:rPr>
                <w:sz w:val="20"/>
                <w:szCs w:val="20"/>
                <w:color w:val="auto"/>
              </w:rPr>
            </w:pPr>
            <w:r>
              <w:rPr>
                <w:rFonts w:ascii="Times New Roman" w:cs="Times New Roman" w:eastAsia="Times New Roman" w:hAnsi="Times New Roman"/>
                <w:sz w:val="12"/>
                <w:szCs w:val="12"/>
                <w:color w:val="auto"/>
              </w:rPr>
              <w:t>EPS</w:t>
            </w:r>
            <w:r>
              <w:rPr>
                <w:rFonts w:ascii="Times New Roman" w:cs="Times New Roman" w:eastAsia="Times New Roman" w:hAnsi="Times New Roman"/>
                <w:sz w:val="19"/>
                <w:szCs w:val="19"/>
                <w:color w:val="auto"/>
                <w:vertAlign w:val="superscript"/>
              </w:rPr>
              <w:t>(1)</w:t>
            </w:r>
          </w:p>
        </w:tc>
        <w:tc>
          <w:tcPr>
            <w:tcW w:w="0" w:type="dxa"/>
            <w:vAlign w:val="bottom"/>
          </w:tcPr>
          <w:p>
            <w:pPr>
              <w:spacing w:after="0"/>
              <w:rPr>
                <w:sz w:val="1"/>
                <w:szCs w:val="1"/>
                <w:color w:val="auto"/>
              </w:rPr>
            </w:pPr>
          </w:p>
        </w:tc>
      </w:tr>
      <w:tr>
        <w:trPr>
          <w:trHeight w:val="133"/>
        </w:trPr>
        <w:tc>
          <w:tcPr>
            <w:tcW w:w="802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Consolidated net income (loss) and diluted EPS on a GAAP basis</w:t>
            </w:r>
          </w:p>
        </w:tc>
        <w:tc>
          <w:tcPr>
            <w:tcW w:w="1000" w:type="dxa"/>
            <w:vAlign w:val="bottom"/>
            <w:tcBorders>
              <w:top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293</w:t>
            </w:r>
          </w:p>
        </w:tc>
        <w:tc>
          <w:tcPr>
            <w:tcW w:w="2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ind w:right="340"/>
              <w:spacing w:after="0" w:line="133"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9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0.45</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0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ZENS-related mark-to-market (gains) losses:</w:t>
            </w: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20" w:type="dxa"/>
            <w:vAlign w:val="bottom"/>
            <w:gridSpan w:val="2"/>
            <w:shd w:val="clear" w:color="auto" w:fill="CCEEFF"/>
          </w:tcPr>
          <w:p>
            <w:pPr>
              <w:ind w:left="100"/>
              <w:spacing w:after="0" w:line="171" w:lineRule="exact"/>
              <w:rPr>
                <w:sz w:val="20"/>
                <w:szCs w:val="20"/>
                <w:color w:val="auto"/>
              </w:rPr>
            </w:pPr>
            <w:r>
              <w:rPr>
                <w:rFonts w:ascii="Times New Roman" w:cs="Times New Roman" w:eastAsia="Times New Roman" w:hAnsi="Times New Roman"/>
                <w:sz w:val="12"/>
                <w:szCs w:val="12"/>
                <w:color w:val="auto"/>
              </w:rPr>
              <w:t>Equity securities (net of tax benefit of $22)</w:t>
            </w:r>
            <w:r>
              <w:rPr>
                <w:rFonts w:ascii="Times New Roman" w:cs="Times New Roman" w:eastAsia="Times New Roman" w:hAnsi="Times New Roman"/>
                <w:sz w:val="19"/>
                <w:szCs w:val="19"/>
                <w:color w:val="auto"/>
                <w:vertAlign w:val="superscript"/>
              </w:rPr>
              <w:t>(2)(3)</w:t>
            </w:r>
          </w:p>
        </w:tc>
        <w:tc>
          <w:tcPr>
            <w:tcW w:w="10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82</w:t>
            </w:r>
          </w:p>
        </w:tc>
        <w:tc>
          <w:tcPr>
            <w:tcW w:w="4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0.13</w:t>
            </w:r>
          </w:p>
        </w:tc>
        <w:tc>
          <w:tcPr>
            <w:tcW w:w="0" w:type="dxa"/>
            <w:vAlign w:val="bottom"/>
          </w:tcPr>
          <w:p>
            <w:pPr>
              <w:spacing w:after="0"/>
              <w:rPr>
                <w:sz w:val="1"/>
                <w:szCs w:val="1"/>
                <w:color w:val="auto"/>
              </w:rPr>
            </w:pPr>
          </w:p>
        </w:tc>
      </w:tr>
      <w:tr>
        <w:trPr>
          <w:trHeight w:val="171"/>
        </w:trPr>
        <w:tc>
          <w:tcPr>
            <w:tcW w:w="8020" w:type="dxa"/>
            <w:vAlign w:val="bottom"/>
            <w:gridSpan w:val="2"/>
          </w:tcPr>
          <w:p>
            <w:pPr>
              <w:ind w:left="100"/>
              <w:spacing w:after="0" w:line="171" w:lineRule="exact"/>
              <w:rPr>
                <w:sz w:val="20"/>
                <w:szCs w:val="20"/>
                <w:color w:val="auto"/>
              </w:rPr>
            </w:pPr>
            <w:r>
              <w:rPr>
                <w:rFonts w:ascii="Times New Roman" w:cs="Times New Roman" w:eastAsia="Times New Roman" w:hAnsi="Times New Roman"/>
                <w:sz w:val="12"/>
                <w:szCs w:val="12"/>
                <w:color w:val="auto"/>
              </w:rPr>
              <w:t>Indexed debt securities (net of tax expense of $22)</w:t>
            </w:r>
            <w:r>
              <w:rPr>
                <w:rFonts w:ascii="Times New Roman" w:cs="Times New Roman" w:eastAsia="Times New Roman" w:hAnsi="Times New Roman"/>
                <w:sz w:val="19"/>
                <w:szCs w:val="19"/>
                <w:color w:val="auto"/>
                <w:vertAlign w:val="superscript"/>
              </w:rPr>
              <w:t>(2)</w:t>
            </w:r>
          </w:p>
        </w:tc>
        <w:tc>
          <w:tcPr>
            <w:tcW w:w="10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(83)</w:t>
            </w:r>
          </w:p>
        </w:tc>
        <w:tc>
          <w:tcPr>
            <w:tcW w:w="480" w:type="dxa"/>
            <w:vAlign w:val="bottom"/>
          </w:tcPr>
          <w:p>
            <w:pPr>
              <w:spacing w:after="0"/>
              <w:rPr>
                <w:sz w:val="14"/>
                <w:szCs w:val="14"/>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(0.13)</w:t>
            </w:r>
          </w:p>
        </w:tc>
        <w:tc>
          <w:tcPr>
            <w:tcW w:w="0" w:type="dxa"/>
            <w:vAlign w:val="bottom"/>
          </w:tcPr>
          <w:p>
            <w:pPr>
              <w:spacing w:after="0"/>
              <w:rPr>
                <w:sz w:val="1"/>
                <w:szCs w:val="1"/>
                <w:color w:val="auto"/>
              </w:rPr>
            </w:pPr>
          </w:p>
        </w:tc>
      </w:tr>
      <w:tr>
        <w:trPr>
          <w:trHeight w:val="171"/>
        </w:trPr>
        <w:tc>
          <w:tcPr>
            <w:tcW w:w="802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2"/>
                <w:szCs w:val="12"/>
                <w:b w:val="1"/>
                <w:bCs w:val="1"/>
                <w:color w:val="auto"/>
              </w:rPr>
              <w:t>Impacts associated with mergers and divestitures (net of tax expense of $8)</w:t>
            </w:r>
            <w:r>
              <w:rPr>
                <w:rFonts w:ascii="Times New Roman" w:cs="Times New Roman" w:eastAsia="Times New Roman" w:hAnsi="Times New Roman"/>
                <w:sz w:val="19"/>
                <w:szCs w:val="19"/>
                <w:color w:val="auto"/>
                <w:vertAlign w:val="superscript"/>
              </w:rPr>
              <w:t>(2)(4)</w:t>
            </w:r>
          </w:p>
        </w:tc>
        <w:tc>
          <w:tcPr>
            <w:tcW w:w="10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w:t>
            </w:r>
          </w:p>
        </w:tc>
        <w:tc>
          <w:tcPr>
            <w:tcW w:w="4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0.03</w:t>
            </w:r>
          </w:p>
        </w:tc>
        <w:tc>
          <w:tcPr>
            <w:tcW w:w="0" w:type="dxa"/>
            <w:vAlign w:val="bottom"/>
          </w:tcPr>
          <w:p>
            <w:pPr>
              <w:spacing w:after="0"/>
              <w:rPr>
                <w:sz w:val="1"/>
                <w:szCs w:val="1"/>
                <w:color w:val="auto"/>
              </w:rPr>
            </w:pPr>
          </w:p>
        </w:tc>
      </w:tr>
      <w:tr>
        <w:trPr>
          <w:trHeight w:val="180"/>
        </w:trPr>
        <w:tc>
          <w:tcPr>
            <w:tcW w:w="8020" w:type="dxa"/>
            <w:vAlign w:val="bottom"/>
            <w:gridSpan w:val="2"/>
          </w:tcPr>
          <w:p>
            <w:pPr>
              <w:spacing w:after="0" w:line="180" w:lineRule="exact"/>
              <w:rPr>
                <w:sz w:val="20"/>
                <w:szCs w:val="20"/>
                <w:color w:val="auto"/>
              </w:rPr>
            </w:pPr>
            <w:r>
              <w:rPr>
                <w:rFonts w:ascii="Times New Roman" w:cs="Times New Roman" w:eastAsia="Times New Roman" w:hAnsi="Times New Roman"/>
                <w:sz w:val="12"/>
                <w:szCs w:val="12"/>
                <w:b w:val="1"/>
                <w:bCs w:val="1"/>
                <w:color w:val="auto"/>
              </w:rPr>
              <w:t>Impacts associated with TEEEF Units removed from Rate Base (net of tax benefit of $5)</w:t>
            </w:r>
            <w:r>
              <w:rPr>
                <w:rFonts w:ascii="Times New Roman" w:cs="Times New Roman" w:eastAsia="Times New Roman" w:hAnsi="Times New Roman"/>
                <w:sz w:val="19"/>
                <w:szCs w:val="19"/>
                <w:color w:val="auto"/>
                <w:vertAlign w:val="superscript"/>
              </w:rPr>
              <w:t>(5)</w:t>
            </w:r>
          </w:p>
        </w:tc>
        <w:tc>
          <w:tcPr>
            <w:tcW w:w="100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17</w:t>
            </w:r>
          </w:p>
        </w:tc>
        <w:tc>
          <w:tcPr>
            <w:tcW w:w="48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0.02</w:t>
            </w:r>
          </w:p>
        </w:tc>
        <w:tc>
          <w:tcPr>
            <w:tcW w:w="0" w:type="dxa"/>
            <w:vAlign w:val="bottom"/>
          </w:tcPr>
          <w:p>
            <w:pPr>
              <w:spacing w:after="0"/>
              <w:rPr>
                <w:sz w:val="1"/>
                <w:szCs w:val="1"/>
                <w:color w:val="auto"/>
              </w:rPr>
            </w:pPr>
          </w:p>
        </w:tc>
      </w:tr>
      <w:tr>
        <w:trPr>
          <w:trHeight w:val="20"/>
        </w:trPr>
        <w:tc>
          <w:tcPr>
            <w:tcW w:w="8020" w:type="dxa"/>
            <w:vAlign w:val="bottom"/>
            <w:gridSpan w:val="2"/>
            <w:vMerge w:val="restart"/>
            <w:shd w:val="clear" w:color="auto" w:fill="CCEEFF"/>
          </w:tcPr>
          <w:p>
            <w:pPr>
              <w:spacing w:after="0" w:line="171" w:lineRule="exact"/>
              <w:rPr>
                <w:sz w:val="20"/>
                <w:szCs w:val="20"/>
                <w:color w:val="auto"/>
              </w:rPr>
            </w:pPr>
            <w:r>
              <w:rPr>
                <w:rFonts w:ascii="Times New Roman" w:cs="Times New Roman" w:eastAsia="Times New Roman" w:hAnsi="Times New Roman"/>
                <w:sz w:val="12"/>
                <w:szCs w:val="12"/>
                <w:b w:val="1"/>
                <w:bCs w:val="1"/>
                <w:color w:val="auto"/>
              </w:rPr>
              <w:t>Consolidated income and diluted EPS on a non-GAAP basis</w:t>
            </w:r>
            <w:r>
              <w:rPr>
                <w:rFonts w:ascii="Times New Roman" w:cs="Times New Roman" w:eastAsia="Times New Roman" w:hAnsi="Times New Roman"/>
                <w:sz w:val="19"/>
                <w:szCs w:val="19"/>
                <w:color w:val="auto"/>
                <w:vertAlign w:val="superscript"/>
              </w:rPr>
              <w:t>(6)</w:t>
            </w: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020" w:type="dxa"/>
            <w:vAlign w:val="bottom"/>
            <w:gridSpan w:val="2"/>
            <w:vMerge w:val="continue"/>
            <w:shd w:val="clear" w:color="auto" w:fill="CCEEFF"/>
          </w:tcPr>
          <w:p>
            <w:pPr>
              <w:spacing w:after="0"/>
              <w:rPr>
                <w:sz w:val="13"/>
                <w:szCs w:val="13"/>
                <w:color w:val="auto"/>
              </w:rPr>
            </w:pPr>
          </w:p>
        </w:tc>
        <w:tc>
          <w:tcPr>
            <w:tcW w:w="100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328</w:t>
            </w:r>
          </w:p>
        </w:tc>
        <w:tc>
          <w:tcPr>
            <w:tcW w:w="4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0.50</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Quarterly diluted EPS on both a GAAP and non-GAAP basis are based on the weighted average number of shares of common stock outstanding during the quarter, and the sum of the quarters may not equal year-to-date diluted</w:t>
      </w:r>
    </w:p>
    <w:p>
      <w:pPr>
        <w:spacing w:after="0" w:line="16" w:lineRule="exact"/>
        <w:rPr>
          <w:rFonts w:ascii="Times New Roman" w:cs="Times New Roman" w:eastAsia="Times New Roman" w:hAnsi="Times New Roman"/>
          <w:sz w:val="12"/>
          <w:szCs w:val="12"/>
          <w:color w:val="auto"/>
        </w:rPr>
      </w:pP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EPS</w:t>
      </w:r>
    </w:p>
    <w:p>
      <w:pPr>
        <w:spacing w:after="0" w:line="6" w:lineRule="exact"/>
        <w:rPr>
          <w:rFonts w:ascii="Times New Roman" w:cs="Times New Roman" w:eastAsia="Times New Roman" w:hAnsi="Times New Roman"/>
          <w:sz w:val="12"/>
          <w:szCs w:val="12"/>
          <w:color w:val="auto"/>
        </w:rPr>
      </w:pPr>
    </w:p>
    <w:p>
      <w:pPr>
        <w:ind w:left="420" w:right="20" w:hanging="212"/>
        <w:spacing w:after="0" w:line="250" w:lineRule="auto"/>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Taxes are computed based on the impact removing such item would have on tax expense. Taxes related to the Louisiana and Mississippi natural gas LDC business sale are booked proportionately by applying the projected annual effective tax rate percentage to income earned each quarter in accordance with GAAP. Additional tax expense related primarily to the write-off of non-deductible goodwill was reflected in tax expense over the remainder of 2025 and excluded from non-GAAP EPS</w:t>
      </w: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Comprised of common stock of AT&amp;T Inc., Charter Communications, Inc., and Warner Bros. Discovery, Inc.</w:t>
      </w:r>
    </w:p>
    <w:p>
      <w:pPr>
        <w:spacing w:after="0" w:line="6" w:lineRule="exact"/>
        <w:rPr>
          <w:rFonts w:ascii="Times New Roman" w:cs="Times New Roman" w:eastAsia="Times New Roman" w:hAnsi="Times New Roman"/>
          <w:sz w:val="12"/>
          <w:szCs w:val="12"/>
          <w:color w:val="auto"/>
        </w:rPr>
      </w:pPr>
    </w:p>
    <w:p>
      <w:pPr>
        <w:ind w:left="420" w:right="220" w:hanging="212"/>
        <w:spacing w:after="0" w:line="250" w:lineRule="auto"/>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Primarily includes gain on early extinguishment of debt with proceeds from the divestiture of the Louisiana and Mississippi natural gas LDC businesses, and transaction costs related to the announced Ohio natural gas LDC business sale</w:t>
      </w: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impacts related to temporary emergency electric energy facilities following the removal of the units from our rate regulated business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calculation on a per-share basis may not add down due to rounding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Reconciliation of consolidated net income and diluted earnings per share (GAAP) to non-GAAP income and non-GAAP diluted earnings per share</w:t>
            </w: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748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Twelve Months Ended</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7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Dollars in</w:t>
            </w: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60" w:type="dxa"/>
            <w:vAlign w:val="bottom"/>
          </w:tcPr>
          <w:p>
            <w:pPr>
              <w:jc w:val="right"/>
              <w:ind w:right="480"/>
              <w:spacing w:after="0" w:line="122" w:lineRule="exact"/>
              <w:rPr>
                <w:sz w:val="20"/>
                <w:szCs w:val="20"/>
                <w:color w:val="auto"/>
              </w:rPr>
            </w:pPr>
            <w:r>
              <w:rPr>
                <w:rFonts w:ascii="Times New Roman" w:cs="Times New Roman" w:eastAsia="Times New Roman" w:hAnsi="Times New Roman"/>
                <w:sz w:val="12"/>
                <w:szCs w:val="12"/>
                <w:b w:val="1"/>
                <w:bCs w:val="1"/>
                <w:color w:val="auto"/>
              </w:rPr>
              <w:t>Diluted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7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millions</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gridSpan w:val="2"/>
          </w:tcPr>
          <w:p>
            <w:pPr>
              <w:jc w:val="right"/>
              <w:ind w:right="680"/>
              <w:spacing w:after="0" w:line="183" w:lineRule="exact"/>
              <w:rPr>
                <w:sz w:val="20"/>
                <w:szCs w:val="20"/>
                <w:color w:val="auto"/>
              </w:rPr>
            </w:pPr>
            <w:r>
              <w:rPr>
                <w:rFonts w:ascii="Times New Roman" w:cs="Times New Roman" w:eastAsia="Times New Roman" w:hAnsi="Times New Roman"/>
                <w:sz w:val="12"/>
                <w:szCs w:val="12"/>
                <w:b w:val="1"/>
                <w:bCs w:val="1"/>
                <w:color w:val="auto"/>
              </w:rPr>
              <w:t>EPS</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133"/>
        </w:trPr>
        <w:tc>
          <w:tcPr>
            <w:tcW w:w="802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Consolidated net income and diluted EPS on a GAAP basis</w:t>
            </w:r>
          </w:p>
        </w:tc>
        <w:tc>
          <w:tcPr>
            <w:tcW w:w="1000" w:type="dxa"/>
            <w:vAlign w:val="bottom"/>
            <w:tcBorders>
              <w:top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1,052</w:t>
            </w:r>
          </w:p>
        </w:tc>
        <w:tc>
          <w:tcPr>
            <w:tcW w:w="2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ind w:right="360"/>
              <w:spacing w:after="0" w:line="133"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9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1.60</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0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ZENS-related mark-to-market (gains) losses:</w:t>
            </w: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20" w:type="dxa"/>
            <w:vAlign w:val="bottom"/>
            <w:gridSpan w:val="2"/>
            <w:shd w:val="clear" w:color="auto" w:fill="CCEEFF"/>
          </w:tcPr>
          <w:p>
            <w:pPr>
              <w:ind w:left="100"/>
              <w:spacing w:after="0" w:line="171" w:lineRule="exact"/>
              <w:rPr>
                <w:sz w:val="20"/>
                <w:szCs w:val="20"/>
                <w:color w:val="auto"/>
              </w:rPr>
            </w:pPr>
            <w:r>
              <w:rPr>
                <w:rFonts w:ascii="Times New Roman" w:cs="Times New Roman" w:eastAsia="Times New Roman" w:hAnsi="Times New Roman"/>
                <w:sz w:val="12"/>
                <w:szCs w:val="12"/>
                <w:color w:val="auto"/>
              </w:rPr>
              <w:t>Equity securities (net of tax benefit of $11)</w:t>
            </w:r>
            <w:r>
              <w:rPr>
                <w:rFonts w:ascii="Times New Roman" w:cs="Times New Roman" w:eastAsia="Times New Roman" w:hAnsi="Times New Roman"/>
                <w:sz w:val="19"/>
                <w:szCs w:val="19"/>
                <w:color w:val="auto"/>
                <w:vertAlign w:val="superscript"/>
              </w:rPr>
              <w:t>(2)(3)</w:t>
            </w:r>
          </w:p>
        </w:tc>
        <w:tc>
          <w:tcPr>
            <w:tcW w:w="10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40</w:t>
            </w: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0.06</w:t>
            </w:r>
          </w:p>
        </w:tc>
        <w:tc>
          <w:tcPr>
            <w:tcW w:w="0" w:type="dxa"/>
            <w:vAlign w:val="bottom"/>
          </w:tcPr>
          <w:p>
            <w:pPr>
              <w:spacing w:after="0"/>
              <w:rPr>
                <w:sz w:val="1"/>
                <w:szCs w:val="1"/>
                <w:color w:val="auto"/>
              </w:rPr>
            </w:pPr>
          </w:p>
        </w:tc>
      </w:tr>
      <w:tr>
        <w:trPr>
          <w:trHeight w:val="171"/>
        </w:trPr>
        <w:tc>
          <w:tcPr>
            <w:tcW w:w="8020" w:type="dxa"/>
            <w:vAlign w:val="bottom"/>
            <w:gridSpan w:val="2"/>
          </w:tcPr>
          <w:p>
            <w:pPr>
              <w:ind w:left="100"/>
              <w:spacing w:after="0" w:line="171" w:lineRule="exact"/>
              <w:rPr>
                <w:sz w:val="20"/>
                <w:szCs w:val="20"/>
                <w:color w:val="auto"/>
              </w:rPr>
            </w:pPr>
            <w:r>
              <w:rPr>
                <w:rFonts w:ascii="Times New Roman" w:cs="Times New Roman" w:eastAsia="Times New Roman" w:hAnsi="Times New Roman"/>
                <w:sz w:val="12"/>
                <w:szCs w:val="12"/>
                <w:color w:val="auto"/>
              </w:rPr>
              <w:t>Indexed debt securities (net of tax expense of $12)</w:t>
            </w:r>
            <w:r>
              <w:rPr>
                <w:rFonts w:ascii="Times New Roman" w:cs="Times New Roman" w:eastAsia="Times New Roman" w:hAnsi="Times New Roman"/>
                <w:sz w:val="19"/>
                <w:szCs w:val="19"/>
                <w:color w:val="auto"/>
                <w:vertAlign w:val="superscript"/>
              </w:rPr>
              <w:t>(2)</w:t>
            </w:r>
          </w:p>
        </w:tc>
        <w:tc>
          <w:tcPr>
            <w:tcW w:w="10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(43)</w:t>
            </w:r>
          </w:p>
        </w:tc>
        <w:tc>
          <w:tcPr>
            <w:tcW w:w="50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(0.07)</w:t>
            </w:r>
          </w:p>
        </w:tc>
        <w:tc>
          <w:tcPr>
            <w:tcW w:w="0" w:type="dxa"/>
            <w:vAlign w:val="bottom"/>
          </w:tcPr>
          <w:p>
            <w:pPr>
              <w:spacing w:after="0"/>
              <w:rPr>
                <w:sz w:val="1"/>
                <w:szCs w:val="1"/>
                <w:color w:val="auto"/>
              </w:rPr>
            </w:pPr>
          </w:p>
        </w:tc>
      </w:tr>
      <w:tr>
        <w:trPr>
          <w:trHeight w:val="171"/>
        </w:trPr>
        <w:tc>
          <w:tcPr>
            <w:tcW w:w="802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2"/>
                <w:szCs w:val="12"/>
                <w:b w:val="1"/>
                <w:bCs w:val="1"/>
                <w:color w:val="auto"/>
              </w:rPr>
              <w:t>Impacts associated with mergers and divestitures (net of tax expense of $22)</w:t>
            </w:r>
            <w:r>
              <w:rPr>
                <w:rFonts w:ascii="Times New Roman" w:cs="Times New Roman" w:eastAsia="Times New Roman" w:hAnsi="Times New Roman"/>
                <w:sz w:val="19"/>
                <w:szCs w:val="19"/>
                <w:color w:val="auto"/>
                <w:vertAlign w:val="superscript"/>
              </w:rPr>
              <w:t>(2)(4)</w:t>
            </w:r>
          </w:p>
        </w:tc>
        <w:tc>
          <w:tcPr>
            <w:tcW w:w="10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60</w:t>
            </w: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0.09</w:t>
            </w:r>
          </w:p>
        </w:tc>
        <w:tc>
          <w:tcPr>
            <w:tcW w:w="0" w:type="dxa"/>
            <w:vAlign w:val="bottom"/>
          </w:tcPr>
          <w:p>
            <w:pPr>
              <w:spacing w:after="0"/>
              <w:rPr>
                <w:sz w:val="1"/>
                <w:szCs w:val="1"/>
                <w:color w:val="auto"/>
              </w:rPr>
            </w:pPr>
          </w:p>
        </w:tc>
      </w:tr>
      <w:tr>
        <w:trPr>
          <w:trHeight w:val="180"/>
        </w:trPr>
        <w:tc>
          <w:tcPr>
            <w:tcW w:w="8020" w:type="dxa"/>
            <w:vAlign w:val="bottom"/>
            <w:gridSpan w:val="2"/>
          </w:tcPr>
          <w:p>
            <w:pPr>
              <w:spacing w:after="0" w:line="180" w:lineRule="exact"/>
              <w:rPr>
                <w:sz w:val="20"/>
                <w:szCs w:val="20"/>
                <w:color w:val="auto"/>
              </w:rPr>
            </w:pPr>
            <w:r>
              <w:rPr>
                <w:rFonts w:ascii="Times New Roman" w:cs="Times New Roman" w:eastAsia="Times New Roman" w:hAnsi="Times New Roman"/>
                <w:sz w:val="12"/>
                <w:szCs w:val="12"/>
                <w:b w:val="1"/>
                <w:bCs w:val="1"/>
                <w:color w:val="auto"/>
              </w:rPr>
              <w:t>Impacts associated with TEEEF Units removed from Rate Base (net of tax benefit of $12)</w:t>
            </w:r>
            <w:r>
              <w:rPr>
                <w:rFonts w:ascii="Times New Roman" w:cs="Times New Roman" w:eastAsia="Times New Roman" w:hAnsi="Times New Roman"/>
                <w:sz w:val="19"/>
                <w:szCs w:val="19"/>
                <w:color w:val="auto"/>
                <w:vertAlign w:val="superscript"/>
              </w:rPr>
              <w:t>(5)</w:t>
            </w:r>
          </w:p>
        </w:tc>
        <w:tc>
          <w:tcPr>
            <w:tcW w:w="100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46</w:t>
            </w:r>
          </w:p>
        </w:tc>
        <w:tc>
          <w:tcPr>
            <w:tcW w:w="50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0.07</w:t>
            </w:r>
          </w:p>
        </w:tc>
        <w:tc>
          <w:tcPr>
            <w:tcW w:w="0" w:type="dxa"/>
            <w:vAlign w:val="bottom"/>
          </w:tcPr>
          <w:p>
            <w:pPr>
              <w:spacing w:after="0"/>
              <w:rPr>
                <w:sz w:val="1"/>
                <w:szCs w:val="1"/>
                <w:color w:val="auto"/>
              </w:rPr>
            </w:pPr>
          </w:p>
        </w:tc>
      </w:tr>
      <w:tr>
        <w:trPr>
          <w:trHeight w:val="20"/>
        </w:trPr>
        <w:tc>
          <w:tcPr>
            <w:tcW w:w="8020" w:type="dxa"/>
            <w:vAlign w:val="bottom"/>
            <w:gridSpan w:val="2"/>
            <w:vMerge w:val="restart"/>
            <w:shd w:val="clear" w:color="auto" w:fill="CCEEFF"/>
          </w:tcPr>
          <w:p>
            <w:pPr>
              <w:spacing w:after="0" w:line="171" w:lineRule="exact"/>
              <w:rPr>
                <w:sz w:val="20"/>
                <w:szCs w:val="20"/>
                <w:color w:val="auto"/>
              </w:rPr>
            </w:pPr>
            <w:r>
              <w:rPr>
                <w:rFonts w:ascii="Times New Roman" w:cs="Times New Roman" w:eastAsia="Times New Roman" w:hAnsi="Times New Roman"/>
                <w:sz w:val="12"/>
                <w:szCs w:val="12"/>
                <w:b w:val="1"/>
                <w:bCs w:val="1"/>
                <w:color w:val="auto"/>
              </w:rPr>
              <w:t>Consolidated income and diluted EPS on a non-GAAP basis</w:t>
            </w:r>
            <w:r>
              <w:rPr>
                <w:rFonts w:ascii="Times New Roman" w:cs="Times New Roman" w:eastAsia="Times New Roman" w:hAnsi="Times New Roman"/>
                <w:sz w:val="19"/>
                <w:szCs w:val="19"/>
                <w:color w:val="auto"/>
                <w:vertAlign w:val="superscript"/>
              </w:rPr>
              <w:t>(6)</w:t>
            </w: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020" w:type="dxa"/>
            <w:vAlign w:val="bottom"/>
            <w:gridSpan w:val="2"/>
            <w:vMerge w:val="continue"/>
            <w:shd w:val="clear" w:color="auto" w:fill="CCEEFF"/>
          </w:tcPr>
          <w:p>
            <w:pPr>
              <w:spacing w:after="0"/>
              <w:rPr>
                <w:sz w:val="13"/>
                <w:szCs w:val="13"/>
                <w:color w:val="auto"/>
              </w:rPr>
            </w:pPr>
          </w:p>
        </w:tc>
        <w:tc>
          <w:tcPr>
            <w:tcW w:w="100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1,155</w:t>
            </w:r>
          </w:p>
        </w:tc>
        <w:tc>
          <w:tcPr>
            <w:tcW w:w="50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1.76</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Quarterly diluted EPS on both a GAAP and non-GAAP basis are based on the weighted average number of shares of common stock outstanding during the quarter, and the sum of the quarters may not equal year-to-date diluted</w:t>
      </w:r>
    </w:p>
    <w:p>
      <w:pPr>
        <w:spacing w:after="0" w:line="16" w:lineRule="exact"/>
        <w:rPr>
          <w:rFonts w:ascii="Times New Roman" w:cs="Times New Roman" w:eastAsia="Times New Roman" w:hAnsi="Times New Roman"/>
          <w:sz w:val="12"/>
          <w:szCs w:val="12"/>
          <w:color w:val="auto"/>
        </w:rPr>
      </w:pP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EPS</w:t>
      </w: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 w:name="page9"/>
    <w:bookmarkEnd w:id="8"/>
    <w:p>
      <w:pPr>
        <w:ind w:left="420" w:right="20" w:hanging="212"/>
        <w:spacing w:after="0" w:line="256" w:lineRule="auto"/>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Taxes are computed based on the impact removing such item would have on tax expense. Taxes related to the Louisiana and Mississippi natural gas LDC business sale are booked proportionately by applying the projected annual effective tax rate percentage to income earned each quarter in accordance with GAAP. Additional tax expense related primarily to the write-off of non-deductible goodwill was reflected in tax expense over the remainder of 2025 and excluded from non-GAAP EPS</w:t>
      </w:r>
    </w:p>
    <w:p>
      <w:pPr>
        <w:spacing w:after="0" w:line="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Comprised of common stock of AT&amp;T Inc., Charter Communications, Inc., and Warner Bros. Discovery, Inc.</w:t>
      </w:r>
    </w:p>
    <w:p>
      <w:pPr>
        <w:spacing w:after="0" w:line="6" w:lineRule="exact"/>
        <w:rPr>
          <w:rFonts w:ascii="Times New Roman" w:cs="Times New Roman" w:eastAsia="Times New Roman" w:hAnsi="Times New Roman"/>
          <w:sz w:val="12"/>
          <w:szCs w:val="12"/>
          <w:color w:val="auto"/>
        </w:rPr>
      </w:pPr>
    </w:p>
    <w:p>
      <w:pPr>
        <w:ind w:left="420" w:right="180" w:hanging="212"/>
        <w:spacing w:after="0" w:line="250" w:lineRule="auto"/>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$37 million loss on sale associated with the divestiture of our Louisiana and Mississippi natural gas LDC businesses and gain on early extinguishment of debt with proceeds from the divestiture of the Louisiana and Mississippi natural gas LDC businesses</w:t>
      </w:r>
    </w:p>
    <w:p>
      <w:pPr>
        <w:ind w:left="420" w:hanging="212"/>
        <w:spacing w:after="0"/>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impacts related to temporary emergency electric energy facilities following the removal of the units from our rate regulated business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calculation on a per-share basis may not add down due to rounding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Reconciliation of consolidated net income and diluted earnings per share (GAAP) to non-GAAP income and non-GAAP diluted earnings per share</w:t>
            </w: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748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Twelve Months Ended</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7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Dollars in</w:t>
            </w: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60" w:type="dxa"/>
            <w:vAlign w:val="bottom"/>
          </w:tcPr>
          <w:p>
            <w:pPr>
              <w:jc w:val="center"/>
              <w:ind w:right="440"/>
              <w:spacing w:after="0" w:line="122" w:lineRule="exact"/>
              <w:rPr>
                <w:sz w:val="20"/>
                <w:szCs w:val="20"/>
                <w:color w:val="auto"/>
              </w:rPr>
            </w:pPr>
            <w:r>
              <w:rPr>
                <w:rFonts w:ascii="Times New Roman" w:cs="Times New Roman" w:eastAsia="Times New Roman" w:hAnsi="Times New Roman"/>
                <w:sz w:val="12"/>
                <w:szCs w:val="12"/>
                <w:b w:val="1"/>
                <w:bCs w:val="1"/>
                <w:color w:val="auto"/>
                <w:w w:val="99"/>
              </w:rPr>
              <w:t>Diluted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7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millions</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gridSpan w:val="2"/>
          </w:tcPr>
          <w:p>
            <w:pPr>
              <w:jc w:val="center"/>
              <w:ind w:right="600"/>
              <w:spacing w:after="0" w:line="183" w:lineRule="exact"/>
              <w:rPr>
                <w:sz w:val="20"/>
                <w:szCs w:val="20"/>
                <w:color w:val="auto"/>
              </w:rPr>
            </w:pPr>
            <w:r>
              <w:rPr>
                <w:rFonts w:ascii="Times New Roman" w:cs="Times New Roman" w:eastAsia="Times New Roman" w:hAnsi="Times New Roman"/>
                <w:sz w:val="12"/>
                <w:szCs w:val="12"/>
                <w:b w:val="1"/>
                <w:bCs w:val="1"/>
                <w:color w:val="auto"/>
                <w:w w:val="86"/>
              </w:rPr>
              <w:t>EPS</w:t>
            </w:r>
            <w:r>
              <w:rPr>
                <w:rFonts w:ascii="Times New Roman" w:cs="Times New Roman" w:eastAsia="Times New Roman" w:hAnsi="Times New Roman"/>
                <w:sz w:val="19"/>
                <w:szCs w:val="19"/>
                <w:b w:val="1"/>
                <w:bCs w:val="1"/>
                <w:color w:val="auto"/>
                <w:w w:val="86"/>
                <w:vertAlign w:val="superscript"/>
              </w:rPr>
              <w:t>(1)</w:t>
            </w:r>
          </w:p>
        </w:tc>
        <w:tc>
          <w:tcPr>
            <w:tcW w:w="0" w:type="dxa"/>
            <w:vAlign w:val="bottom"/>
          </w:tcPr>
          <w:p>
            <w:pPr>
              <w:spacing w:after="0"/>
              <w:rPr>
                <w:sz w:val="1"/>
                <w:szCs w:val="1"/>
                <w:color w:val="auto"/>
              </w:rPr>
            </w:pPr>
          </w:p>
        </w:tc>
      </w:tr>
      <w:tr>
        <w:trPr>
          <w:trHeight w:val="133"/>
        </w:trPr>
        <w:tc>
          <w:tcPr>
            <w:tcW w:w="802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Consolidated net income and diluted EPS on a GAAP basis</w:t>
            </w:r>
          </w:p>
        </w:tc>
        <w:tc>
          <w:tcPr>
            <w:tcW w:w="1000" w:type="dxa"/>
            <w:vAlign w:val="bottom"/>
            <w:tcBorders>
              <w:top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1,019</w:t>
            </w:r>
          </w:p>
        </w:tc>
        <w:tc>
          <w:tcPr>
            <w:tcW w:w="2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ind w:right="360"/>
              <w:spacing w:after="0" w:line="133"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960" w:type="dxa"/>
            <w:vAlign w:val="bottom"/>
            <w:tcBorders>
              <w:top w:val="single" w:sz="8" w:color="auto"/>
            </w:tcBorders>
            <w:shd w:val="clear" w:color="auto" w:fill="CCEEFF"/>
          </w:tcPr>
          <w:p>
            <w:pPr>
              <w:jc w:val="center"/>
              <w:ind w:left="700"/>
              <w:spacing w:after="0" w:line="133" w:lineRule="exact"/>
              <w:rPr>
                <w:sz w:val="20"/>
                <w:szCs w:val="20"/>
                <w:color w:val="auto"/>
              </w:rPr>
            </w:pPr>
            <w:r>
              <w:rPr>
                <w:rFonts w:ascii="Times New Roman" w:cs="Times New Roman" w:eastAsia="Times New Roman" w:hAnsi="Times New Roman"/>
                <w:sz w:val="12"/>
                <w:szCs w:val="12"/>
                <w:b w:val="1"/>
                <w:bCs w:val="1"/>
                <w:color w:val="auto"/>
                <w:w w:val="95"/>
              </w:rPr>
              <w:t>1.58</w:t>
            </w:r>
          </w:p>
        </w:tc>
        <w:tc>
          <w:tcPr>
            <w:tcW w:w="120" w:type="dxa"/>
            <w:vAlign w:val="bottom"/>
            <w:tcBorders>
              <w:top w:val="single" w:sz="8" w:color="CCEEFF"/>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0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ZENS-related mark-to-market (gains) losses:</w:t>
            </w: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20" w:type="dxa"/>
            <w:vAlign w:val="bottom"/>
            <w:gridSpan w:val="2"/>
            <w:shd w:val="clear" w:color="auto" w:fill="CCEEFF"/>
          </w:tcPr>
          <w:p>
            <w:pPr>
              <w:ind w:left="100"/>
              <w:spacing w:after="0" w:line="171" w:lineRule="exact"/>
              <w:rPr>
                <w:sz w:val="20"/>
                <w:szCs w:val="20"/>
                <w:color w:val="auto"/>
              </w:rPr>
            </w:pPr>
            <w:r>
              <w:rPr>
                <w:rFonts w:ascii="Times New Roman" w:cs="Times New Roman" w:eastAsia="Times New Roman" w:hAnsi="Times New Roman"/>
                <w:sz w:val="12"/>
                <w:szCs w:val="12"/>
                <w:color w:val="auto"/>
              </w:rPr>
              <w:t>Equity securities (net of tax expense of $4)</w:t>
            </w:r>
            <w:r>
              <w:rPr>
                <w:rFonts w:ascii="Times New Roman" w:cs="Times New Roman" w:eastAsia="Times New Roman" w:hAnsi="Times New Roman"/>
                <w:sz w:val="19"/>
                <w:szCs w:val="19"/>
                <w:color w:val="auto"/>
                <w:vertAlign w:val="superscript"/>
              </w:rPr>
              <w:t>(2)(3)</w:t>
            </w:r>
          </w:p>
        </w:tc>
        <w:tc>
          <w:tcPr>
            <w:tcW w:w="10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(15)</w:t>
            </w: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center"/>
              <w:ind w:left="580"/>
              <w:spacing w:after="0"/>
              <w:rPr>
                <w:sz w:val="20"/>
                <w:szCs w:val="20"/>
                <w:color w:val="auto"/>
              </w:rPr>
            </w:pPr>
            <w:r>
              <w:rPr>
                <w:rFonts w:ascii="Times New Roman" w:cs="Times New Roman" w:eastAsia="Times New Roman" w:hAnsi="Times New Roman"/>
                <w:sz w:val="12"/>
                <w:szCs w:val="12"/>
                <w:color w:val="auto"/>
                <w:w w:val="96"/>
              </w:rPr>
              <w:t>(0.02)</w:t>
            </w:r>
          </w:p>
        </w:tc>
        <w:tc>
          <w:tcPr>
            <w:tcW w:w="0" w:type="dxa"/>
            <w:vAlign w:val="bottom"/>
          </w:tcPr>
          <w:p>
            <w:pPr>
              <w:spacing w:after="0"/>
              <w:rPr>
                <w:sz w:val="1"/>
                <w:szCs w:val="1"/>
                <w:color w:val="auto"/>
              </w:rPr>
            </w:pPr>
          </w:p>
        </w:tc>
      </w:tr>
      <w:tr>
        <w:trPr>
          <w:trHeight w:val="171"/>
        </w:trPr>
        <w:tc>
          <w:tcPr>
            <w:tcW w:w="8020" w:type="dxa"/>
            <w:vAlign w:val="bottom"/>
            <w:gridSpan w:val="2"/>
          </w:tcPr>
          <w:p>
            <w:pPr>
              <w:ind w:left="100"/>
              <w:spacing w:after="0" w:line="171" w:lineRule="exact"/>
              <w:rPr>
                <w:sz w:val="20"/>
                <w:szCs w:val="20"/>
                <w:color w:val="auto"/>
              </w:rPr>
            </w:pPr>
            <w:r>
              <w:rPr>
                <w:rFonts w:ascii="Times New Roman" w:cs="Times New Roman" w:eastAsia="Times New Roman" w:hAnsi="Times New Roman"/>
                <w:sz w:val="12"/>
                <w:szCs w:val="12"/>
                <w:color w:val="auto"/>
              </w:rPr>
              <w:t>Indexed debt securities (net of tax benefit of $3)</w:t>
            </w:r>
            <w:r>
              <w:rPr>
                <w:rFonts w:ascii="Times New Roman" w:cs="Times New Roman" w:eastAsia="Times New Roman" w:hAnsi="Times New Roman"/>
                <w:sz w:val="19"/>
                <w:szCs w:val="19"/>
                <w:color w:val="auto"/>
                <w:vertAlign w:val="superscript"/>
              </w:rPr>
              <w:t>(2)</w:t>
            </w:r>
          </w:p>
        </w:tc>
        <w:tc>
          <w:tcPr>
            <w:tcW w:w="10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w:t>
            </w:r>
          </w:p>
        </w:tc>
        <w:tc>
          <w:tcPr>
            <w:tcW w:w="500" w:type="dxa"/>
            <w:vAlign w:val="bottom"/>
          </w:tcPr>
          <w:p>
            <w:pPr>
              <w:spacing w:after="0"/>
              <w:rPr>
                <w:sz w:val="14"/>
                <w:szCs w:val="14"/>
                <w:color w:val="auto"/>
              </w:rPr>
            </w:pPr>
          </w:p>
        </w:tc>
        <w:tc>
          <w:tcPr>
            <w:tcW w:w="960" w:type="dxa"/>
            <w:vAlign w:val="bottom"/>
          </w:tcPr>
          <w:p>
            <w:pPr>
              <w:jc w:val="center"/>
              <w:ind w:left="700"/>
              <w:spacing w:after="0"/>
              <w:rPr>
                <w:sz w:val="20"/>
                <w:szCs w:val="20"/>
                <w:color w:val="auto"/>
              </w:rPr>
            </w:pPr>
            <w:r>
              <w:rPr>
                <w:rFonts w:ascii="Times New Roman" w:cs="Times New Roman" w:eastAsia="Times New Roman" w:hAnsi="Times New Roman"/>
                <w:sz w:val="12"/>
                <w:szCs w:val="12"/>
                <w:color w:val="auto"/>
                <w:w w:val="95"/>
              </w:rPr>
              <w:t>0.01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2"/>
                <w:szCs w:val="12"/>
                <w:b w:val="1"/>
                <w:bCs w:val="1"/>
                <w:color w:val="auto"/>
              </w:rPr>
              <w:t>Impacts associated with mergers and divestitures (net of tax expense of $3)</w:t>
            </w:r>
            <w:r>
              <w:rPr>
                <w:rFonts w:ascii="Times New Roman" w:cs="Times New Roman" w:eastAsia="Times New Roman" w:hAnsi="Times New Roman"/>
                <w:sz w:val="19"/>
                <w:szCs w:val="19"/>
                <w:color w:val="auto"/>
                <w:vertAlign w:val="superscript"/>
              </w:rPr>
              <w:t>(2)(4)</w:t>
            </w:r>
          </w:p>
        </w:tc>
        <w:tc>
          <w:tcPr>
            <w:tcW w:w="10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26</w:t>
            </w:r>
          </w:p>
        </w:tc>
        <w:tc>
          <w:tcPr>
            <w:tcW w:w="500" w:type="dxa"/>
            <w:vAlign w:val="bottom"/>
            <w:shd w:val="clear" w:color="auto" w:fill="CCEEFF"/>
          </w:tcPr>
          <w:p>
            <w:pPr>
              <w:spacing w:after="0"/>
              <w:rPr>
                <w:sz w:val="15"/>
                <w:szCs w:val="15"/>
                <w:color w:val="auto"/>
              </w:rPr>
            </w:pPr>
          </w:p>
        </w:tc>
        <w:tc>
          <w:tcPr>
            <w:tcW w:w="960" w:type="dxa"/>
            <w:vAlign w:val="bottom"/>
            <w:shd w:val="clear" w:color="auto" w:fill="CCEEFF"/>
          </w:tcPr>
          <w:p>
            <w:pPr>
              <w:jc w:val="center"/>
              <w:ind w:left="700"/>
              <w:spacing w:after="0"/>
              <w:rPr>
                <w:sz w:val="20"/>
                <w:szCs w:val="20"/>
                <w:color w:val="auto"/>
              </w:rPr>
            </w:pPr>
            <w:r>
              <w:rPr>
                <w:rFonts w:ascii="Times New Roman" w:cs="Times New Roman" w:eastAsia="Times New Roman" w:hAnsi="Times New Roman"/>
                <w:sz w:val="12"/>
                <w:szCs w:val="12"/>
                <w:color w:val="auto"/>
                <w:w w:val="95"/>
              </w:rPr>
              <w:t>0.04</w:t>
            </w:r>
          </w:p>
        </w:tc>
        <w:tc>
          <w:tcPr>
            <w:tcW w:w="12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line="171" w:lineRule="exact"/>
              <w:rPr>
                <w:sz w:val="20"/>
                <w:szCs w:val="20"/>
                <w:color w:val="auto"/>
              </w:rPr>
            </w:pPr>
            <w:r>
              <w:rPr>
                <w:rFonts w:ascii="Times New Roman" w:cs="Times New Roman" w:eastAsia="Times New Roman" w:hAnsi="Times New Roman"/>
                <w:sz w:val="12"/>
                <w:szCs w:val="12"/>
                <w:b w:val="1"/>
                <w:bCs w:val="1"/>
                <w:color w:val="auto"/>
              </w:rPr>
              <w:t>Consolidated income and diluted EPS on a non-GAAP basis</w:t>
            </w:r>
            <w:r>
              <w:rPr>
                <w:rFonts w:ascii="Times New Roman" w:cs="Times New Roman" w:eastAsia="Times New Roman" w:hAnsi="Times New Roman"/>
                <w:sz w:val="19"/>
                <w:szCs w:val="19"/>
                <w:color w:val="auto"/>
                <w:vertAlign w:val="superscript"/>
              </w:rPr>
              <w:t>(5)</w:t>
            </w: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020" w:type="dxa"/>
            <w:vAlign w:val="bottom"/>
            <w:gridSpan w:val="2"/>
            <w:vMerge w:val="continue"/>
          </w:tcPr>
          <w:p>
            <w:pPr>
              <w:spacing w:after="0"/>
              <w:rPr>
                <w:sz w:val="13"/>
                <w:szCs w:val="13"/>
                <w:color w:val="auto"/>
              </w:rPr>
            </w:pPr>
          </w:p>
        </w:tc>
        <w:tc>
          <w:tcPr>
            <w:tcW w:w="1000" w:type="dxa"/>
            <w:vAlign w:val="bottom"/>
          </w:tcPr>
          <w:p>
            <w:pPr>
              <w:jc w:val="right"/>
              <w:ind w:right="8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1,041</w:t>
            </w:r>
          </w:p>
        </w:tc>
        <w:tc>
          <w:tcPr>
            <w:tcW w:w="500" w:type="dxa"/>
            <w:vAlign w:val="bottom"/>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60" w:type="dxa"/>
            <w:vAlign w:val="bottom"/>
          </w:tcPr>
          <w:p>
            <w:pPr>
              <w:jc w:val="center"/>
              <w:ind w:left="700"/>
              <w:spacing w:after="0"/>
              <w:rPr>
                <w:sz w:val="20"/>
                <w:szCs w:val="20"/>
                <w:color w:val="auto"/>
              </w:rPr>
            </w:pPr>
            <w:r>
              <w:rPr>
                <w:rFonts w:ascii="Times New Roman" w:cs="Times New Roman" w:eastAsia="Times New Roman" w:hAnsi="Times New Roman"/>
                <w:sz w:val="12"/>
                <w:szCs w:val="12"/>
                <w:b w:val="1"/>
                <w:bCs w:val="1"/>
                <w:color w:val="auto"/>
                <w:w w:val="95"/>
              </w:rPr>
              <w:t>1.62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Quarterly diluted EPS on both a GAAP and non-GAAP basis are based on the weighted average number of shares of common stock outstanding during the quarter, and the sum of the quarters may not equal year-to-date diluted</w:t>
      </w:r>
    </w:p>
    <w:p>
      <w:pPr>
        <w:spacing w:after="0" w:line="16" w:lineRule="exact"/>
        <w:rPr>
          <w:rFonts w:ascii="Times New Roman" w:cs="Times New Roman" w:eastAsia="Times New Roman" w:hAnsi="Times New Roman"/>
          <w:sz w:val="12"/>
          <w:szCs w:val="12"/>
          <w:color w:val="auto"/>
        </w:rPr>
      </w:pP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EPS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Taxes are computed based on the impact removing such item would have on tax expense</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Comprised of common stock of AT&amp;T Inc., Charter Communications, Inc., and Warner Bros. Discovery, Inc.</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professional fees associated with execution of transactions from the sale of Louisiana and Mississippi natural gas LDC businesses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calculation on a per-share basis may not add down due to rounding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Reconciliation of consolidated income available to common shareholders and diluted earnings per share (GAAP) to non-GAAP income and non-GAAP diluted earnings per share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Twelve Months Ended</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0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020" w:type="dxa"/>
            <w:vAlign w:val="bottom"/>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Dollars in</w:t>
            </w: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60" w:type="dxa"/>
            <w:vAlign w:val="bottom"/>
          </w:tcPr>
          <w:p>
            <w:pPr>
              <w:jc w:val="center"/>
              <w:ind w:right="440"/>
              <w:spacing w:after="0" w:line="122" w:lineRule="exact"/>
              <w:rPr>
                <w:sz w:val="20"/>
                <w:szCs w:val="20"/>
                <w:color w:val="auto"/>
              </w:rPr>
            </w:pPr>
            <w:r>
              <w:rPr>
                <w:rFonts w:ascii="Times New Roman" w:cs="Times New Roman" w:eastAsia="Times New Roman" w:hAnsi="Times New Roman"/>
                <w:sz w:val="12"/>
                <w:szCs w:val="12"/>
                <w:b w:val="1"/>
                <w:bCs w:val="1"/>
                <w:color w:val="auto"/>
                <w:w w:val="99"/>
              </w:rPr>
              <w:t>Diluted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80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millions</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gridSpan w:val="2"/>
          </w:tcPr>
          <w:p>
            <w:pPr>
              <w:jc w:val="center"/>
              <w:ind w:right="600"/>
              <w:spacing w:after="0" w:line="183" w:lineRule="exact"/>
              <w:rPr>
                <w:sz w:val="20"/>
                <w:szCs w:val="20"/>
                <w:color w:val="auto"/>
              </w:rPr>
            </w:pPr>
            <w:r>
              <w:rPr>
                <w:rFonts w:ascii="Times New Roman" w:cs="Times New Roman" w:eastAsia="Times New Roman" w:hAnsi="Times New Roman"/>
                <w:sz w:val="12"/>
                <w:szCs w:val="12"/>
                <w:b w:val="1"/>
                <w:bCs w:val="1"/>
                <w:color w:val="auto"/>
                <w:w w:val="86"/>
              </w:rPr>
              <w:t>EPS</w:t>
            </w:r>
            <w:r>
              <w:rPr>
                <w:rFonts w:ascii="Times New Roman" w:cs="Times New Roman" w:eastAsia="Times New Roman" w:hAnsi="Times New Roman"/>
                <w:sz w:val="19"/>
                <w:szCs w:val="19"/>
                <w:b w:val="1"/>
                <w:bCs w:val="1"/>
                <w:color w:val="auto"/>
                <w:w w:val="86"/>
                <w:vertAlign w:val="superscript"/>
              </w:rPr>
              <w:t>(1)</w:t>
            </w:r>
          </w:p>
        </w:tc>
        <w:tc>
          <w:tcPr>
            <w:tcW w:w="0" w:type="dxa"/>
            <w:vAlign w:val="bottom"/>
          </w:tcPr>
          <w:p>
            <w:pPr>
              <w:spacing w:after="0"/>
              <w:rPr>
                <w:sz w:val="1"/>
                <w:szCs w:val="1"/>
                <w:color w:val="auto"/>
              </w:rPr>
            </w:pPr>
          </w:p>
        </w:tc>
      </w:tr>
      <w:tr>
        <w:trPr>
          <w:trHeight w:val="133"/>
        </w:trPr>
        <w:tc>
          <w:tcPr>
            <w:tcW w:w="80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Consolidated income available to common shareholders and diluted EPS on a GAAP basis</w:t>
            </w:r>
          </w:p>
        </w:tc>
        <w:tc>
          <w:tcPr>
            <w:tcW w:w="1000" w:type="dxa"/>
            <w:vAlign w:val="bottom"/>
            <w:tcBorders>
              <w:top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867</w:t>
            </w:r>
          </w:p>
        </w:tc>
        <w:tc>
          <w:tcPr>
            <w:tcW w:w="2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ind w:right="360"/>
              <w:spacing w:after="0" w:line="133"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960" w:type="dxa"/>
            <w:vAlign w:val="bottom"/>
            <w:tcBorders>
              <w:top w:val="single" w:sz="8" w:color="auto"/>
            </w:tcBorders>
            <w:shd w:val="clear" w:color="auto" w:fill="CCEEFF"/>
          </w:tcPr>
          <w:p>
            <w:pPr>
              <w:jc w:val="center"/>
              <w:ind w:left="700"/>
              <w:spacing w:after="0" w:line="133" w:lineRule="exact"/>
              <w:rPr>
                <w:sz w:val="20"/>
                <w:szCs w:val="20"/>
                <w:color w:val="auto"/>
              </w:rPr>
            </w:pPr>
            <w:r>
              <w:rPr>
                <w:rFonts w:ascii="Times New Roman" w:cs="Times New Roman" w:eastAsia="Times New Roman" w:hAnsi="Times New Roman"/>
                <w:sz w:val="12"/>
                <w:szCs w:val="12"/>
                <w:b w:val="1"/>
                <w:bCs w:val="1"/>
                <w:color w:val="auto"/>
                <w:w w:val="95"/>
              </w:rPr>
              <w:t>1.37</w:t>
            </w:r>
          </w:p>
        </w:tc>
        <w:tc>
          <w:tcPr>
            <w:tcW w:w="120" w:type="dxa"/>
            <w:vAlign w:val="bottom"/>
            <w:tcBorders>
              <w:top w:val="single" w:sz="8" w:color="CCEEFF"/>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ZENS-related mark-to-market (gains) losses:</w:t>
            </w: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20" w:type="dxa"/>
            <w:vAlign w:val="bottom"/>
            <w:shd w:val="clear" w:color="auto" w:fill="CCEEFF"/>
          </w:tcPr>
          <w:p>
            <w:pPr>
              <w:ind w:left="100"/>
              <w:spacing w:after="0" w:line="171" w:lineRule="exact"/>
              <w:rPr>
                <w:sz w:val="20"/>
                <w:szCs w:val="20"/>
                <w:color w:val="auto"/>
              </w:rPr>
            </w:pPr>
            <w:r>
              <w:rPr>
                <w:rFonts w:ascii="Times New Roman" w:cs="Times New Roman" w:eastAsia="Times New Roman" w:hAnsi="Times New Roman"/>
                <w:sz w:val="12"/>
                <w:szCs w:val="12"/>
                <w:color w:val="auto"/>
              </w:rPr>
              <w:t>Equity securities (net of taxes of $7)</w:t>
            </w:r>
            <w:r>
              <w:rPr>
                <w:rFonts w:ascii="Times New Roman" w:cs="Times New Roman" w:eastAsia="Times New Roman" w:hAnsi="Times New Roman"/>
                <w:sz w:val="19"/>
                <w:szCs w:val="19"/>
                <w:color w:val="auto"/>
                <w:vertAlign w:val="superscript"/>
              </w:rPr>
              <w:t>(2)(3)</w:t>
            </w:r>
          </w:p>
        </w:tc>
        <w:tc>
          <w:tcPr>
            <w:tcW w:w="10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(25)</w:t>
            </w: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center"/>
              <w:ind w:left="580"/>
              <w:spacing w:after="0"/>
              <w:rPr>
                <w:sz w:val="20"/>
                <w:szCs w:val="20"/>
                <w:color w:val="auto"/>
              </w:rPr>
            </w:pPr>
            <w:r>
              <w:rPr>
                <w:rFonts w:ascii="Times New Roman" w:cs="Times New Roman" w:eastAsia="Times New Roman" w:hAnsi="Times New Roman"/>
                <w:sz w:val="12"/>
                <w:szCs w:val="12"/>
                <w:color w:val="auto"/>
                <w:w w:val="96"/>
              </w:rPr>
              <w:t>(0.04)</w:t>
            </w:r>
          </w:p>
        </w:tc>
        <w:tc>
          <w:tcPr>
            <w:tcW w:w="0" w:type="dxa"/>
            <w:vAlign w:val="bottom"/>
          </w:tcPr>
          <w:p>
            <w:pPr>
              <w:spacing w:after="0"/>
              <w:rPr>
                <w:sz w:val="1"/>
                <w:szCs w:val="1"/>
                <w:color w:val="auto"/>
              </w:rPr>
            </w:pPr>
          </w:p>
        </w:tc>
      </w:tr>
      <w:tr>
        <w:trPr>
          <w:trHeight w:val="171"/>
        </w:trPr>
        <w:tc>
          <w:tcPr>
            <w:tcW w:w="8020" w:type="dxa"/>
            <w:vAlign w:val="bottom"/>
          </w:tcPr>
          <w:p>
            <w:pPr>
              <w:ind w:left="100"/>
              <w:spacing w:after="0" w:line="171" w:lineRule="exact"/>
              <w:rPr>
                <w:sz w:val="20"/>
                <w:szCs w:val="20"/>
                <w:color w:val="auto"/>
              </w:rPr>
            </w:pPr>
            <w:r>
              <w:rPr>
                <w:rFonts w:ascii="Times New Roman" w:cs="Times New Roman" w:eastAsia="Times New Roman" w:hAnsi="Times New Roman"/>
                <w:sz w:val="12"/>
                <w:szCs w:val="12"/>
                <w:color w:val="auto"/>
              </w:rPr>
              <w:t>Indexed debt securities (net of taxes of $6)</w:t>
            </w:r>
            <w:r>
              <w:rPr>
                <w:rFonts w:ascii="Times New Roman" w:cs="Times New Roman" w:eastAsia="Times New Roman" w:hAnsi="Times New Roman"/>
                <w:sz w:val="19"/>
                <w:szCs w:val="19"/>
                <w:color w:val="auto"/>
                <w:vertAlign w:val="superscript"/>
              </w:rPr>
              <w:t>(2)</w:t>
            </w:r>
          </w:p>
        </w:tc>
        <w:tc>
          <w:tcPr>
            <w:tcW w:w="10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21</w:t>
            </w:r>
          </w:p>
        </w:tc>
        <w:tc>
          <w:tcPr>
            <w:tcW w:w="500" w:type="dxa"/>
            <w:vAlign w:val="bottom"/>
          </w:tcPr>
          <w:p>
            <w:pPr>
              <w:spacing w:after="0"/>
              <w:rPr>
                <w:sz w:val="14"/>
                <w:szCs w:val="14"/>
                <w:color w:val="auto"/>
              </w:rPr>
            </w:pPr>
          </w:p>
        </w:tc>
        <w:tc>
          <w:tcPr>
            <w:tcW w:w="960" w:type="dxa"/>
            <w:vAlign w:val="bottom"/>
          </w:tcPr>
          <w:p>
            <w:pPr>
              <w:jc w:val="center"/>
              <w:ind w:left="700"/>
              <w:spacing w:after="0"/>
              <w:rPr>
                <w:sz w:val="20"/>
                <w:szCs w:val="20"/>
                <w:color w:val="auto"/>
              </w:rPr>
            </w:pPr>
            <w:r>
              <w:rPr>
                <w:rFonts w:ascii="Times New Roman" w:cs="Times New Roman" w:eastAsia="Times New Roman" w:hAnsi="Times New Roman"/>
                <w:sz w:val="12"/>
                <w:szCs w:val="12"/>
                <w:color w:val="auto"/>
                <w:w w:val="95"/>
              </w:rPr>
              <w:t>0.03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2"/>
                <w:szCs w:val="12"/>
                <w:b w:val="1"/>
                <w:bCs w:val="1"/>
                <w:color w:val="auto"/>
              </w:rPr>
              <w:t>Impacts associated with mergers and divestitures (net of taxes of $64)</w:t>
            </w:r>
            <w:r>
              <w:rPr>
                <w:rFonts w:ascii="Times New Roman" w:cs="Times New Roman" w:eastAsia="Times New Roman" w:hAnsi="Times New Roman"/>
                <w:sz w:val="19"/>
                <w:szCs w:val="19"/>
                <w:color w:val="auto"/>
                <w:vertAlign w:val="superscript"/>
              </w:rPr>
              <w:t>(2)(4)</w:t>
            </w:r>
          </w:p>
        </w:tc>
        <w:tc>
          <w:tcPr>
            <w:tcW w:w="10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89</w:t>
            </w:r>
          </w:p>
        </w:tc>
        <w:tc>
          <w:tcPr>
            <w:tcW w:w="500" w:type="dxa"/>
            <w:vAlign w:val="bottom"/>
            <w:shd w:val="clear" w:color="auto" w:fill="CCEEFF"/>
          </w:tcPr>
          <w:p>
            <w:pPr>
              <w:spacing w:after="0"/>
              <w:rPr>
                <w:sz w:val="15"/>
                <w:szCs w:val="15"/>
                <w:color w:val="auto"/>
              </w:rPr>
            </w:pPr>
          </w:p>
        </w:tc>
        <w:tc>
          <w:tcPr>
            <w:tcW w:w="960" w:type="dxa"/>
            <w:vAlign w:val="bottom"/>
            <w:shd w:val="clear" w:color="auto" w:fill="CCEEFF"/>
          </w:tcPr>
          <w:p>
            <w:pPr>
              <w:jc w:val="center"/>
              <w:ind w:left="700"/>
              <w:spacing w:after="0"/>
              <w:rPr>
                <w:sz w:val="20"/>
                <w:szCs w:val="20"/>
                <w:color w:val="auto"/>
              </w:rPr>
            </w:pPr>
            <w:r>
              <w:rPr>
                <w:rFonts w:ascii="Times New Roman" w:cs="Times New Roman" w:eastAsia="Times New Roman" w:hAnsi="Times New Roman"/>
                <w:sz w:val="12"/>
                <w:szCs w:val="12"/>
                <w:color w:val="auto"/>
                <w:w w:val="95"/>
              </w:rPr>
              <w:t>0.14</w:t>
            </w:r>
          </w:p>
        </w:tc>
        <w:tc>
          <w:tcPr>
            <w:tcW w:w="12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line="171" w:lineRule="exact"/>
              <w:rPr>
                <w:sz w:val="20"/>
                <w:szCs w:val="20"/>
                <w:color w:val="auto"/>
              </w:rPr>
            </w:pPr>
            <w:r>
              <w:rPr>
                <w:rFonts w:ascii="Times New Roman" w:cs="Times New Roman" w:eastAsia="Times New Roman" w:hAnsi="Times New Roman"/>
                <w:sz w:val="12"/>
                <w:szCs w:val="12"/>
                <w:b w:val="1"/>
                <w:bCs w:val="1"/>
                <w:color w:val="auto"/>
              </w:rPr>
              <w:t>Consolidated income and diluted EPS on a non-GAAP basis</w:t>
            </w:r>
            <w:r>
              <w:rPr>
                <w:rFonts w:ascii="Times New Roman" w:cs="Times New Roman" w:eastAsia="Times New Roman" w:hAnsi="Times New Roman"/>
                <w:sz w:val="19"/>
                <w:szCs w:val="19"/>
                <w:color w:val="auto"/>
                <w:vertAlign w:val="superscript"/>
              </w:rPr>
              <w:t>(5)</w:t>
            </w: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020" w:type="dxa"/>
            <w:vAlign w:val="bottom"/>
            <w:vMerge w:val="continue"/>
          </w:tcPr>
          <w:p>
            <w:pPr>
              <w:spacing w:after="0"/>
              <w:rPr>
                <w:sz w:val="13"/>
                <w:szCs w:val="13"/>
                <w:color w:val="auto"/>
              </w:rPr>
            </w:pPr>
          </w:p>
        </w:tc>
        <w:tc>
          <w:tcPr>
            <w:tcW w:w="1000" w:type="dxa"/>
            <w:vAlign w:val="bottom"/>
          </w:tcPr>
          <w:p>
            <w:pPr>
              <w:jc w:val="right"/>
              <w:ind w:right="8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952</w:t>
            </w:r>
          </w:p>
        </w:tc>
        <w:tc>
          <w:tcPr>
            <w:tcW w:w="500" w:type="dxa"/>
            <w:vAlign w:val="bottom"/>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60" w:type="dxa"/>
            <w:vAlign w:val="bottom"/>
          </w:tcPr>
          <w:p>
            <w:pPr>
              <w:jc w:val="center"/>
              <w:ind w:left="700"/>
              <w:spacing w:after="0"/>
              <w:rPr>
                <w:sz w:val="20"/>
                <w:szCs w:val="20"/>
                <w:color w:val="auto"/>
              </w:rPr>
            </w:pPr>
            <w:r>
              <w:rPr>
                <w:rFonts w:ascii="Times New Roman" w:cs="Times New Roman" w:eastAsia="Times New Roman" w:hAnsi="Times New Roman"/>
                <w:sz w:val="12"/>
                <w:szCs w:val="12"/>
                <w:b w:val="1"/>
                <w:bCs w:val="1"/>
                <w:color w:val="auto"/>
                <w:w w:val="95"/>
              </w:rPr>
              <w:t>1.50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Quarterly diluted EPS on both a GAAP and non-GAAP basis are based on the weighted average number of shares of common stock outstanding during the quarter, and the sum of the quarters may not equal year-to-date diluted</w:t>
      </w:r>
    </w:p>
    <w:p>
      <w:pPr>
        <w:spacing w:after="0" w:line="16" w:lineRule="exact"/>
        <w:rPr>
          <w:rFonts w:ascii="Times New Roman" w:cs="Times New Roman" w:eastAsia="Times New Roman" w:hAnsi="Times New Roman"/>
          <w:sz w:val="12"/>
          <w:szCs w:val="12"/>
          <w:color w:val="auto"/>
        </w:rPr>
      </w:pP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EPS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9" w:name="page10"/>
    <w:bookmarkEnd w:id="9"/>
    <w:p>
      <w:pPr>
        <w:ind w:left="420" w:right="20" w:hanging="212"/>
        <w:spacing w:after="0" w:line="259" w:lineRule="auto"/>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Taxes are computed based on the impact removing such item would have on tax expense. Taxes related to the operating results of Energy Systems Group, as well as cash taxes payable and other tax impacts related to the sale of Energy Systems Group, are excluded from non-GAAP EPS</w:t>
      </w:r>
    </w:p>
    <w:p>
      <w:pPr>
        <w:spacing w:after="0" w:line="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Comprised of common stock of AT&amp;T Inc., Charter Communications, Inc., and Warner Bros. Discovery, Inc.</w:t>
      </w:r>
    </w:p>
    <w:p>
      <w:pPr>
        <w:spacing w:after="0" w:line="6" w:lineRule="exact"/>
        <w:rPr>
          <w:rFonts w:ascii="Times New Roman" w:cs="Times New Roman" w:eastAsia="Times New Roman" w:hAnsi="Times New Roman"/>
          <w:sz w:val="12"/>
          <w:szCs w:val="12"/>
          <w:color w:val="auto"/>
        </w:rPr>
      </w:pPr>
    </w:p>
    <w:p>
      <w:pPr>
        <w:ind w:left="420" w:right="20" w:hanging="212"/>
        <w:spacing w:after="0" w:line="250" w:lineRule="auto"/>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$4.4 million of pre-tax operating loss related to Energy Systems Group, a divested non-regulated business, as well as the $13 million loss on sale and approximately $2 million of other indirect related transaction costs associated with the divestiture</w:t>
      </w: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calculation on a per-share basis may not add down due to rounding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Reconciliation of consolidated income available to common shareholders and diluted earnings per share (GAAP) to non-GAAP income and non-GAAP diluted earnings per share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Twelve Months Ended</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0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020" w:type="dxa"/>
            <w:vAlign w:val="bottom"/>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Dollars in</w:t>
            </w: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60" w:type="dxa"/>
            <w:vAlign w:val="bottom"/>
          </w:tcPr>
          <w:p>
            <w:pPr>
              <w:jc w:val="right"/>
              <w:ind w:right="480"/>
              <w:spacing w:after="0" w:line="122" w:lineRule="exact"/>
              <w:rPr>
                <w:sz w:val="20"/>
                <w:szCs w:val="20"/>
                <w:color w:val="auto"/>
              </w:rPr>
            </w:pPr>
            <w:r>
              <w:rPr>
                <w:rFonts w:ascii="Times New Roman" w:cs="Times New Roman" w:eastAsia="Times New Roman" w:hAnsi="Times New Roman"/>
                <w:sz w:val="12"/>
                <w:szCs w:val="12"/>
                <w:b w:val="1"/>
                <w:bCs w:val="1"/>
                <w:color w:val="auto"/>
              </w:rPr>
              <w:t>Diluted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80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millions</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gridSpan w:val="2"/>
          </w:tcPr>
          <w:p>
            <w:pPr>
              <w:jc w:val="right"/>
              <w:ind w:right="680"/>
              <w:spacing w:after="0" w:line="183" w:lineRule="exact"/>
              <w:rPr>
                <w:sz w:val="20"/>
                <w:szCs w:val="20"/>
                <w:color w:val="auto"/>
              </w:rPr>
            </w:pPr>
            <w:r>
              <w:rPr>
                <w:rFonts w:ascii="Times New Roman" w:cs="Times New Roman" w:eastAsia="Times New Roman" w:hAnsi="Times New Roman"/>
                <w:sz w:val="12"/>
                <w:szCs w:val="12"/>
                <w:b w:val="1"/>
                <w:bCs w:val="1"/>
                <w:color w:val="auto"/>
              </w:rPr>
              <w:t>EPS</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133"/>
        </w:trPr>
        <w:tc>
          <w:tcPr>
            <w:tcW w:w="80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Consolidated income available to common shareholders and diluted EPS on a GAAP basis</w:t>
            </w:r>
          </w:p>
        </w:tc>
        <w:tc>
          <w:tcPr>
            <w:tcW w:w="1000" w:type="dxa"/>
            <w:vAlign w:val="bottom"/>
            <w:tcBorders>
              <w:top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1,008</w:t>
            </w:r>
          </w:p>
        </w:tc>
        <w:tc>
          <w:tcPr>
            <w:tcW w:w="2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ind w:right="360"/>
              <w:spacing w:after="0" w:line="133"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9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1.59</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ZENS-related mark-to-market (gains) losses:</w:t>
            </w: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20" w:type="dxa"/>
            <w:vAlign w:val="bottom"/>
            <w:shd w:val="clear" w:color="auto" w:fill="CCEEFF"/>
          </w:tcPr>
          <w:p>
            <w:pPr>
              <w:ind w:left="100"/>
              <w:spacing w:after="0" w:line="171" w:lineRule="exact"/>
              <w:rPr>
                <w:sz w:val="20"/>
                <w:szCs w:val="20"/>
                <w:color w:val="auto"/>
              </w:rPr>
            </w:pPr>
            <w:r>
              <w:rPr>
                <w:rFonts w:ascii="Times New Roman" w:cs="Times New Roman" w:eastAsia="Times New Roman" w:hAnsi="Times New Roman"/>
                <w:sz w:val="12"/>
                <w:szCs w:val="12"/>
                <w:color w:val="auto"/>
              </w:rPr>
              <w:t>Equity securities (net of taxes of $66)</w:t>
            </w:r>
            <w:r>
              <w:rPr>
                <w:rFonts w:ascii="Times New Roman" w:cs="Times New Roman" w:eastAsia="Times New Roman" w:hAnsi="Times New Roman"/>
                <w:sz w:val="19"/>
                <w:szCs w:val="19"/>
                <w:color w:val="auto"/>
                <w:vertAlign w:val="superscript"/>
              </w:rPr>
              <w:t>(2)(3)</w:t>
            </w:r>
          </w:p>
        </w:tc>
        <w:tc>
          <w:tcPr>
            <w:tcW w:w="10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247</w:t>
            </w: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0.39</w:t>
            </w:r>
          </w:p>
        </w:tc>
        <w:tc>
          <w:tcPr>
            <w:tcW w:w="0" w:type="dxa"/>
            <w:vAlign w:val="bottom"/>
          </w:tcPr>
          <w:p>
            <w:pPr>
              <w:spacing w:after="0"/>
              <w:rPr>
                <w:sz w:val="1"/>
                <w:szCs w:val="1"/>
                <w:color w:val="auto"/>
              </w:rPr>
            </w:pPr>
          </w:p>
        </w:tc>
      </w:tr>
      <w:tr>
        <w:trPr>
          <w:trHeight w:val="171"/>
        </w:trPr>
        <w:tc>
          <w:tcPr>
            <w:tcW w:w="8020" w:type="dxa"/>
            <w:vAlign w:val="bottom"/>
          </w:tcPr>
          <w:p>
            <w:pPr>
              <w:ind w:left="100"/>
              <w:spacing w:after="0" w:line="171" w:lineRule="exact"/>
              <w:rPr>
                <w:sz w:val="20"/>
                <w:szCs w:val="20"/>
                <w:color w:val="auto"/>
              </w:rPr>
            </w:pPr>
            <w:r>
              <w:rPr>
                <w:rFonts w:ascii="Times New Roman" w:cs="Times New Roman" w:eastAsia="Times New Roman" w:hAnsi="Times New Roman"/>
                <w:sz w:val="12"/>
                <w:szCs w:val="12"/>
                <w:color w:val="auto"/>
              </w:rPr>
              <w:t>Indexed debt securities (net of taxes of $68)</w:t>
            </w:r>
            <w:r>
              <w:rPr>
                <w:rFonts w:ascii="Times New Roman" w:cs="Times New Roman" w:eastAsia="Times New Roman" w:hAnsi="Times New Roman"/>
                <w:sz w:val="19"/>
                <w:szCs w:val="19"/>
                <w:color w:val="auto"/>
                <w:vertAlign w:val="superscript"/>
              </w:rPr>
              <w:t>(2)</w:t>
            </w:r>
          </w:p>
        </w:tc>
        <w:tc>
          <w:tcPr>
            <w:tcW w:w="10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(256)</w:t>
            </w:r>
          </w:p>
        </w:tc>
        <w:tc>
          <w:tcPr>
            <w:tcW w:w="50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(0.40)</w:t>
            </w:r>
          </w:p>
        </w:tc>
        <w:tc>
          <w:tcPr>
            <w:tcW w:w="0" w:type="dxa"/>
            <w:vAlign w:val="bottom"/>
          </w:tcPr>
          <w:p>
            <w:pPr>
              <w:spacing w:after="0"/>
              <w:rPr>
                <w:sz w:val="1"/>
                <w:szCs w:val="1"/>
                <w:color w:val="auto"/>
              </w:rPr>
            </w:pPr>
          </w:p>
        </w:tc>
      </w:tr>
      <w:tr>
        <w:trPr>
          <w:trHeight w:val="171"/>
        </w:trPr>
        <w:tc>
          <w:tcPr>
            <w:tcW w:w="80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2"/>
                <w:szCs w:val="12"/>
                <w:b w:val="1"/>
                <w:bCs w:val="1"/>
                <w:color w:val="auto"/>
              </w:rPr>
              <w:t>Midstream-related earnings (net of taxes of $2)</w:t>
            </w:r>
            <w:r>
              <w:rPr>
                <w:rFonts w:ascii="Times New Roman" w:cs="Times New Roman" w:eastAsia="Times New Roman" w:hAnsi="Times New Roman"/>
                <w:sz w:val="19"/>
                <w:szCs w:val="19"/>
                <w:color w:val="auto"/>
                <w:vertAlign w:val="superscript"/>
              </w:rPr>
              <w:t>(2)(4)</w:t>
            </w:r>
          </w:p>
        </w:tc>
        <w:tc>
          <w:tcPr>
            <w:tcW w:w="10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(46)</w:t>
            </w: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(0.07)</w:t>
            </w:r>
          </w:p>
        </w:tc>
        <w:tc>
          <w:tcPr>
            <w:tcW w:w="0" w:type="dxa"/>
            <w:vAlign w:val="bottom"/>
          </w:tcPr>
          <w:p>
            <w:pPr>
              <w:spacing w:after="0"/>
              <w:rPr>
                <w:sz w:val="1"/>
                <w:szCs w:val="1"/>
                <w:color w:val="auto"/>
              </w:rPr>
            </w:pPr>
          </w:p>
        </w:tc>
      </w:tr>
      <w:tr>
        <w:trPr>
          <w:trHeight w:val="180"/>
        </w:trPr>
        <w:tc>
          <w:tcPr>
            <w:tcW w:w="8020" w:type="dxa"/>
            <w:vAlign w:val="bottom"/>
          </w:tcPr>
          <w:p>
            <w:pPr>
              <w:spacing w:after="0" w:line="180" w:lineRule="exact"/>
              <w:rPr>
                <w:sz w:val="20"/>
                <w:szCs w:val="20"/>
                <w:color w:val="auto"/>
              </w:rPr>
            </w:pPr>
            <w:r>
              <w:rPr>
                <w:rFonts w:ascii="Times New Roman" w:cs="Times New Roman" w:eastAsia="Times New Roman" w:hAnsi="Times New Roman"/>
                <w:sz w:val="12"/>
                <w:szCs w:val="12"/>
                <w:b w:val="1"/>
                <w:bCs w:val="1"/>
                <w:color w:val="auto"/>
              </w:rPr>
              <w:t>Impacts associated with mergers and divestitures (net of taxes of $165)</w:t>
            </w:r>
            <w:r>
              <w:rPr>
                <w:rFonts w:ascii="Times New Roman" w:cs="Times New Roman" w:eastAsia="Times New Roman" w:hAnsi="Times New Roman"/>
                <w:sz w:val="19"/>
                <w:szCs w:val="19"/>
                <w:color w:val="auto"/>
                <w:vertAlign w:val="superscript"/>
              </w:rPr>
              <w:t>(2)(5)</w:t>
            </w:r>
          </w:p>
        </w:tc>
        <w:tc>
          <w:tcPr>
            <w:tcW w:w="100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(80)</w:t>
            </w:r>
          </w:p>
        </w:tc>
        <w:tc>
          <w:tcPr>
            <w:tcW w:w="50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(0.13)</w:t>
            </w:r>
          </w:p>
        </w:tc>
        <w:tc>
          <w:tcPr>
            <w:tcW w:w="0" w:type="dxa"/>
            <w:vAlign w:val="bottom"/>
          </w:tcPr>
          <w:p>
            <w:pPr>
              <w:spacing w:after="0"/>
              <w:rPr>
                <w:sz w:val="1"/>
                <w:szCs w:val="1"/>
                <w:color w:val="auto"/>
              </w:rPr>
            </w:pPr>
          </w:p>
        </w:tc>
      </w:tr>
      <w:tr>
        <w:trPr>
          <w:trHeight w:val="20"/>
        </w:trPr>
        <w:tc>
          <w:tcPr>
            <w:tcW w:w="8020" w:type="dxa"/>
            <w:vAlign w:val="bottom"/>
            <w:vMerge w:val="restart"/>
            <w:shd w:val="clear" w:color="auto" w:fill="CCEEFF"/>
          </w:tcPr>
          <w:p>
            <w:pPr>
              <w:spacing w:after="0" w:line="171" w:lineRule="exact"/>
              <w:rPr>
                <w:sz w:val="20"/>
                <w:szCs w:val="20"/>
                <w:color w:val="auto"/>
              </w:rPr>
            </w:pPr>
            <w:r>
              <w:rPr>
                <w:rFonts w:ascii="Times New Roman" w:cs="Times New Roman" w:eastAsia="Times New Roman" w:hAnsi="Times New Roman"/>
                <w:sz w:val="12"/>
                <w:szCs w:val="12"/>
                <w:b w:val="1"/>
                <w:bCs w:val="1"/>
                <w:color w:val="auto"/>
              </w:rPr>
              <w:t>Consolidated income and diluted EPS on a non-GAAP basis</w:t>
            </w:r>
            <w:r>
              <w:rPr>
                <w:rFonts w:ascii="Times New Roman" w:cs="Times New Roman" w:eastAsia="Times New Roman" w:hAnsi="Times New Roman"/>
                <w:sz w:val="19"/>
                <w:szCs w:val="19"/>
                <w:color w:val="auto"/>
                <w:vertAlign w:val="superscript"/>
              </w:rPr>
              <w:t>(6)</w:t>
            </w: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020" w:type="dxa"/>
            <w:vAlign w:val="bottom"/>
            <w:vMerge w:val="continue"/>
            <w:shd w:val="clear" w:color="auto" w:fill="CCEEFF"/>
          </w:tcPr>
          <w:p>
            <w:pPr>
              <w:spacing w:after="0"/>
              <w:rPr>
                <w:sz w:val="13"/>
                <w:szCs w:val="13"/>
                <w:color w:val="auto"/>
              </w:rPr>
            </w:pPr>
          </w:p>
        </w:tc>
        <w:tc>
          <w:tcPr>
            <w:tcW w:w="100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873</w:t>
            </w:r>
          </w:p>
        </w:tc>
        <w:tc>
          <w:tcPr>
            <w:tcW w:w="50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1.38</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420" w:hanging="212"/>
        <w:spacing w:after="0"/>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Quarterly diluted EPS on both a GAAP and non-GAAP basis are based on the weighted average number of shares of common stock outstanding during the quarter, and the sum of the quarters may not equal year-to-date diluted</w:t>
      </w:r>
    </w:p>
    <w:p>
      <w:pPr>
        <w:spacing w:after="0" w:line="16" w:lineRule="exact"/>
        <w:rPr>
          <w:rFonts w:ascii="Times New Roman" w:cs="Times New Roman" w:eastAsia="Times New Roman" w:hAnsi="Times New Roman"/>
          <w:sz w:val="12"/>
          <w:szCs w:val="12"/>
          <w:color w:val="auto"/>
        </w:rPr>
      </w:pP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EPS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Taxes are computed based on the impact removing such item would have on tax expense</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Comprised of common stock of AT&amp;T Inc., Charter Communications, Inc., and Warner Bros. Discovery, Inc.</w:t>
      </w:r>
    </w:p>
    <w:p>
      <w:pPr>
        <w:spacing w:after="0" w:line="6" w:lineRule="exact"/>
        <w:rPr>
          <w:rFonts w:ascii="Times New Roman" w:cs="Times New Roman" w:eastAsia="Times New Roman" w:hAnsi="Times New Roman"/>
          <w:sz w:val="12"/>
          <w:szCs w:val="12"/>
          <w:color w:val="auto"/>
        </w:rPr>
      </w:pPr>
    </w:p>
    <w:p>
      <w:pPr>
        <w:ind w:left="420" w:right="60" w:hanging="212"/>
        <w:spacing w:after="0" w:line="250" w:lineRule="auto"/>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earnings and expenses related to ownership and disposal of Energy Transfer units, a corresponding amount of debt related to the units and an allocation of associated corporate overhead; Includes costs associated with early extinguishment of $600 million debt at CenterPoint Energy, Inc. of approximately $35 million, net of taxes</w:t>
      </w:r>
    </w:p>
    <w:p>
      <w:pPr>
        <w:ind w:left="420" w:right="200" w:hanging="212"/>
        <w:spacing w:after="0" w:line="250" w:lineRule="auto"/>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a settlement charge of $35 million, net of tax, related to CenterPoint Energy pension plan’s purchase of a group annuity contract in December 2022 to transfer benefit obligations of CenterPoint Energy’s previously divested businesses to an insurance company</w:t>
      </w:r>
    </w:p>
    <w:p>
      <w:pPr>
        <w:ind w:left="420" w:hanging="212"/>
        <w:spacing w:after="0"/>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calculation on a per-share basis may not add down due to rounding</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69"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b w:val="1"/>
          <w:bCs w:val="1"/>
          <w:u w:val="single" w:color="auto"/>
          <w:color w:val="auto"/>
        </w:rPr>
        <w:t>Reconciliation of consolidated income (loss) available to common shareholders and diluted earnings per share (GAAP) to non-GAAP income and non-GAAP diluted earnings per share</w:t>
      </w:r>
    </w:p>
    <w:p>
      <w:pPr>
        <w:spacing w:after="0" w:line="14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0"/>
          <w:szCs w:val="10"/>
          <w:b w:val="1"/>
          <w:bCs w:val="1"/>
          <w:color w:val="auto"/>
        </w:rPr>
        <w:t>Twelve Months Ended</w:t>
      </w:r>
    </w:p>
    <w:p>
      <w:pPr>
        <w:ind w:left="5260"/>
        <w:spacing w:after="0" w:line="215" w:lineRule="auto"/>
        <w:rPr>
          <w:sz w:val="20"/>
          <w:szCs w:val="20"/>
          <w:color w:val="auto"/>
        </w:rPr>
      </w:pPr>
      <w:r>
        <w:rPr>
          <w:rFonts w:ascii="Times New Roman" w:cs="Times New Roman" w:eastAsia="Times New Roman" w:hAnsi="Times New Roman"/>
          <w:sz w:val="10"/>
          <w:szCs w:val="10"/>
          <w:b w:val="1"/>
          <w:bCs w:val="1"/>
          <w:color w:val="auto"/>
        </w:rPr>
        <w:t>December 31, 2021</w:t>
      </w:r>
    </w:p>
    <w:tbl>
      <w:tblPr>
        <w:tblLayout w:type="fixed"/>
        <w:tblInd w:w="0" w:type="dxa"/>
        <w:tblCellMar>
          <w:top w:w="0" w:type="dxa"/>
          <w:left w:w="0" w:type="dxa"/>
          <w:bottom w:w="0" w:type="dxa"/>
          <w:right w:w="0" w:type="dxa"/>
        </w:tblCellMar>
      </w:tblPr>
      <w:tr>
        <w:trPr>
          <w:trHeight w:val="72"/>
        </w:trPr>
        <w:tc>
          <w:tcPr>
            <w:tcW w:w="328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gridSpan w:val="3"/>
          </w:tcPr>
          <w:p>
            <w:pPr>
              <w:jc w:val="center"/>
              <w:ind w:left="432"/>
              <w:spacing w:after="0" w:line="72" w:lineRule="exact"/>
              <w:rPr>
                <w:sz w:val="20"/>
                <w:szCs w:val="20"/>
                <w:color w:val="auto"/>
              </w:rPr>
            </w:pPr>
            <w:r>
              <w:rPr>
                <w:rFonts w:ascii="Times New Roman" w:cs="Times New Roman" w:eastAsia="Times New Roman" w:hAnsi="Times New Roman"/>
                <w:sz w:val="8"/>
                <w:szCs w:val="8"/>
                <w:b w:val="1"/>
                <w:bCs w:val="1"/>
                <w:color w:val="auto"/>
              </w:rPr>
              <w:t>Midstream</w:t>
            </w:r>
          </w:p>
        </w:tc>
        <w:tc>
          <w:tcPr>
            <w:tcW w:w="62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280" w:type="dxa"/>
            <w:vAlign w:val="bottom"/>
          </w:tcPr>
          <w:p>
            <w:pPr>
              <w:spacing w:after="0"/>
              <w:rPr>
                <w:sz w:val="8"/>
                <w:szCs w:val="8"/>
                <w:color w:val="auto"/>
              </w:rPr>
            </w:pPr>
          </w:p>
        </w:tc>
        <w:tc>
          <w:tcPr>
            <w:tcW w:w="1620" w:type="dxa"/>
            <w:vAlign w:val="bottom"/>
            <w:gridSpan w:val="4"/>
            <w:vMerge w:val="restart"/>
          </w:tcPr>
          <w:p>
            <w:pPr>
              <w:jc w:val="right"/>
              <w:ind w:right="285"/>
              <w:spacing w:after="0"/>
              <w:rPr>
                <w:sz w:val="20"/>
                <w:szCs w:val="20"/>
                <w:color w:val="auto"/>
              </w:rPr>
            </w:pPr>
            <w:r>
              <w:rPr>
                <w:rFonts w:ascii="Times New Roman" w:cs="Times New Roman" w:eastAsia="Times New Roman" w:hAnsi="Times New Roman"/>
                <w:sz w:val="10"/>
                <w:szCs w:val="10"/>
                <w:b w:val="1"/>
                <w:bCs w:val="1"/>
                <w:color w:val="auto"/>
              </w:rPr>
              <w:t>Utility Operations</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gridSpan w:val="3"/>
          </w:tcPr>
          <w:p>
            <w:pPr>
              <w:jc w:val="center"/>
              <w:ind w:left="432"/>
              <w:spacing w:after="0" w:line="99" w:lineRule="exact"/>
              <w:rPr>
                <w:sz w:val="20"/>
                <w:szCs w:val="20"/>
                <w:color w:val="auto"/>
              </w:rPr>
            </w:pPr>
            <w:r>
              <w:rPr>
                <w:rFonts w:ascii="Times New Roman" w:cs="Times New Roman" w:eastAsia="Times New Roman" w:hAnsi="Times New Roman"/>
                <w:sz w:val="10"/>
                <w:szCs w:val="10"/>
                <w:b w:val="1"/>
                <w:bCs w:val="1"/>
                <w:color w:val="auto"/>
                <w:w w:val="96"/>
              </w:rPr>
              <w:t>Investments</w:t>
            </w: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80" w:type="dxa"/>
            <w:vAlign w:val="bottom"/>
            <w:gridSpan w:val="5"/>
            <w:vMerge w:val="restart"/>
          </w:tcPr>
          <w:p>
            <w:pPr>
              <w:jc w:val="right"/>
              <w:ind w:right="600"/>
              <w:spacing w:after="0"/>
              <w:rPr>
                <w:sz w:val="20"/>
                <w:szCs w:val="20"/>
                <w:color w:val="auto"/>
              </w:rPr>
            </w:pPr>
            <w:r>
              <w:rPr>
                <w:rFonts w:ascii="Times New Roman" w:cs="Times New Roman" w:eastAsia="Times New Roman" w:hAnsi="Times New Roman"/>
                <w:sz w:val="10"/>
                <w:szCs w:val="10"/>
                <w:b w:val="1"/>
                <w:bCs w:val="1"/>
                <w:color w:val="auto"/>
              </w:rPr>
              <w:t xml:space="preserve">Corporate and Other </w:t>
            </w:r>
            <w:r>
              <w:rPr>
                <w:rFonts w:ascii="Times New Roman" w:cs="Times New Roman" w:eastAsia="Times New Roman" w:hAnsi="Times New Roman"/>
                <w:sz w:val="15"/>
                <w:szCs w:val="15"/>
                <w:b w:val="1"/>
                <w:bCs w:val="1"/>
                <w:color w:val="auto"/>
                <w:vertAlign w:val="superscript"/>
              </w:rPr>
              <w:t>(7)</w:t>
            </w:r>
          </w:p>
        </w:tc>
        <w:tc>
          <w:tcPr>
            <w:tcW w:w="120" w:type="dxa"/>
            <w:vAlign w:val="bottom"/>
          </w:tcPr>
          <w:p>
            <w:pPr>
              <w:spacing w:after="0"/>
              <w:rPr>
                <w:sz w:val="8"/>
                <w:szCs w:val="8"/>
                <w:color w:val="auto"/>
              </w:rPr>
            </w:pPr>
          </w:p>
        </w:tc>
        <w:tc>
          <w:tcPr>
            <w:tcW w:w="10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280" w:type="dxa"/>
            <w:vAlign w:val="bottom"/>
          </w:tcPr>
          <w:p>
            <w:pPr>
              <w:spacing w:after="0"/>
              <w:rPr>
                <w:sz w:val="10"/>
                <w:szCs w:val="10"/>
                <w:color w:val="auto"/>
              </w:rPr>
            </w:pPr>
          </w:p>
        </w:tc>
        <w:tc>
          <w:tcPr>
            <w:tcW w:w="1620" w:type="dxa"/>
            <w:vAlign w:val="bottom"/>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20" w:type="dxa"/>
            <w:vAlign w:val="bottom"/>
            <w:gridSpan w:val="5"/>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5"/>
              </w:rPr>
              <w:t>(Disc. Operations)</w:t>
            </w:r>
          </w:p>
        </w:tc>
        <w:tc>
          <w:tcPr>
            <w:tcW w:w="120" w:type="dxa"/>
            <w:vAlign w:val="bottom"/>
          </w:tcPr>
          <w:p>
            <w:pPr>
              <w:spacing w:after="0"/>
              <w:rPr>
                <w:sz w:val="10"/>
                <w:szCs w:val="10"/>
                <w:color w:val="auto"/>
              </w:rPr>
            </w:pPr>
          </w:p>
        </w:tc>
        <w:tc>
          <w:tcPr>
            <w:tcW w:w="188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280" w:type="dxa"/>
            <w:vAlign w:val="bottom"/>
          </w:tcPr>
          <w:p>
            <w:pPr>
              <w:spacing w:after="0"/>
              <w:rPr>
                <w:sz w:val="8"/>
                <w:szCs w:val="8"/>
                <w:color w:val="auto"/>
              </w:rPr>
            </w:pPr>
          </w:p>
        </w:tc>
        <w:tc>
          <w:tcPr>
            <w:tcW w:w="62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Dollars in</w:t>
            </w:r>
          </w:p>
        </w:tc>
        <w:tc>
          <w:tcPr>
            <w:tcW w:w="18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Diluted</w:t>
            </w:r>
          </w:p>
        </w:tc>
        <w:tc>
          <w:tcPr>
            <w:tcW w:w="22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20" w:type="dxa"/>
            <w:vAlign w:val="bottom"/>
            <w:tcBorders>
              <w:top w:val="single" w:sz="8" w:color="auto"/>
            </w:tcBorders>
            <w:gridSpan w:val="2"/>
          </w:tcPr>
          <w:p>
            <w:pPr>
              <w:jc w:val="right"/>
              <w:ind w:right="440"/>
              <w:spacing w:after="0" w:line="97" w:lineRule="exact"/>
              <w:rPr>
                <w:sz w:val="20"/>
                <w:szCs w:val="20"/>
                <w:color w:val="auto"/>
              </w:rPr>
            </w:pPr>
            <w:r>
              <w:rPr>
                <w:rFonts w:ascii="Times New Roman" w:cs="Times New Roman" w:eastAsia="Times New Roman" w:hAnsi="Times New Roman"/>
                <w:sz w:val="10"/>
                <w:szCs w:val="10"/>
                <w:b w:val="1"/>
                <w:bCs w:val="1"/>
                <w:color w:val="auto"/>
              </w:rPr>
              <w:t>Dollars in</w:t>
            </w:r>
          </w:p>
        </w:tc>
        <w:tc>
          <w:tcPr>
            <w:tcW w:w="1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right"/>
              <w:ind w:right="212"/>
              <w:spacing w:after="0" w:line="97" w:lineRule="exact"/>
              <w:rPr>
                <w:sz w:val="20"/>
                <w:szCs w:val="20"/>
                <w:color w:val="auto"/>
              </w:rPr>
            </w:pPr>
            <w:r>
              <w:rPr>
                <w:rFonts w:ascii="Times New Roman" w:cs="Times New Roman" w:eastAsia="Times New Roman" w:hAnsi="Times New Roman"/>
                <w:sz w:val="10"/>
                <w:szCs w:val="10"/>
                <w:b w:val="1"/>
                <w:bCs w:val="1"/>
                <w:color w:val="auto"/>
              </w:rPr>
              <w:t>Diluted</w:t>
            </w:r>
          </w:p>
        </w:tc>
        <w:tc>
          <w:tcPr>
            <w:tcW w:w="2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gridSpan w:val="2"/>
          </w:tcPr>
          <w:p>
            <w:pPr>
              <w:jc w:val="right"/>
              <w:ind w:right="400"/>
              <w:spacing w:after="0" w:line="97" w:lineRule="exact"/>
              <w:rPr>
                <w:sz w:val="20"/>
                <w:szCs w:val="20"/>
                <w:color w:val="auto"/>
              </w:rPr>
            </w:pPr>
            <w:r>
              <w:rPr>
                <w:rFonts w:ascii="Times New Roman" w:cs="Times New Roman" w:eastAsia="Times New Roman" w:hAnsi="Times New Roman"/>
                <w:sz w:val="10"/>
                <w:szCs w:val="10"/>
                <w:b w:val="1"/>
                <w:bCs w:val="1"/>
                <w:color w:val="auto"/>
              </w:rPr>
              <w:t>Dollars in</w:t>
            </w:r>
          </w:p>
        </w:tc>
        <w:tc>
          <w:tcPr>
            <w:tcW w:w="1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right"/>
              <w:ind w:right="192"/>
              <w:spacing w:after="0" w:line="97" w:lineRule="exact"/>
              <w:rPr>
                <w:sz w:val="20"/>
                <w:szCs w:val="20"/>
                <w:color w:val="auto"/>
              </w:rPr>
            </w:pPr>
            <w:r>
              <w:rPr>
                <w:rFonts w:ascii="Times New Roman" w:cs="Times New Roman" w:eastAsia="Times New Roman" w:hAnsi="Times New Roman"/>
                <w:sz w:val="10"/>
                <w:szCs w:val="10"/>
                <w:b w:val="1"/>
                <w:bCs w:val="1"/>
                <w:color w:val="auto"/>
              </w:rPr>
              <w:t>Diluted</w:t>
            </w:r>
          </w:p>
        </w:tc>
        <w:tc>
          <w:tcPr>
            <w:tcW w:w="2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gridSpan w:val="2"/>
          </w:tcPr>
          <w:p>
            <w:pPr>
              <w:jc w:val="right"/>
              <w:ind w:right="400"/>
              <w:spacing w:after="0" w:line="97" w:lineRule="exact"/>
              <w:rPr>
                <w:sz w:val="20"/>
                <w:szCs w:val="20"/>
                <w:color w:val="auto"/>
              </w:rPr>
            </w:pPr>
            <w:r>
              <w:rPr>
                <w:rFonts w:ascii="Times New Roman" w:cs="Times New Roman" w:eastAsia="Times New Roman" w:hAnsi="Times New Roman"/>
                <w:sz w:val="10"/>
                <w:szCs w:val="10"/>
                <w:b w:val="1"/>
                <w:bCs w:val="1"/>
                <w:color w:val="auto"/>
              </w:rPr>
              <w:t>Dollars in</w:t>
            </w:r>
          </w:p>
        </w:tc>
        <w:tc>
          <w:tcPr>
            <w:tcW w:w="2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right"/>
              <w:ind w:right="192"/>
              <w:spacing w:after="0" w:line="97" w:lineRule="exact"/>
              <w:rPr>
                <w:sz w:val="20"/>
                <w:szCs w:val="20"/>
                <w:color w:val="auto"/>
              </w:rPr>
            </w:pPr>
            <w:r>
              <w:rPr>
                <w:rFonts w:ascii="Times New Roman" w:cs="Times New Roman" w:eastAsia="Times New Roman" w:hAnsi="Times New Roman"/>
                <w:sz w:val="10"/>
                <w:szCs w:val="10"/>
                <w:b w:val="1"/>
                <w:bCs w:val="1"/>
                <w:color w:val="auto"/>
              </w:rPr>
              <w:t>Diluted</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3280" w:type="dxa"/>
            <w:vAlign w:val="bottom"/>
          </w:tcPr>
          <w:p>
            <w:pPr>
              <w:spacing w:after="0"/>
              <w:rPr>
                <w:sz w:val="10"/>
                <w:szCs w:val="10"/>
                <w:color w:val="auto"/>
              </w:rPr>
            </w:pP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millions</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jc w:val="right"/>
              <w:ind w:right="5"/>
              <w:spacing w:after="0" w:line="117" w:lineRule="exact"/>
              <w:rPr>
                <w:sz w:val="20"/>
                <w:szCs w:val="20"/>
                <w:color w:val="auto"/>
              </w:rPr>
            </w:pPr>
            <w:r>
              <w:rPr>
                <w:rFonts w:ascii="Times New Roman" w:cs="Times New Roman" w:eastAsia="Times New Roman" w:hAnsi="Times New Roman"/>
                <w:sz w:val="8"/>
                <w:szCs w:val="8"/>
                <w:b w:val="1"/>
                <w:bCs w:val="1"/>
                <w:color w:val="auto"/>
              </w:rPr>
              <w:t xml:space="preserve">EPS </w:t>
            </w:r>
            <w:r>
              <w:rPr>
                <w:rFonts w:ascii="Times New Roman" w:cs="Times New Roman" w:eastAsia="Times New Roman" w:hAnsi="Times New Roman"/>
                <w:sz w:val="13"/>
                <w:szCs w:val="13"/>
                <w:b w:val="1"/>
                <w:bCs w:val="1"/>
                <w:color w:val="auto"/>
                <w:vertAlign w:val="superscript"/>
              </w:rPr>
              <w:t>(1)</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millions</w:t>
            </w:r>
          </w:p>
        </w:tc>
        <w:tc>
          <w:tcPr>
            <w:tcW w:w="180" w:type="dxa"/>
            <w:vAlign w:val="bottom"/>
          </w:tcPr>
          <w:p>
            <w:pPr>
              <w:spacing w:after="0"/>
              <w:rPr>
                <w:sz w:val="10"/>
                <w:szCs w:val="10"/>
                <w:color w:val="auto"/>
              </w:rPr>
            </w:pPr>
          </w:p>
        </w:tc>
        <w:tc>
          <w:tcPr>
            <w:tcW w:w="820" w:type="dxa"/>
            <w:vAlign w:val="bottom"/>
            <w:gridSpan w:val="2"/>
          </w:tcPr>
          <w:p>
            <w:pPr>
              <w:jc w:val="right"/>
              <w:ind w:right="460"/>
              <w:spacing w:after="0" w:line="117" w:lineRule="exact"/>
              <w:rPr>
                <w:sz w:val="20"/>
                <w:szCs w:val="20"/>
                <w:color w:val="auto"/>
              </w:rPr>
            </w:pPr>
            <w:r>
              <w:rPr>
                <w:rFonts w:ascii="Times New Roman" w:cs="Times New Roman" w:eastAsia="Times New Roman" w:hAnsi="Times New Roman"/>
                <w:sz w:val="8"/>
                <w:szCs w:val="8"/>
                <w:b w:val="1"/>
                <w:bCs w:val="1"/>
                <w:color w:val="auto"/>
              </w:rPr>
              <w:t xml:space="preserve">EPS </w:t>
            </w:r>
            <w:r>
              <w:rPr>
                <w:rFonts w:ascii="Times New Roman" w:cs="Times New Roman" w:eastAsia="Times New Roman" w:hAnsi="Times New Roman"/>
                <w:sz w:val="13"/>
                <w:szCs w:val="13"/>
                <w:b w:val="1"/>
                <w:bCs w:val="1"/>
                <w:color w:val="auto"/>
                <w:vertAlign w:val="superscript"/>
              </w:rPr>
              <w:t>(1)</w:t>
            </w:r>
          </w:p>
        </w:tc>
        <w:tc>
          <w:tcPr>
            <w:tcW w:w="120" w:type="dxa"/>
            <w:vAlign w:val="bottom"/>
          </w:tcPr>
          <w:p>
            <w:pPr>
              <w:spacing w:after="0"/>
              <w:rPr>
                <w:sz w:val="10"/>
                <w:szCs w:val="10"/>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millions</w:t>
            </w:r>
          </w:p>
        </w:tc>
        <w:tc>
          <w:tcPr>
            <w:tcW w:w="140" w:type="dxa"/>
            <w:vAlign w:val="bottom"/>
          </w:tcPr>
          <w:p>
            <w:pPr>
              <w:spacing w:after="0"/>
              <w:rPr>
                <w:sz w:val="10"/>
                <w:szCs w:val="10"/>
                <w:color w:val="auto"/>
              </w:rPr>
            </w:pPr>
          </w:p>
        </w:tc>
        <w:tc>
          <w:tcPr>
            <w:tcW w:w="860" w:type="dxa"/>
            <w:vAlign w:val="bottom"/>
            <w:gridSpan w:val="2"/>
          </w:tcPr>
          <w:p>
            <w:pPr>
              <w:jc w:val="right"/>
              <w:ind w:right="460"/>
              <w:spacing w:after="0" w:line="117" w:lineRule="exact"/>
              <w:rPr>
                <w:sz w:val="20"/>
                <w:szCs w:val="20"/>
                <w:color w:val="auto"/>
              </w:rPr>
            </w:pPr>
            <w:r>
              <w:rPr>
                <w:rFonts w:ascii="Times New Roman" w:cs="Times New Roman" w:eastAsia="Times New Roman" w:hAnsi="Times New Roman"/>
                <w:sz w:val="8"/>
                <w:szCs w:val="8"/>
                <w:b w:val="1"/>
                <w:bCs w:val="1"/>
                <w:color w:val="auto"/>
              </w:rPr>
              <w:t xml:space="preserve">EPS </w:t>
            </w:r>
            <w:r>
              <w:rPr>
                <w:rFonts w:ascii="Times New Roman" w:cs="Times New Roman" w:eastAsia="Times New Roman" w:hAnsi="Times New Roman"/>
                <w:sz w:val="13"/>
                <w:szCs w:val="13"/>
                <w:b w:val="1"/>
                <w:bCs w:val="1"/>
                <w:color w:val="auto"/>
                <w:vertAlign w:val="superscript"/>
              </w:rPr>
              <w:t>(1)</w:t>
            </w:r>
          </w:p>
        </w:tc>
        <w:tc>
          <w:tcPr>
            <w:tcW w:w="120" w:type="dxa"/>
            <w:vAlign w:val="bottom"/>
          </w:tcPr>
          <w:p>
            <w:pPr>
              <w:spacing w:after="0"/>
              <w:rPr>
                <w:sz w:val="10"/>
                <w:szCs w:val="10"/>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millions</w:t>
            </w:r>
          </w:p>
        </w:tc>
        <w:tc>
          <w:tcPr>
            <w:tcW w:w="200" w:type="dxa"/>
            <w:vAlign w:val="bottom"/>
          </w:tcPr>
          <w:p>
            <w:pPr>
              <w:spacing w:after="0"/>
              <w:rPr>
                <w:sz w:val="10"/>
                <w:szCs w:val="10"/>
                <w:color w:val="auto"/>
              </w:rPr>
            </w:pPr>
          </w:p>
        </w:tc>
        <w:tc>
          <w:tcPr>
            <w:tcW w:w="700" w:type="dxa"/>
            <w:vAlign w:val="bottom"/>
            <w:gridSpan w:val="2"/>
          </w:tcPr>
          <w:p>
            <w:pPr>
              <w:jc w:val="right"/>
              <w:ind w:right="360"/>
              <w:spacing w:after="0" w:line="117" w:lineRule="exact"/>
              <w:rPr>
                <w:sz w:val="20"/>
                <w:szCs w:val="20"/>
                <w:color w:val="auto"/>
              </w:rPr>
            </w:pPr>
            <w:r>
              <w:rPr>
                <w:rFonts w:ascii="Times New Roman" w:cs="Times New Roman" w:eastAsia="Times New Roman" w:hAnsi="Times New Roman"/>
                <w:sz w:val="8"/>
                <w:szCs w:val="8"/>
                <w:b w:val="1"/>
                <w:bCs w:val="1"/>
                <w:color w:val="auto"/>
              </w:rPr>
              <w:t xml:space="preserve">EPS </w:t>
            </w:r>
            <w:r>
              <w:rPr>
                <w:rFonts w:ascii="Times New Roman" w:cs="Times New Roman" w:eastAsia="Times New Roman" w:hAnsi="Times New Roman"/>
                <w:sz w:val="13"/>
                <w:szCs w:val="13"/>
                <w:b w:val="1"/>
                <w:bCs w:val="1"/>
                <w:color w:val="auto"/>
                <w:vertAlign w:val="superscript"/>
              </w:rPr>
              <w:t>(1)</w:t>
            </w:r>
          </w:p>
        </w:tc>
        <w:tc>
          <w:tcPr>
            <w:tcW w:w="0" w:type="dxa"/>
            <w:vAlign w:val="bottom"/>
          </w:tcPr>
          <w:p>
            <w:pPr>
              <w:spacing w:after="0"/>
              <w:rPr>
                <w:sz w:val="1"/>
                <w:szCs w:val="1"/>
                <w:color w:val="auto"/>
              </w:rPr>
            </w:pPr>
          </w:p>
        </w:tc>
      </w:tr>
      <w:tr>
        <w:trPr>
          <w:trHeight w:val="70"/>
        </w:trPr>
        <w:tc>
          <w:tcPr>
            <w:tcW w:w="3280" w:type="dxa"/>
            <w:vAlign w:val="bottom"/>
            <w:tcBorders>
              <w:top w:val="single" w:sz="8" w:color="CCEEFF"/>
            </w:tcBorders>
            <w:shd w:val="clear" w:color="auto" w:fill="CCEEFF"/>
          </w:tcPr>
          <w:p>
            <w:pPr>
              <w:spacing w:after="0" w:line="70" w:lineRule="exact"/>
              <w:rPr>
                <w:sz w:val="20"/>
                <w:szCs w:val="20"/>
                <w:color w:val="auto"/>
              </w:rPr>
            </w:pPr>
            <w:r>
              <w:rPr>
                <w:rFonts w:ascii="Times New Roman" w:cs="Times New Roman" w:eastAsia="Times New Roman" w:hAnsi="Times New Roman"/>
                <w:sz w:val="8"/>
                <w:szCs w:val="8"/>
                <w:b w:val="1"/>
                <w:bCs w:val="1"/>
                <w:color w:val="auto"/>
              </w:rPr>
              <w:t>Consolidated income (loss) available to common shareholders and diluted</w:t>
            </w:r>
          </w:p>
        </w:tc>
        <w:tc>
          <w:tcPr>
            <w:tcW w:w="62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68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spacing w:after="0"/>
              <w:rPr>
                <w:sz w:val="6"/>
                <w:szCs w:val="6"/>
                <w:color w:val="auto"/>
              </w:rPr>
            </w:pPr>
          </w:p>
        </w:tc>
        <w:tc>
          <w:tcPr>
            <w:tcW w:w="62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68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rPr>
                <w:sz w:val="6"/>
                <w:szCs w:val="6"/>
                <w:color w:val="auto"/>
              </w:rPr>
            </w:pPr>
          </w:p>
        </w:tc>
        <w:tc>
          <w:tcPr>
            <w:tcW w:w="64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auto"/>
            </w:tcBorders>
            <w:shd w:val="clear" w:color="auto" w:fill="CCEEFF"/>
          </w:tcPr>
          <w:p>
            <w:pPr>
              <w:spacing w:after="0"/>
              <w:rPr>
                <w:sz w:val="6"/>
                <w:szCs w:val="6"/>
                <w:color w:val="auto"/>
              </w:rPr>
            </w:pPr>
          </w:p>
        </w:tc>
        <w:tc>
          <w:tcPr>
            <w:tcW w:w="58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0"/>
                <w:szCs w:val="10"/>
                <w:b w:val="1"/>
                <w:bCs w:val="1"/>
                <w:color w:val="auto"/>
              </w:rPr>
              <w:t xml:space="preserve">EPS on a GAAP basis </w:t>
            </w:r>
            <w:r>
              <w:rPr>
                <w:rFonts w:ascii="Times New Roman" w:cs="Times New Roman" w:eastAsia="Times New Roman" w:hAnsi="Times New Roman"/>
                <w:sz w:val="15"/>
                <w:szCs w:val="15"/>
                <w:b w:val="1"/>
                <w:bCs w:val="1"/>
                <w:color w:val="auto"/>
                <w:vertAlign w:val="superscript"/>
              </w:rPr>
              <w:t>(1)</w:t>
            </w:r>
          </w:p>
        </w:tc>
        <w:tc>
          <w:tcPr>
            <w:tcW w:w="62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878</w:t>
            </w:r>
          </w:p>
        </w:tc>
        <w:tc>
          <w:tcPr>
            <w:tcW w:w="580" w:type="dxa"/>
            <w:vAlign w:val="bottom"/>
            <w:shd w:val="clear" w:color="auto" w:fill="CCEEFF"/>
          </w:tcPr>
          <w:p>
            <w:pPr>
              <w:jc w:val="right"/>
              <w:ind w:right="505"/>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1.44</w:t>
            </w:r>
          </w:p>
        </w:tc>
        <w:tc>
          <w:tcPr>
            <w:tcW w:w="1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818</w:t>
            </w:r>
          </w:p>
        </w:tc>
        <w:tc>
          <w:tcPr>
            <w:tcW w:w="1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1.34</w:t>
            </w:r>
          </w:p>
        </w:tc>
        <w:tc>
          <w:tcPr>
            <w:tcW w:w="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(305)</w:t>
            </w:r>
          </w:p>
        </w:tc>
        <w:tc>
          <w:tcPr>
            <w:tcW w:w="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(0.50)</w:t>
            </w:r>
          </w:p>
        </w:tc>
        <w:tc>
          <w:tcPr>
            <w:tcW w:w="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1,391</w:t>
            </w:r>
          </w:p>
        </w:tc>
        <w:tc>
          <w:tcPr>
            <w:tcW w:w="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2.28</w:t>
            </w:r>
          </w:p>
        </w:tc>
        <w:tc>
          <w:tcPr>
            <w:tcW w:w="0" w:type="dxa"/>
            <w:vAlign w:val="bottom"/>
          </w:tcPr>
          <w:p>
            <w:pPr>
              <w:spacing w:after="0"/>
              <w:rPr>
                <w:sz w:val="1"/>
                <w:szCs w:val="1"/>
                <w:color w:val="auto"/>
              </w:rPr>
            </w:pPr>
          </w:p>
        </w:tc>
      </w:tr>
      <w:tr>
        <w:trPr>
          <w:trHeight w:val="99"/>
        </w:trPr>
        <w:tc>
          <w:tcPr>
            <w:tcW w:w="3280" w:type="dxa"/>
            <w:vAlign w:val="bottom"/>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ZENS-related mark-to-market (gains) losses:</w:t>
            </w: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32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9"/>
                <w:szCs w:val="9"/>
                <w:color w:val="auto"/>
              </w:rPr>
              <w:t xml:space="preserve">Equity securities (net of taxes of $11) </w:t>
            </w:r>
            <w:r>
              <w:rPr>
                <w:rFonts w:ascii="Times New Roman" w:cs="Times New Roman" w:eastAsia="Times New Roman" w:hAnsi="Times New Roman"/>
                <w:sz w:val="14"/>
                <w:szCs w:val="14"/>
                <w:color w:val="auto"/>
                <w:vertAlign w:val="superscript"/>
              </w:rPr>
              <w:t>(2)(3)</w:t>
            </w:r>
          </w:p>
        </w:tc>
        <w:tc>
          <w:tcPr>
            <w:tcW w:w="62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40</w:t>
            </w:r>
          </w:p>
        </w:tc>
        <w:tc>
          <w:tcPr>
            <w:tcW w:w="14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0.07</w:t>
            </w:r>
          </w:p>
        </w:tc>
        <w:tc>
          <w:tcPr>
            <w:tcW w:w="12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40</w:t>
            </w:r>
          </w:p>
        </w:tc>
        <w:tc>
          <w:tcPr>
            <w:tcW w:w="2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0.07</w:t>
            </w:r>
          </w:p>
        </w:tc>
        <w:tc>
          <w:tcPr>
            <w:tcW w:w="0" w:type="dxa"/>
            <w:vAlign w:val="bottom"/>
          </w:tcPr>
          <w:p>
            <w:pPr>
              <w:spacing w:after="0"/>
              <w:rPr>
                <w:sz w:val="1"/>
                <w:szCs w:val="1"/>
                <w:color w:val="auto"/>
              </w:rPr>
            </w:pPr>
          </w:p>
        </w:tc>
      </w:tr>
      <w:tr>
        <w:trPr>
          <w:trHeight w:val="126"/>
        </w:trPr>
        <w:tc>
          <w:tcPr>
            <w:tcW w:w="3280" w:type="dxa"/>
            <w:vAlign w:val="bottom"/>
          </w:tcPr>
          <w:p>
            <w:pPr>
              <w:spacing w:after="0" w:line="126" w:lineRule="exact"/>
              <w:rPr>
                <w:sz w:val="20"/>
                <w:szCs w:val="20"/>
                <w:color w:val="auto"/>
              </w:rPr>
            </w:pPr>
            <w:r>
              <w:rPr>
                <w:rFonts w:ascii="Times New Roman" w:cs="Times New Roman" w:eastAsia="Times New Roman" w:hAnsi="Times New Roman"/>
                <w:sz w:val="9"/>
                <w:szCs w:val="9"/>
                <w:color w:val="auto"/>
              </w:rPr>
              <w:t xml:space="preserve">Indexed debt securities (net of taxes of $11) </w:t>
            </w:r>
            <w:r>
              <w:rPr>
                <w:rFonts w:ascii="Times New Roman" w:cs="Times New Roman" w:eastAsia="Times New Roman" w:hAnsi="Times New Roman"/>
                <w:sz w:val="14"/>
                <w:szCs w:val="14"/>
                <w:color w:val="auto"/>
                <w:vertAlign w:val="superscript"/>
              </w:rPr>
              <w:t>(2)</w:t>
            </w:r>
          </w:p>
        </w:tc>
        <w:tc>
          <w:tcPr>
            <w:tcW w:w="620" w:type="dxa"/>
            <w:vAlign w:val="bottom"/>
          </w:tcPr>
          <w:p>
            <w:pPr>
              <w:spacing w:after="0"/>
              <w:rPr>
                <w:sz w:val="10"/>
                <w:szCs w:val="10"/>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10"/>
                <w:szCs w:val="1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(39)</w:t>
            </w:r>
          </w:p>
        </w:tc>
        <w:tc>
          <w:tcPr>
            <w:tcW w:w="140" w:type="dxa"/>
            <w:vAlign w:val="bottom"/>
          </w:tcPr>
          <w:p>
            <w:pPr>
              <w:spacing w:after="0"/>
              <w:rPr>
                <w:sz w:val="10"/>
                <w:szCs w:val="1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(0.06)</w:t>
            </w:r>
          </w:p>
        </w:tc>
        <w:tc>
          <w:tcPr>
            <w:tcW w:w="120" w:type="dxa"/>
            <w:vAlign w:val="bottom"/>
          </w:tcPr>
          <w:p>
            <w:pPr>
              <w:spacing w:after="0"/>
              <w:rPr>
                <w:sz w:val="10"/>
                <w:szCs w:val="1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(39)</w:t>
            </w:r>
          </w:p>
        </w:tc>
        <w:tc>
          <w:tcPr>
            <w:tcW w:w="200" w:type="dxa"/>
            <w:vAlign w:val="bottom"/>
          </w:tcPr>
          <w:p>
            <w:pPr>
              <w:spacing w:after="0"/>
              <w:rPr>
                <w:sz w:val="10"/>
                <w:szCs w:val="1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(0.06)</w:t>
            </w:r>
          </w:p>
        </w:tc>
        <w:tc>
          <w:tcPr>
            <w:tcW w:w="0" w:type="dxa"/>
            <w:vAlign w:val="bottom"/>
          </w:tcPr>
          <w:p>
            <w:pPr>
              <w:spacing w:after="0"/>
              <w:rPr>
                <w:sz w:val="1"/>
                <w:szCs w:val="1"/>
                <w:color w:val="auto"/>
              </w:rPr>
            </w:pPr>
          </w:p>
        </w:tc>
      </w:tr>
      <w:tr>
        <w:trPr>
          <w:trHeight w:val="126"/>
        </w:trPr>
        <w:tc>
          <w:tcPr>
            <w:tcW w:w="32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9"/>
                <w:szCs w:val="9"/>
                <w:b w:val="1"/>
                <w:bCs w:val="1"/>
                <w:color w:val="auto"/>
              </w:rPr>
              <w:t xml:space="preserve">Impacts associated with gas LDC sales (net of taxes of $2, $3) </w:t>
            </w:r>
            <w:r>
              <w:rPr>
                <w:rFonts w:ascii="Times New Roman" w:cs="Times New Roman" w:eastAsia="Times New Roman" w:hAnsi="Times New Roman"/>
                <w:sz w:val="14"/>
                <w:szCs w:val="14"/>
                <w:b w:val="1"/>
                <w:bCs w:val="1"/>
                <w:color w:val="auto"/>
                <w:vertAlign w:val="superscript"/>
              </w:rPr>
              <w:t>(2) (4)</w:t>
            </w:r>
          </w:p>
        </w:tc>
        <w:tc>
          <w:tcPr>
            <w:tcW w:w="62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(4)</w:t>
            </w:r>
          </w:p>
        </w:tc>
        <w:tc>
          <w:tcPr>
            <w:tcW w:w="5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w w:val="99"/>
              </w:rPr>
              <w:t>(0.01)</w:t>
            </w:r>
          </w:p>
        </w:tc>
        <w:tc>
          <w:tcPr>
            <w:tcW w:w="12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5</w:t>
            </w:r>
          </w:p>
        </w:tc>
        <w:tc>
          <w:tcPr>
            <w:tcW w:w="14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0.01</w:t>
            </w:r>
          </w:p>
        </w:tc>
        <w:tc>
          <w:tcPr>
            <w:tcW w:w="12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1</w:t>
            </w:r>
          </w:p>
        </w:tc>
        <w:tc>
          <w:tcPr>
            <w:tcW w:w="2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0"/>
        </w:trPr>
        <w:tc>
          <w:tcPr>
            <w:tcW w:w="3280" w:type="dxa"/>
            <w:vAlign w:val="bottom"/>
          </w:tcPr>
          <w:p>
            <w:pPr>
              <w:spacing w:after="0" w:line="90" w:lineRule="exact"/>
              <w:rPr>
                <w:sz w:val="20"/>
                <w:szCs w:val="20"/>
                <w:color w:val="auto"/>
              </w:rPr>
            </w:pPr>
            <w:r>
              <w:rPr>
                <w:rFonts w:ascii="Times New Roman" w:cs="Times New Roman" w:eastAsia="Times New Roman" w:hAnsi="Times New Roman"/>
                <w:sz w:val="10"/>
                <w:szCs w:val="10"/>
                <w:b w:val="1"/>
                <w:bCs w:val="1"/>
                <w:color w:val="auto"/>
              </w:rPr>
              <w:t>Cost associated with the early extinguishment of debt (net of taxes of $7)</w:t>
            </w: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328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(2)</w:t>
            </w:r>
          </w:p>
        </w:tc>
        <w:tc>
          <w:tcPr>
            <w:tcW w:w="620" w:type="dxa"/>
            <w:vAlign w:val="bottom"/>
          </w:tcPr>
          <w:p>
            <w:pPr>
              <w:spacing w:after="0"/>
              <w:rPr>
                <w:sz w:val="10"/>
                <w:szCs w:val="10"/>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10"/>
                <w:szCs w:val="1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27</w:t>
            </w:r>
          </w:p>
        </w:tc>
        <w:tc>
          <w:tcPr>
            <w:tcW w:w="140" w:type="dxa"/>
            <w:vAlign w:val="bottom"/>
          </w:tcPr>
          <w:p>
            <w:pPr>
              <w:spacing w:after="0"/>
              <w:rPr>
                <w:sz w:val="10"/>
                <w:szCs w:val="1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0.04</w:t>
            </w:r>
          </w:p>
        </w:tc>
        <w:tc>
          <w:tcPr>
            <w:tcW w:w="120" w:type="dxa"/>
            <w:vAlign w:val="bottom"/>
          </w:tcPr>
          <w:p>
            <w:pPr>
              <w:spacing w:after="0"/>
              <w:rPr>
                <w:sz w:val="10"/>
                <w:szCs w:val="1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27</w:t>
            </w:r>
          </w:p>
        </w:tc>
        <w:tc>
          <w:tcPr>
            <w:tcW w:w="200" w:type="dxa"/>
            <w:vAlign w:val="bottom"/>
          </w:tcPr>
          <w:p>
            <w:pPr>
              <w:spacing w:after="0"/>
              <w:rPr>
                <w:sz w:val="10"/>
                <w:szCs w:val="1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0.04</w:t>
            </w:r>
          </w:p>
        </w:tc>
        <w:tc>
          <w:tcPr>
            <w:tcW w:w="0" w:type="dxa"/>
            <w:vAlign w:val="bottom"/>
          </w:tcPr>
          <w:p>
            <w:pPr>
              <w:spacing w:after="0"/>
              <w:rPr>
                <w:sz w:val="1"/>
                <w:szCs w:val="1"/>
                <w:color w:val="auto"/>
              </w:rPr>
            </w:pPr>
          </w:p>
        </w:tc>
      </w:tr>
      <w:tr>
        <w:trPr>
          <w:trHeight w:val="99"/>
        </w:trPr>
        <w:tc>
          <w:tcPr>
            <w:tcW w:w="328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Impacts associated with Enable &amp; Energy Transfer merger:</w:t>
            </w:r>
          </w:p>
        </w:tc>
        <w:tc>
          <w:tcPr>
            <w:tcW w:w="6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3280" w:type="dxa"/>
            <w:vAlign w:val="bottom"/>
          </w:tcPr>
          <w:p>
            <w:pPr>
              <w:spacing w:after="0" w:line="126" w:lineRule="exact"/>
              <w:rPr>
                <w:sz w:val="20"/>
                <w:szCs w:val="20"/>
                <w:color w:val="auto"/>
              </w:rPr>
            </w:pPr>
            <w:r>
              <w:rPr>
                <w:rFonts w:ascii="Times New Roman" w:cs="Times New Roman" w:eastAsia="Times New Roman" w:hAnsi="Times New Roman"/>
                <w:sz w:val="9"/>
                <w:szCs w:val="9"/>
                <w:color w:val="auto"/>
              </w:rPr>
              <w:t xml:space="preserve">Gain at merger close, net of transaction costs (net of taxes of $134 and $0) </w:t>
            </w:r>
            <w:r>
              <w:rPr>
                <w:rFonts w:ascii="Times New Roman" w:cs="Times New Roman" w:eastAsia="Times New Roman" w:hAnsi="Times New Roman"/>
                <w:sz w:val="14"/>
                <w:szCs w:val="14"/>
                <w:color w:val="auto"/>
                <w:vertAlign w:val="superscript"/>
              </w:rPr>
              <w:t>(2)</w:t>
            </w:r>
          </w:p>
        </w:tc>
        <w:tc>
          <w:tcPr>
            <w:tcW w:w="620" w:type="dxa"/>
            <w:vAlign w:val="bottom"/>
          </w:tcPr>
          <w:p>
            <w:pPr>
              <w:spacing w:after="0"/>
              <w:rPr>
                <w:sz w:val="10"/>
                <w:szCs w:val="10"/>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10"/>
                <w:szCs w:val="1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(546)</w:t>
            </w:r>
          </w:p>
        </w:tc>
        <w:tc>
          <w:tcPr>
            <w:tcW w:w="180" w:type="dxa"/>
            <w:vAlign w:val="bottom"/>
          </w:tcPr>
          <w:p>
            <w:pPr>
              <w:spacing w:after="0"/>
              <w:rPr>
                <w:sz w:val="10"/>
                <w:szCs w:val="1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(0.90)</w:t>
            </w:r>
          </w:p>
        </w:tc>
        <w:tc>
          <w:tcPr>
            <w:tcW w:w="120" w:type="dxa"/>
            <w:vAlign w:val="bottom"/>
          </w:tcPr>
          <w:p>
            <w:pPr>
              <w:spacing w:after="0"/>
              <w:rPr>
                <w:sz w:val="10"/>
                <w:szCs w:val="1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w:t>
            </w:r>
          </w:p>
        </w:tc>
        <w:tc>
          <w:tcPr>
            <w:tcW w:w="140" w:type="dxa"/>
            <w:vAlign w:val="bottom"/>
          </w:tcPr>
          <w:p>
            <w:pPr>
              <w:spacing w:after="0"/>
              <w:rPr>
                <w:sz w:val="10"/>
                <w:szCs w:val="1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(547)</w:t>
            </w:r>
          </w:p>
        </w:tc>
        <w:tc>
          <w:tcPr>
            <w:tcW w:w="200" w:type="dxa"/>
            <w:vAlign w:val="bottom"/>
          </w:tcPr>
          <w:p>
            <w:pPr>
              <w:spacing w:after="0"/>
              <w:rPr>
                <w:sz w:val="10"/>
                <w:szCs w:val="1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(0.90)</w:t>
            </w:r>
          </w:p>
        </w:tc>
        <w:tc>
          <w:tcPr>
            <w:tcW w:w="0" w:type="dxa"/>
            <w:vAlign w:val="bottom"/>
          </w:tcPr>
          <w:p>
            <w:pPr>
              <w:spacing w:after="0"/>
              <w:rPr>
                <w:sz w:val="1"/>
                <w:szCs w:val="1"/>
                <w:color w:val="auto"/>
              </w:rPr>
            </w:pPr>
          </w:p>
        </w:tc>
      </w:tr>
      <w:tr>
        <w:trPr>
          <w:trHeight w:val="126"/>
        </w:trPr>
        <w:tc>
          <w:tcPr>
            <w:tcW w:w="32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9"/>
                <w:szCs w:val="9"/>
                <w:color w:val="auto"/>
              </w:rPr>
              <w:t xml:space="preserve">Loss on equity securities (net of taxes of $24) </w:t>
            </w:r>
            <w:r>
              <w:rPr>
                <w:rFonts w:ascii="Times New Roman" w:cs="Times New Roman" w:eastAsia="Times New Roman" w:hAnsi="Times New Roman"/>
                <w:sz w:val="14"/>
                <w:szCs w:val="14"/>
                <w:color w:val="auto"/>
                <w:vertAlign w:val="superscript"/>
              </w:rPr>
              <w:t>(2)(5)</w:t>
            </w:r>
          </w:p>
        </w:tc>
        <w:tc>
          <w:tcPr>
            <w:tcW w:w="62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98</w:t>
            </w:r>
          </w:p>
        </w:tc>
        <w:tc>
          <w:tcPr>
            <w:tcW w:w="14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0.16</w:t>
            </w:r>
          </w:p>
        </w:tc>
        <w:tc>
          <w:tcPr>
            <w:tcW w:w="12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98</w:t>
            </w:r>
          </w:p>
        </w:tc>
        <w:tc>
          <w:tcPr>
            <w:tcW w:w="2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0.16</w:t>
            </w:r>
          </w:p>
        </w:tc>
        <w:tc>
          <w:tcPr>
            <w:tcW w:w="0" w:type="dxa"/>
            <w:vAlign w:val="bottom"/>
          </w:tcPr>
          <w:p>
            <w:pPr>
              <w:spacing w:after="0"/>
              <w:rPr>
                <w:sz w:val="1"/>
                <w:szCs w:val="1"/>
                <w:color w:val="auto"/>
              </w:rPr>
            </w:pPr>
          </w:p>
        </w:tc>
      </w:tr>
      <w:tr>
        <w:trPr>
          <w:trHeight w:val="126"/>
        </w:trPr>
        <w:tc>
          <w:tcPr>
            <w:tcW w:w="3280" w:type="dxa"/>
            <w:vAlign w:val="bottom"/>
          </w:tcPr>
          <w:p>
            <w:pPr>
              <w:spacing w:after="0" w:line="126" w:lineRule="exact"/>
              <w:rPr>
                <w:sz w:val="20"/>
                <w:szCs w:val="20"/>
                <w:color w:val="auto"/>
              </w:rPr>
            </w:pPr>
            <w:r>
              <w:rPr>
                <w:rFonts w:ascii="Times New Roman" w:cs="Times New Roman" w:eastAsia="Times New Roman" w:hAnsi="Times New Roman"/>
                <w:sz w:val="9"/>
                <w:szCs w:val="9"/>
                <w:color w:val="auto"/>
              </w:rPr>
              <w:t xml:space="preserve">Costs associated with the early extinguishment of debt (net of taxes of $1) </w:t>
            </w:r>
            <w:r>
              <w:rPr>
                <w:rFonts w:ascii="Times New Roman" w:cs="Times New Roman" w:eastAsia="Times New Roman" w:hAnsi="Times New Roman"/>
                <w:sz w:val="14"/>
                <w:szCs w:val="14"/>
                <w:color w:val="auto"/>
                <w:vertAlign w:val="superscript"/>
              </w:rPr>
              <w:t>(2)</w:t>
            </w:r>
          </w:p>
        </w:tc>
        <w:tc>
          <w:tcPr>
            <w:tcW w:w="620" w:type="dxa"/>
            <w:vAlign w:val="bottom"/>
          </w:tcPr>
          <w:p>
            <w:pPr>
              <w:spacing w:after="0"/>
              <w:rPr>
                <w:sz w:val="10"/>
                <w:szCs w:val="10"/>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10"/>
                <w:szCs w:val="1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6</w:t>
            </w:r>
          </w:p>
        </w:tc>
        <w:tc>
          <w:tcPr>
            <w:tcW w:w="140" w:type="dxa"/>
            <w:vAlign w:val="bottom"/>
          </w:tcPr>
          <w:p>
            <w:pPr>
              <w:spacing w:after="0"/>
              <w:rPr>
                <w:sz w:val="10"/>
                <w:szCs w:val="1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0.01</w:t>
            </w:r>
          </w:p>
        </w:tc>
        <w:tc>
          <w:tcPr>
            <w:tcW w:w="120" w:type="dxa"/>
            <w:vAlign w:val="bottom"/>
          </w:tcPr>
          <w:p>
            <w:pPr>
              <w:spacing w:after="0"/>
              <w:rPr>
                <w:sz w:val="10"/>
                <w:szCs w:val="1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6</w:t>
            </w:r>
          </w:p>
        </w:tc>
        <w:tc>
          <w:tcPr>
            <w:tcW w:w="200" w:type="dxa"/>
            <w:vAlign w:val="bottom"/>
          </w:tcPr>
          <w:p>
            <w:pPr>
              <w:spacing w:after="0"/>
              <w:rPr>
                <w:sz w:val="10"/>
                <w:szCs w:val="1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0.01</w:t>
            </w:r>
          </w:p>
        </w:tc>
        <w:tc>
          <w:tcPr>
            <w:tcW w:w="0" w:type="dxa"/>
            <w:vAlign w:val="bottom"/>
          </w:tcPr>
          <w:p>
            <w:pPr>
              <w:spacing w:after="0"/>
              <w:rPr>
                <w:sz w:val="1"/>
                <w:szCs w:val="1"/>
                <w:color w:val="auto"/>
              </w:rPr>
            </w:pPr>
          </w:p>
        </w:tc>
      </w:tr>
      <w:tr>
        <w:trPr>
          <w:trHeight w:val="90"/>
        </w:trPr>
        <w:tc>
          <w:tcPr>
            <w:tcW w:w="3280" w:type="dxa"/>
            <w:vAlign w:val="bottom"/>
            <w:shd w:val="clear" w:color="auto" w:fill="CCEEFF"/>
          </w:tcPr>
          <w:p>
            <w:pPr>
              <w:spacing w:after="0" w:line="90" w:lineRule="exact"/>
              <w:rPr>
                <w:sz w:val="20"/>
                <w:szCs w:val="20"/>
                <w:color w:val="auto"/>
              </w:rPr>
            </w:pPr>
            <w:r>
              <w:rPr>
                <w:rFonts w:ascii="Times New Roman" w:cs="Times New Roman" w:eastAsia="Times New Roman" w:hAnsi="Times New Roman"/>
                <w:sz w:val="10"/>
                <w:szCs w:val="10"/>
                <w:b w:val="1"/>
                <w:bCs w:val="1"/>
                <w:color w:val="auto"/>
              </w:rPr>
              <w:t>Impacts associated with other mergers and divestitures (net of taxes of $2,</w:t>
            </w:r>
          </w:p>
        </w:tc>
        <w:tc>
          <w:tcPr>
            <w:tcW w:w="6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5"/>
                <w:szCs w:val="15"/>
                <w:b w:val="1"/>
                <w:bCs w:val="1"/>
                <w:color w:val="auto"/>
                <w:vertAlign w:val="subscript"/>
              </w:rPr>
              <w:t>$13)</w:t>
            </w:r>
            <w:r>
              <w:rPr>
                <w:rFonts w:ascii="Times New Roman" w:cs="Times New Roman" w:eastAsia="Times New Roman" w:hAnsi="Times New Roman"/>
                <w:sz w:val="7"/>
                <w:szCs w:val="7"/>
                <w:b w:val="1"/>
                <w:bCs w:val="1"/>
                <w:color w:val="auto"/>
              </w:rPr>
              <w:t xml:space="preserve"> (2)(6)</w:t>
            </w:r>
          </w:p>
        </w:tc>
        <w:tc>
          <w:tcPr>
            <w:tcW w:w="6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4</w:t>
            </w:r>
          </w:p>
        </w:tc>
        <w:tc>
          <w:tcPr>
            <w:tcW w:w="5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0.01</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20</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0.03</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24</w:t>
            </w:r>
          </w:p>
        </w:tc>
        <w:tc>
          <w:tcPr>
            <w:tcW w:w="2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0.04</w:t>
            </w:r>
          </w:p>
        </w:tc>
        <w:tc>
          <w:tcPr>
            <w:tcW w:w="0" w:type="dxa"/>
            <w:vAlign w:val="bottom"/>
          </w:tcPr>
          <w:p>
            <w:pPr>
              <w:spacing w:after="0"/>
              <w:rPr>
                <w:sz w:val="1"/>
                <w:szCs w:val="1"/>
                <w:color w:val="auto"/>
              </w:rPr>
            </w:pPr>
          </w:p>
        </w:tc>
      </w:tr>
      <w:tr>
        <w:trPr>
          <w:trHeight w:val="108"/>
        </w:trPr>
        <w:tc>
          <w:tcPr>
            <w:tcW w:w="3280" w:type="dxa"/>
            <w:vAlign w:val="bottom"/>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Corporate and Other Allocation</w:t>
            </w:r>
          </w:p>
        </w:tc>
        <w:tc>
          <w:tcPr>
            <w:tcW w:w="620" w:type="dxa"/>
            <w:vAlign w:val="bottom"/>
          </w:tcPr>
          <w:p>
            <w:pPr>
              <w:spacing w:after="0"/>
              <w:rPr>
                <w:sz w:val="9"/>
                <w:szCs w:val="9"/>
                <w:color w:val="auto"/>
              </w:rPr>
            </w:pPr>
          </w:p>
        </w:tc>
        <w:tc>
          <w:tcPr>
            <w:tcW w:w="42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w w:val="92"/>
              </w:rPr>
              <w:t>(105)</w:t>
            </w:r>
          </w:p>
        </w:tc>
        <w:tc>
          <w:tcPr>
            <w:tcW w:w="580" w:type="dxa"/>
            <w:vAlign w:val="bottom"/>
          </w:tcPr>
          <w:p>
            <w:pPr>
              <w:spacing w:after="0"/>
              <w:rPr>
                <w:sz w:val="9"/>
                <w:szCs w:val="9"/>
                <w:color w:val="auto"/>
              </w:rPr>
            </w:pPr>
          </w:p>
        </w:tc>
        <w:tc>
          <w:tcPr>
            <w:tcW w:w="46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w w:val="99"/>
              </w:rPr>
              <w:t>(0.17)</w:t>
            </w:r>
          </w:p>
        </w:tc>
        <w:tc>
          <w:tcPr>
            <w:tcW w:w="120" w:type="dxa"/>
            <w:vAlign w:val="bottom"/>
          </w:tcPr>
          <w:p>
            <w:pPr>
              <w:spacing w:after="0"/>
              <w:rPr>
                <w:sz w:val="9"/>
                <w:szCs w:val="9"/>
                <w:color w:val="auto"/>
              </w:rPr>
            </w:pPr>
          </w:p>
        </w:tc>
        <w:tc>
          <w:tcPr>
            <w:tcW w:w="920" w:type="dxa"/>
            <w:vAlign w:val="bottom"/>
            <w:gridSpan w:val="2"/>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(44)</w:t>
            </w:r>
          </w:p>
        </w:tc>
        <w:tc>
          <w:tcPr>
            <w:tcW w:w="18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(0.07)</w:t>
            </w:r>
          </w:p>
        </w:tc>
        <w:tc>
          <w:tcPr>
            <w:tcW w:w="120" w:type="dxa"/>
            <w:vAlign w:val="bottom"/>
          </w:tcPr>
          <w:p>
            <w:pPr>
              <w:spacing w:after="0"/>
              <w:rPr>
                <w:sz w:val="9"/>
                <w:szCs w:val="9"/>
                <w:color w:val="auto"/>
              </w:rPr>
            </w:pPr>
          </w:p>
        </w:tc>
        <w:tc>
          <w:tcPr>
            <w:tcW w:w="8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149</w:t>
            </w:r>
          </w:p>
        </w:tc>
        <w:tc>
          <w:tcPr>
            <w:tcW w:w="140" w:type="dxa"/>
            <w:vAlign w:val="bottom"/>
          </w:tcPr>
          <w:p>
            <w:pPr>
              <w:spacing w:after="0"/>
              <w:rPr>
                <w:sz w:val="9"/>
                <w:szCs w:val="9"/>
                <w:color w:val="auto"/>
              </w:rPr>
            </w:pPr>
          </w:p>
        </w:tc>
        <w:tc>
          <w:tcPr>
            <w:tcW w:w="86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0.24</w:t>
            </w:r>
          </w:p>
        </w:tc>
        <w:tc>
          <w:tcPr>
            <w:tcW w:w="120" w:type="dxa"/>
            <w:vAlign w:val="bottom"/>
          </w:tcPr>
          <w:p>
            <w:pPr>
              <w:spacing w:after="0"/>
              <w:rPr>
                <w:sz w:val="9"/>
                <w:szCs w:val="9"/>
                <w:color w:val="auto"/>
              </w:rPr>
            </w:pPr>
          </w:p>
        </w:tc>
        <w:tc>
          <w:tcPr>
            <w:tcW w:w="880" w:type="dxa"/>
            <w:vAlign w:val="bottom"/>
            <w:gridSpan w:val="2"/>
          </w:tcPr>
          <w:p>
            <w:pPr>
              <w:jc w:val="right"/>
              <w:ind w:right="2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70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4"/>
        </w:trPr>
        <w:tc>
          <w:tcPr>
            <w:tcW w:w="3280" w:type="dxa"/>
            <w:vAlign w:val="bottom"/>
            <w:tcBorders>
              <w:top w:val="single" w:sz="8" w:color="CCEEFF"/>
              <w:bottom w:val="single" w:sz="8" w:color="CCEEFF"/>
            </w:tcBorders>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Consolidated income and diluted EPS on a non-GAAP basis</w:t>
            </w:r>
          </w:p>
        </w:tc>
        <w:tc>
          <w:tcPr>
            <w:tcW w:w="620" w:type="dxa"/>
            <w:vAlign w:val="bottom"/>
            <w:tcBorders>
              <w:top w:val="single" w:sz="8" w:color="auto"/>
              <w:bottom w:val="single" w:sz="8" w:color="auto"/>
            </w:tcBorders>
            <w:shd w:val="clear" w:color="auto" w:fill="CCEEFF"/>
          </w:tcPr>
          <w:p>
            <w:pPr>
              <w:jc w:val="right"/>
              <w:ind w:right="512"/>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tcBorders>
              <w:top w:val="single" w:sz="8" w:color="auto"/>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773</w:t>
            </w:r>
          </w:p>
        </w:tc>
        <w:tc>
          <w:tcPr>
            <w:tcW w:w="240" w:type="dxa"/>
            <w:vAlign w:val="bottom"/>
            <w:tcBorders>
              <w:top w:val="single" w:sz="8" w:color="CCEEFF"/>
              <w:bottom w:val="single" w:sz="8" w:color="CCEEFF"/>
            </w:tcBorders>
            <w:shd w:val="clear" w:color="auto" w:fill="CCEEFF"/>
          </w:tcPr>
          <w:p>
            <w:pPr>
              <w:spacing w:after="0"/>
              <w:rPr>
                <w:sz w:val="9"/>
                <w:szCs w:val="9"/>
                <w:color w:val="auto"/>
              </w:rPr>
            </w:pPr>
          </w:p>
        </w:tc>
        <w:tc>
          <w:tcPr>
            <w:tcW w:w="580" w:type="dxa"/>
            <w:vAlign w:val="bottom"/>
            <w:tcBorders>
              <w:top w:val="single" w:sz="8" w:color="auto"/>
              <w:bottom w:val="single" w:sz="8" w:color="auto"/>
            </w:tcBorders>
            <w:shd w:val="clear" w:color="auto" w:fill="CCEEFF"/>
          </w:tcPr>
          <w:p>
            <w:pPr>
              <w:jc w:val="right"/>
              <w:ind w:right="505"/>
              <w:spacing w:after="0"/>
              <w:rPr>
                <w:sz w:val="20"/>
                <w:szCs w:val="20"/>
                <w:color w:val="auto"/>
              </w:rPr>
            </w:pPr>
            <w:r>
              <w:rPr>
                <w:rFonts w:ascii="Times New Roman" w:cs="Times New Roman" w:eastAsia="Times New Roman" w:hAnsi="Times New Roman"/>
                <w:sz w:val="5"/>
                <w:szCs w:val="5"/>
                <w:color w:val="auto"/>
                <w:w w:val="78"/>
              </w:rPr>
              <w:t>$</w:t>
            </w:r>
          </w:p>
        </w:tc>
        <w:tc>
          <w:tcPr>
            <w:tcW w:w="220" w:type="dxa"/>
            <w:vAlign w:val="bottom"/>
            <w:tcBorders>
              <w:top w:val="single" w:sz="8" w:color="auto"/>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1.27</w:t>
            </w:r>
          </w:p>
        </w:tc>
        <w:tc>
          <w:tcPr>
            <w:tcW w:w="24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top w:val="single" w:sz="8" w:color="auto"/>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228</w:t>
            </w:r>
          </w:p>
        </w:tc>
        <w:tc>
          <w:tcPr>
            <w:tcW w:w="240" w:type="dxa"/>
            <w:vAlign w:val="bottom"/>
            <w:tcBorders>
              <w:top w:val="single" w:sz="8" w:color="CCEEFF"/>
              <w:bottom w:val="single" w:sz="8" w:color="CCEEFF"/>
            </w:tcBorders>
            <w:shd w:val="clear" w:color="auto" w:fill="CCEEFF"/>
          </w:tcPr>
          <w:p>
            <w:pPr>
              <w:spacing w:after="0"/>
              <w:rPr>
                <w:sz w:val="9"/>
                <w:szCs w:val="9"/>
                <w:color w:val="auto"/>
              </w:rPr>
            </w:pPr>
          </w:p>
        </w:tc>
        <w:tc>
          <w:tcPr>
            <w:tcW w:w="1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0.37</w:t>
            </w:r>
          </w:p>
        </w:tc>
        <w:tc>
          <w:tcPr>
            <w:tcW w:w="20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auto"/>
              <w:bottom w:val="single" w:sz="8" w:color="auto"/>
            </w:tcBorders>
            <w:shd w:val="clear" w:color="auto" w:fill="CCEEFF"/>
          </w:tcPr>
          <w:p>
            <w:pPr>
              <w:jc w:val="right"/>
              <w:ind w:right="12"/>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top w:val="single" w:sz="8" w:color="CCEEFF"/>
              <w:bottom w:val="single" w:sz="8" w:color="CCEEFF"/>
            </w:tcBorders>
            <w:shd w:val="clear" w:color="auto" w:fill="CCEEFF"/>
          </w:tcPr>
          <w:p>
            <w:pPr>
              <w:spacing w:after="0"/>
              <w:rPr>
                <w:sz w:val="9"/>
                <w:szCs w:val="9"/>
                <w:color w:val="auto"/>
              </w:rPr>
            </w:pPr>
          </w:p>
        </w:tc>
        <w:tc>
          <w:tcPr>
            <w:tcW w:w="140" w:type="dxa"/>
            <w:vAlign w:val="bottom"/>
            <w:tcBorders>
              <w:top w:val="single" w:sz="8" w:color="auto"/>
              <w:bottom w:val="single" w:sz="8" w:color="auto"/>
            </w:tcBorders>
            <w:shd w:val="clear" w:color="auto" w:fill="CCEEFF"/>
          </w:tcPr>
          <w:p>
            <w:pPr>
              <w:jc w:val="right"/>
              <w:ind w:right="32"/>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auto"/>
              <w:bottom w:val="single" w:sz="8" w:color="auto"/>
            </w:tcBorders>
            <w:shd w:val="clear" w:color="auto" w:fill="CCEEFF"/>
          </w:tcPr>
          <w:p>
            <w:pPr>
              <w:jc w:val="right"/>
              <w:ind w:right="12"/>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1,001</w:t>
            </w:r>
          </w:p>
        </w:tc>
        <w:tc>
          <w:tcPr>
            <w:tcW w:w="220" w:type="dxa"/>
            <w:vAlign w:val="bottom"/>
            <w:tcBorders>
              <w:top w:val="single" w:sz="8" w:color="CCEEFF"/>
              <w:bottom w:val="single" w:sz="8" w:color="CCEEFF"/>
            </w:tcBorders>
            <w:shd w:val="clear" w:color="auto" w:fill="CCEEFF"/>
          </w:tcPr>
          <w:p>
            <w:pPr>
              <w:spacing w:after="0"/>
              <w:rPr>
                <w:sz w:val="9"/>
                <w:szCs w:val="9"/>
                <w:color w:val="auto"/>
              </w:rPr>
            </w:pPr>
          </w:p>
        </w:tc>
        <w:tc>
          <w:tcPr>
            <w:tcW w:w="200" w:type="dxa"/>
            <w:vAlign w:val="bottom"/>
            <w:tcBorders>
              <w:top w:val="single" w:sz="8" w:color="auto"/>
              <w:bottom w:val="single" w:sz="8" w:color="auto"/>
            </w:tcBorders>
            <w:shd w:val="clear" w:color="auto" w:fill="CCEEFF"/>
          </w:tcPr>
          <w:p>
            <w:pPr>
              <w:jc w:val="right"/>
              <w:ind w:right="92"/>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1.64</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420" w:right="20" w:hanging="212"/>
        <w:spacing w:after="0" w:line="259" w:lineRule="auto"/>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Quarterly diluted EPS on both a GAAP and non-GAAP basis are based on the weighted average number of shares of common stock outstanding during the quarter, and the sum of the quarters may not equal year-to-date diluted EPS. EPS figures for Utility Operations, Corporate and Other, and Discontinued Operations are non-GAAP financial measures.</w:t>
      </w:r>
    </w:p>
    <w:p>
      <w:pPr>
        <w:spacing w:after="0" w:line="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Taxes are computed based on the impact removing such item would have on tax expense</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Comprised of common stock of AT&amp;T Inc. and Charter Communications, Inc.</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gain from remeasurement of state deferred taxes, costs to achieve the sales and costs associated with the early extinguishment of debt</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Comprised of Energy Transfer common and Series G preferred units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impacts associated with the Vectren merger and the sales of Infrastructure Services (CIS) and Mobile Energy Solutions (MES)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Corporate and Other, plus income allocated to preferred shareholders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b w:val="1"/>
          <w:bCs w:val="1"/>
          <w:u w:val="single" w:color="auto"/>
          <w:color w:val="auto"/>
        </w:rPr>
        <w:t>Reconciliation of consolidated income (loss) available to common shareholders and diluted earnings per share (GAAP) to non-GAAP income and non-GAAP diluted earnings per share</w:t>
      </w:r>
    </w:p>
    <w:p>
      <w:pPr>
        <w:spacing w:after="0" w:line="1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8"/>
          <w:szCs w:val="8"/>
          <w:b w:val="1"/>
          <w:bCs w:val="1"/>
          <w:color w:val="auto"/>
        </w:rPr>
        <w:t>Twelve Months Ended</w:t>
      </w:r>
    </w:p>
    <w:p>
      <w:pPr>
        <w:spacing w:after="0" w:line="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8"/>
          <w:szCs w:val="8"/>
          <w:b w:val="1"/>
          <w:bCs w:val="1"/>
          <w:color w:val="auto"/>
        </w:rPr>
        <w:t>December 31,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88"/>
        </w:trPr>
        <w:tc>
          <w:tcPr>
            <w:tcW w:w="23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700" w:type="dxa"/>
            <w:vAlign w:val="bottom"/>
            <w:tcBorders>
              <w:top w:val="single" w:sz="8" w:color="auto"/>
            </w:tcBorders>
            <w:gridSpan w:val="5"/>
          </w:tcPr>
          <w:p>
            <w:pPr>
              <w:jc w:val="right"/>
              <w:ind w:right="640"/>
              <w:spacing w:after="0" w:line="88" w:lineRule="exact"/>
              <w:rPr>
                <w:sz w:val="20"/>
                <w:szCs w:val="20"/>
                <w:color w:val="auto"/>
              </w:rPr>
            </w:pPr>
            <w:r>
              <w:rPr>
                <w:rFonts w:ascii="Times New Roman" w:cs="Times New Roman" w:eastAsia="Times New Roman" w:hAnsi="Times New Roman"/>
                <w:sz w:val="8"/>
                <w:szCs w:val="8"/>
                <w:color w:val="auto"/>
              </w:rPr>
              <w:t>Midstream Investments</w:t>
            </w:r>
          </w:p>
        </w:tc>
        <w:tc>
          <w:tcPr>
            <w:tcW w:w="14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gridSpan w:val="3"/>
          </w:tcPr>
          <w:p>
            <w:pPr>
              <w:jc w:val="center"/>
              <w:spacing w:after="0" w:line="88" w:lineRule="exact"/>
              <w:rPr>
                <w:sz w:val="20"/>
                <w:szCs w:val="20"/>
                <w:color w:val="auto"/>
              </w:rPr>
            </w:pPr>
            <w:r>
              <w:rPr>
                <w:rFonts w:ascii="Times New Roman" w:cs="Times New Roman" w:eastAsia="Times New Roman" w:hAnsi="Times New Roman"/>
                <w:sz w:val="8"/>
                <w:szCs w:val="8"/>
                <w:color w:val="auto"/>
              </w:rPr>
              <w:t>Corporate and</w:t>
            </w:r>
          </w:p>
        </w:tc>
        <w:tc>
          <w:tcPr>
            <w:tcW w:w="20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880" w:type="dxa"/>
            <w:vAlign w:val="bottom"/>
            <w:tcBorders>
              <w:top w:val="single" w:sz="8" w:color="auto"/>
            </w:tcBorders>
            <w:gridSpan w:val="3"/>
          </w:tcPr>
          <w:p>
            <w:pPr>
              <w:jc w:val="center"/>
              <w:ind w:right="284"/>
              <w:spacing w:after="0" w:line="88" w:lineRule="exact"/>
              <w:rPr>
                <w:sz w:val="20"/>
                <w:szCs w:val="20"/>
                <w:color w:val="auto"/>
              </w:rPr>
            </w:pPr>
            <w:r>
              <w:rPr>
                <w:rFonts w:ascii="Times New Roman" w:cs="Times New Roman" w:eastAsia="Times New Roman" w:hAnsi="Times New Roman"/>
                <w:sz w:val="7"/>
                <w:szCs w:val="7"/>
                <w:color w:val="auto"/>
              </w:rPr>
              <w:t>CES</w:t>
            </w:r>
            <w:r>
              <w:rPr>
                <w:rFonts w:ascii="Times New Roman" w:cs="Times New Roman" w:eastAsia="Times New Roman" w:hAnsi="Times New Roman"/>
                <w:sz w:val="10"/>
                <w:szCs w:val="10"/>
                <w:color w:val="auto"/>
                <w:vertAlign w:val="superscript"/>
              </w:rPr>
              <w:t>(1)</w:t>
            </w:r>
            <w:r>
              <w:rPr>
                <w:rFonts w:ascii="Times New Roman" w:cs="Times New Roman" w:eastAsia="Times New Roman" w:hAnsi="Times New Roman"/>
                <w:sz w:val="7"/>
                <w:szCs w:val="7"/>
                <w:color w:val="auto"/>
              </w:rPr>
              <w:t xml:space="preserve"> &amp; CIS</w:t>
            </w:r>
            <w:r>
              <w:rPr>
                <w:rFonts w:ascii="Times New Roman" w:cs="Times New Roman" w:eastAsia="Times New Roman" w:hAnsi="Times New Roman"/>
                <w:sz w:val="10"/>
                <w:szCs w:val="10"/>
                <w:color w:val="auto"/>
                <w:vertAlign w:val="superscript"/>
              </w:rPr>
              <w:t>(2)</w:t>
            </w:r>
          </w:p>
        </w:tc>
        <w:tc>
          <w:tcPr>
            <w:tcW w:w="18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8"/>
                <w:szCs w:val="8"/>
                <w:color w:val="auto"/>
              </w:rPr>
              <w:t>Utility Operations</w:t>
            </w:r>
          </w:p>
        </w:tc>
        <w:tc>
          <w:tcPr>
            <w:tcW w:w="4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8"/>
                <w:szCs w:val="8"/>
                <w:color w:val="auto"/>
              </w:rPr>
              <w:t>(Disc. Operations)</w:t>
            </w:r>
          </w:p>
        </w:tc>
        <w:tc>
          <w:tcPr>
            <w:tcW w:w="4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gridSpan w:val="3"/>
          </w:tcPr>
          <w:p>
            <w:pPr>
              <w:jc w:val="center"/>
              <w:ind w:left="18"/>
              <w:spacing w:after="0" w:line="108" w:lineRule="exact"/>
              <w:rPr>
                <w:sz w:val="20"/>
                <w:szCs w:val="20"/>
                <w:color w:val="auto"/>
              </w:rPr>
            </w:pPr>
            <w:r>
              <w:rPr>
                <w:rFonts w:ascii="Times New Roman" w:cs="Times New Roman" w:eastAsia="Times New Roman" w:hAnsi="Times New Roman"/>
                <w:sz w:val="8"/>
                <w:szCs w:val="8"/>
                <w:color w:val="auto"/>
                <w:w w:val="94"/>
              </w:rPr>
              <w:t>Other</w:t>
            </w:r>
            <w:r>
              <w:rPr>
                <w:rFonts w:ascii="Times New Roman" w:cs="Times New Roman" w:eastAsia="Times New Roman" w:hAnsi="Times New Roman"/>
                <w:sz w:val="12"/>
                <w:szCs w:val="12"/>
                <w:color w:val="auto"/>
                <w:w w:val="94"/>
                <w:vertAlign w:val="superscript"/>
              </w:rPr>
              <w:t>(6)</w:t>
            </w:r>
          </w:p>
        </w:tc>
        <w:tc>
          <w:tcPr>
            <w:tcW w:w="2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Borders>
              <w:bottom w:val="single" w:sz="8" w:color="auto"/>
            </w:tcBorders>
            <w:gridSpan w:val="4"/>
          </w:tcPr>
          <w:p>
            <w:pPr>
              <w:jc w:val="center"/>
              <w:ind w:left="142"/>
              <w:spacing w:after="0"/>
              <w:rPr>
                <w:sz w:val="20"/>
                <w:szCs w:val="20"/>
                <w:color w:val="auto"/>
              </w:rPr>
            </w:pPr>
            <w:r>
              <w:rPr>
                <w:rFonts w:ascii="Times New Roman" w:cs="Times New Roman" w:eastAsia="Times New Roman" w:hAnsi="Times New Roman"/>
                <w:sz w:val="8"/>
                <w:szCs w:val="8"/>
                <w:color w:val="auto"/>
              </w:rPr>
              <w:t>(Disc. Operations)</w:t>
            </w:r>
          </w:p>
        </w:tc>
        <w:tc>
          <w:tcPr>
            <w:tcW w:w="1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8"/>
                <w:szCs w:val="8"/>
                <w:color w:val="auto"/>
              </w:rPr>
              <w:t>Consolidated</w:t>
            </w:r>
          </w:p>
        </w:tc>
        <w:tc>
          <w:tcPr>
            <w:tcW w:w="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380" w:type="dxa"/>
            <w:vAlign w:val="bottom"/>
          </w:tcPr>
          <w:p>
            <w:pPr>
              <w:spacing w:after="0"/>
              <w:rPr>
                <w:sz w:val="5"/>
                <w:szCs w:val="5"/>
                <w:color w:val="auto"/>
              </w:rPr>
            </w:pPr>
          </w:p>
        </w:tc>
        <w:tc>
          <w:tcPr>
            <w:tcW w:w="480" w:type="dxa"/>
            <w:vAlign w:val="bottom"/>
          </w:tcPr>
          <w:p>
            <w:pPr>
              <w:jc w:val="center"/>
              <w:ind w:left="145"/>
              <w:spacing w:after="0" w:line="69" w:lineRule="exact"/>
              <w:rPr>
                <w:sz w:val="20"/>
                <w:szCs w:val="20"/>
                <w:color w:val="auto"/>
              </w:rPr>
            </w:pPr>
            <w:r>
              <w:rPr>
                <w:rFonts w:ascii="Times New Roman" w:cs="Times New Roman" w:eastAsia="Times New Roman" w:hAnsi="Times New Roman"/>
                <w:sz w:val="7"/>
                <w:szCs w:val="7"/>
                <w:color w:val="auto"/>
              </w:rPr>
              <w:t>Dollars</w:t>
            </w: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8"/>
                <w:szCs w:val="8"/>
                <w:color w:val="auto"/>
                <w:w w:val="99"/>
              </w:rPr>
              <w:t>Diluted</w:t>
            </w:r>
          </w:p>
        </w:tc>
        <w:tc>
          <w:tcPr>
            <w:tcW w:w="120" w:type="dxa"/>
            <w:vAlign w:val="bottom"/>
          </w:tcPr>
          <w:p>
            <w:pPr>
              <w:spacing w:after="0"/>
              <w:rPr>
                <w:sz w:val="5"/>
                <w:szCs w:val="5"/>
                <w:color w:val="auto"/>
              </w:rPr>
            </w:pPr>
          </w:p>
        </w:tc>
        <w:tc>
          <w:tcPr>
            <w:tcW w:w="800" w:type="dxa"/>
            <w:vAlign w:val="bottom"/>
            <w:gridSpan w:val="2"/>
          </w:tcPr>
          <w:p>
            <w:pPr>
              <w:jc w:val="center"/>
              <w:ind w:right="400"/>
              <w:spacing w:after="0" w:line="69" w:lineRule="exact"/>
              <w:rPr>
                <w:sz w:val="20"/>
                <w:szCs w:val="20"/>
                <w:color w:val="auto"/>
              </w:rPr>
            </w:pPr>
            <w:r>
              <w:rPr>
                <w:rFonts w:ascii="Times New Roman" w:cs="Times New Roman" w:eastAsia="Times New Roman" w:hAnsi="Times New Roman"/>
                <w:sz w:val="7"/>
                <w:szCs w:val="7"/>
                <w:color w:val="auto"/>
              </w:rPr>
              <w:t>Dollars</w:t>
            </w:r>
          </w:p>
        </w:tc>
        <w:tc>
          <w:tcPr>
            <w:tcW w:w="200" w:type="dxa"/>
            <w:vAlign w:val="bottom"/>
          </w:tcPr>
          <w:p>
            <w:pPr>
              <w:spacing w:after="0"/>
              <w:rPr>
                <w:sz w:val="5"/>
                <w:szCs w:val="5"/>
                <w:color w:val="auto"/>
              </w:rPr>
            </w:pPr>
          </w:p>
        </w:tc>
        <w:tc>
          <w:tcPr>
            <w:tcW w:w="7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8"/>
                <w:szCs w:val="8"/>
                <w:color w:val="auto"/>
                <w:w w:val="99"/>
              </w:rPr>
              <w:t>Diluted</w:t>
            </w:r>
          </w:p>
        </w:tc>
        <w:tc>
          <w:tcPr>
            <w:tcW w:w="140" w:type="dxa"/>
            <w:vAlign w:val="bottom"/>
          </w:tcPr>
          <w:p>
            <w:pPr>
              <w:spacing w:after="0"/>
              <w:rPr>
                <w:sz w:val="5"/>
                <w:szCs w:val="5"/>
                <w:color w:val="auto"/>
              </w:rPr>
            </w:pPr>
          </w:p>
        </w:tc>
        <w:tc>
          <w:tcPr>
            <w:tcW w:w="780" w:type="dxa"/>
            <w:vAlign w:val="bottom"/>
            <w:gridSpan w:val="2"/>
          </w:tcPr>
          <w:p>
            <w:pPr>
              <w:jc w:val="center"/>
              <w:ind w:right="380"/>
              <w:spacing w:after="0" w:line="69" w:lineRule="exact"/>
              <w:rPr>
                <w:sz w:val="20"/>
                <w:szCs w:val="20"/>
                <w:color w:val="auto"/>
              </w:rPr>
            </w:pPr>
            <w:r>
              <w:rPr>
                <w:rFonts w:ascii="Times New Roman" w:cs="Times New Roman" w:eastAsia="Times New Roman" w:hAnsi="Times New Roman"/>
                <w:sz w:val="7"/>
                <w:szCs w:val="7"/>
                <w:color w:val="auto"/>
              </w:rPr>
              <w:t>Dollars</w:t>
            </w:r>
          </w:p>
        </w:tc>
        <w:tc>
          <w:tcPr>
            <w:tcW w:w="500" w:type="dxa"/>
            <w:vAlign w:val="bottom"/>
            <w:vMerge w:val="restart"/>
          </w:tcPr>
          <w:p>
            <w:pPr>
              <w:jc w:val="center"/>
              <w:ind w:left="164"/>
              <w:spacing w:after="0"/>
              <w:rPr>
                <w:sz w:val="20"/>
                <w:szCs w:val="20"/>
                <w:color w:val="auto"/>
              </w:rPr>
            </w:pPr>
            <w:r>
              <w:rPr>
                <w:rFonts w:ascii="Times New Roman" w:cs="Times New Roman" w:eastAsia="Times New Roman" w:hAnsi="Times New Roman"/>
                <w:sz w:val="8"/>
                <w:szCs w:val="8"/>
                <w:color w:val="auto"/>
              </w:rPr>
              <w:t>Diluted</w:t>
            </w: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jc w:val="center"/>
              <w:ind w:left="122"/>
              <w:spacing w:after="0" w:line="69" w:lineRule="exact"/>
              <w:rPr>
                <w:sz w:val="20"/>
                <w:szCs w:val="20"/>
                <w:color w:val="auto"/>
              </w:rPr>
            </w:pPr>
            <w:r>
              <w:rPr>
                <w:rFonts w:ascii="Times New Roman" w:cs="Times New Roman" w:eastAsia="Times New Roman" w:hAnsi="Times New Roman"/>
                <w:sz w:val="7"/>
                <w:szCs w:val="7"/>
                <w:color w:val="auto"/>
              </w:rPr>
              <w:t>Dollars</w:t>
            </w: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vMerge w:val="restart"/>
          </w:tcPr>
          <w:p>
            <w:pPr>
              <w:jc w:val="center"/>
              <w:ind w:left="144"/>
              <w:spacing w:after="0"/>
              <w:rPr>
                <w:sz w:val="20"/>
                <w:szCs w:val="20"/>
                <w:color w:val="auto"/>
              </w:rPr>
            </w:pPr>
            <w:r>
              <w:rPr>
                <w:rFonts w:ascii="Times New Roman" w:cs="Times New Roman" w:eastAsia="Times New Roman" w:hAnsi="Times New Roman"/>
                <w:sz w:val="8"/>
                <w:szCs w:val="8"/>
                <w:color w:val="auto"/>
              </w:rPr>
              <w:t>Diluted</w:t>
            </w: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jc w:val="center"/>
              <w:ind w:left="125"/>
              <w:spacing w:after="0" w:line="69" w:lineRule="exact"/>
              <w:rPr>
                <w:sz w:val="20"/>
                <w:szCs w:val="20"/>
                <w:color w:val="auto"/>
              </w:rPr>
            </w:pPr>
            <w:r>
              <w:rPr>
                <w:rFonts w:ascii="Times New Roman" w:cs="Times New Roman" w:eastAsia="Times New Roman" w:hAnsi="Times New Roman"/>
                <w:sz w:val="7"/>
                <w:szCs w:val="7"/>
                <w:color w:val="auto"/>
              </w:rPr>
              <w:t>Dollars</w:t>
            </w: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8"/>
                <w:szCs w:val="8"/>
                <w:color w:val="auto"/>
              </w:rPr>
              <w:t>Diluted</w:t>
            </w:r>
          </w:p>
        </w:tc>
        <w:tc>
          <w:tcPr>
            <w:tcW w:w="0" w:type="dxa"/>
            <w:vAlign w:val="bottom"/>
          </w:tcPr>
          <w:p>
            <w:pPr>
              <w:spacing w:after="0"/>
              <w:rPr>
                <w:sz w:val="1"/>
                <w:szCs w:val="1"/>
                <w:color w:val="auto"/>
              </w:rPr>
            </w:pPr>
          </w:p>
        </w:tc>
      </w:tr>
      <w:tr>
        <w:trPr>
          <w:trHeight w:val="67"/>
        </w:trPr>
        <w:tc>
          <w:tcPr>
            <w:tcW w:w="2380" w:type="dxa"/>
            <w:vAlign w:val="bottom"/>
          </w:tcPr>
          <w:p>
            <w:pPr>
              <w:spacing w:after="0"/>
              <w:rPr>
                <w:sz w:val="5"/>
                <w:szCs w:val="5"/>
                <w:color w:val="auto"/>
              </w:rPr>
            </w:pPr>
          </w:p>
        </w:tc>
        <w:tc>
          <w:tcPr>
            <w:tcW w:w="480" w:type="dxa"/>
            <w:vAlign w:val="bottom"/>
            <w:vMerge w:val="restart"/>
          </w:tcPr>
          <w:p>
            <w:pPr>
              <w:jc w:val="center"/>
              <w:ind w:left="145"/>
              <w:spacing w:after="0" w:line="90" w:lineRule="exact"/>
              <w:rPr>
                <w:sz w:val="20"/>
                <w:szCs w:val="20"/>
                <w:color w:val="auto"/>
              </w:rPr>
            </w:pPr>
            <w:r>
              <w:rPr>
                <w:rFonts w:ascii="Times New Roman" w:cs="Times New Roman" w:eastAsia="Times New Roman" w:hAnsi="Times New Roman"/>
                <w:sz w:val="8"/>
                <w:szCs w:val="8"/>
                <w:color w:val="auto"/>
                <w:w w:val="95"/>
              </w:rPr>
              <w:t>in</w:t>
            </w: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restart"/>
          </w:tcPr>
          <w:p>
            <w:pPr>
              <w:jc w:val="center"/>
              <w:ind w:right="380"/>
              <w:spacing w:after="0" w:line="90" w:lineRule="exact"/>
              <w:rPr>
                <w:sz w:val="20"/>
                <w:szCs w:val="20"/>
                <w:color w:val="auto"/>
              </w:rPr>
            </w:pPr>
            <w:r>
              <w:rPr>
                <w:rFonts w:ascii="Times New Roman" w:cs="Times New Roman" w:eastAsia="Times New Roman" w:hAnsi="Times New Roman"/>
                <w:sz w:val="8"/>
                <w:szCs w:val="8"/>
                <w:color w:val="auto"/>
                <w:w w:val="95"/>
              </w:rPr>
              <w:t>in</w:t>
            </w:r>
          </w:p>
        </w:tc>
        <w:tc>
          <w:tcPr>
            <w:tcW w:w="2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gridSpan w:val="2"/>
            <w:vMerge w:val="restart"/>
          </w:tcPr>
          <w:p>
            <w:pPr>
              <w:jc w:val="center"/>
              <w:ind w:right="380"/>
              <w:spacing w:after="0" w:line="90" w:lineRule="exact"/>
              <w:rPr>
                <w:sz w:val="20"/>
                <w:szCs w:val="20"/>
                <w:color w:val="auto"/>
              </w:rPr>
            </w:pPr>
            <w:r>
              <w:rPr>
                <w:rFonts w:ascii="Times New Roman" w:cs="Times New Roman" w:eastAsia="Times New Roman" w:hAnsi="Times New Roman"/>
                <w:sz w:val="8"/>
                <w:szCs w:val="8"/>
                <w:color w:val="auto"/>
              </w:rPr>
              <w:t>in</w:t>
            </w:r>
          </w:p>
        </w:tc>
        <w:tc>
          <w:tcPr>
            <w:tcW w:w="5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vMerge w:val="restart"/>
          </w:tcPr>
          <w:p>
            <w:pPr>
              <w:jc w:val="center"/>
              <w:ind w:left="122"/>
              <w:spacing w:after="0" w:line="90" w:lineRule="exact"/>
              <w:rPr>
                <w:sz w:val="20"/>
                <w:szCs w:val="20"/>
                <w:color w:val="auto"/>
              </w:rPr>
            </w:pPr>
            <w:r>
              <w:rPr>
                <w:rFonts w:ascii="Times New Roman" w:cs="Times New Roman" w:eastAsia="Times New Roman" w:hAnsi="Times New Roman"/>
                <w:sz w:val="8"/>
                <w:szCs w:val="8"/>
                <w:color w:val="auto"/>
              </w:rPr>
              <w:t>in</w:t>
            </w: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vMerge w:val="restart"/>
          </w:tcPr>
          <w:p>
            <w:pPr>
              <w:jc w:val="center"/>
              <w:ind w:left="125"/>
              <w:spacing w:after="0" w:line="90" w:lineRule="exact"/>
              <w:rPr>
                <w:sz w:val="20"/>
                <w:szCs w:val="20"/>
                <w:color w:val="auto"/>
              </w:rPr>
            </w:pPr>
            <w:r>
              <w:rPr>
                <w:rFonts w:ascii="Times New Roman" w:cs="Times New Roman" w:eastAsia="Times New Roman" w:hAnsi="Times New Roman"/>
                <w:sz w:val="8"/>
                <w:szCs w:val="8"/>
                <w:color w:val="auto"/>
              </w:rPr>
              <w:t>in</w:t>
            </w: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vMerge w:val="restart"/>
          </w:tcPr>
          <w:p>
            <w:pPr>
              <w:jc w:val="right"/>
              <w:ind w:right="460"/>
              <w:spacing w:after="0" w:line="125" w:lineRule="exact"/>
              <w:rPr>
                <w:sz w:val="20"/>
                <w:szCs w:val="20"/>
                <w:color w:val="auto"/>
              </w:rPr>
            </w:pPr>
            <w:r>
              <w:rPr>
                <w:rFonts w:ascii="Times New Roman" w:cs="Times New Roman" w:eastAsia="Times New Roman" w:hAnsi="Times New Roman"/>
                <w:sz w:val="14"/>
                <w:szCs w:val="14"/>
                <w:color w:val="auto"/>
                <w:vertAlign w:val="subscript"/>
              </w:rPr>
              <w:t>EPS</w:t>
            </w:r>
            <w:r>
              <w:rPr>
                <w:rFonts w:ascii="Times New Roman" w:cs="Times New Roman" w:eastAsia="Times New Roman" w:hAnsi="Times New Roman"/>
                <w:sz w:val="6"/>
                <w:szCs w:val="6"/>
                <w:color w:val="auto"/>
              </w:rPr>
              <w:t>(3)</w:t>
            </w:r>
          </w:p>
        </w:tc>
        <w:tc>
          <w:tcPr>
            <w:tcW w:w="1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vMerge w:val="restart"/>
          </w:tcPr>
          <w:p>
            <w:pPr>
              <w:jc w:val="right"/>
              <w:ind w:right="460"/>
              <w:spacing w:after="0" w:line="125" w:lineRule="exact"/>
              <w:rPr>
                <w:sz w:val="20"/>
                <w:szCs w:val="20"/>
                <w:color w:val="auto"/>
              </w:rPr>
            </w:pPr>
            <w:r>
              <w:rPr>
                <w:rFonts w:ascii="Times New Roman" w:cs="Times New Roman" w:eastAsia="Times New Roman" w:hAnsi="Times New Roman"/>
                <w:sz w:val="14"/>
                <w:szCs w:val="14"/>
                <w:color w:val="auto"/>
                <w:w w:val="95"/>
                <w:vertAlign w:val="subscript"/>
              </w:rPr>
              <w:t>EPS</w:t>
            </w:r>
            <w:r>
              <w:rPr>
                <w:rFonts w:ascii="Times New Roman" w:cs="Times New Roman" w:eastAsia="Times New Roman" w:hAnsi="Times New Roman"/>
                <w:sz w:val="6"/>
                <w:szCs w:val="6"/>
                <w:color w:val="auto"/>
                <w:w w:val="95"/>
              </w:rPr>
              <w:t>(3)</w:t>
            </w:r>
          </w:p>
        </w:tc>
        <w:tc>
          <w:tcPr>
            <w:tcW w:w="14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500" w:type="dxa"/>
            <w:vAlign w:val="bottom"/>
            <w:vMerge w:val="restart"/>
          </w:tcPr>
          <w:p>
            <w:pPr>
              <w:jc w:val="center"/>
              <w:ind w:left="164"/>
              <w:spacing w:after="0" w:line="125" w:lineRule="exact"/>
              <w:rPr>
                <w:sz w:val="20"/>
                <w:szCs w:val="20"/>
                <w:color w:val="auto"/>
              </w:rPr>
            </w:pPr>
            <w:r>
              <w:rPr>
                <w:rFonts w:ascii="Times New Roman" w:cs="Times New Roman" w:eastAsia="Times New Roman" w:hAnsi="Times New Roman"/>
                <w:sz w:val="14"/>
                <w:szCs w:val="14"/>
                <w:color w:val="auto"/>
                <w:w w:val="95"/>
                <w:vertAlign w:val="subscript"/>
              </w:rPr>
              <w:t>EPS</w:t>
            </w:r>
            <w:r>
              <w:rPr>
                <w:rFonts w:ascii="Times New Roman" w:cs="Times New Roman" w:eastAsia="Times New Roman" w:hAnsi="Times New Roman"/>
                <w:sz w:val="6"/>
                <w:szCs w:val="6"/>
                <w:color w:val="auto"/>
                <w:w w:val="95"/>
              </w:rPr>
              <w:t>(3)</w:t>
            </w: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vMerge w:val="restart"/>
          </w:tcPr>
          <w:p>
            <w:pPr>
              <w:jc w:val="center"/>
              <w:ind w:left="144"/>
              <w:spacing w:after="0" w:line="125" w:lineRule="exact"/>
              <w:rPr>
                <w:sz w:val="20"/>
                <w:szCs w:val="20"/>
                <w:color w:val="auto"/>
              </w:rPr>
            </w:pPr>
            <w:r>
              <w:rPr>
                <w:rFonts w:ascii="Times New Roman" w:cs="Times New Roman" w:eastAsia="Times New Roman" w:hAnsi="Times New Roman"/>
                <w:sz w:val="14"/>
                <w:szCs w:val="14"/>
                <w:color w:val="auto"/>
                <w:w w:val="95"/>
                <w:vertAlign w:val="subscript"/>
              </w:rPr>
              <w:t>EPS</w:t>
            </w:r>
            <w:r>
              <w:rPr>
                <w:rFonts w:ascii="Times New Roman" w:cs="Times New Roman" w:eastAsia="Times New Roman" w:hAnsi="Times New Roman"/>
                <w:sz w:val="6"/>
                <w:szCs w:val="6"/>
                <w:color w:val="auto"/>
                <w:w w:val="95"/>
              </w:rPr>
              <w:t>(3)</w:t>
            </w: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gridSpan w:val="2"/>
            <w:vMerge w:val="restart"/>
          </w:tcPr>
          <w:p>
            <w:pPr>
              <w:jc w:val="center"/>
              <w:ind w:right="280"/>
              <w:spacing w:after="0" w:line="125" w:lineRule="exact"/>
              <w:rPr>
                <w:sz w:val="20"/>
                <w:szCs w:val="20"/>
                <w:color w:val="auto"/>
              </w:rPr>
            </w:pPr>
            <w:r>
              <w:rPr>
                <w:rFonts w:ascii="Times New Roman" w:cs="Times New Roman" w:eastAsia="Times New Roman" w:hAnsi="Times New Roman"/>
                <w:sz w:val="14"/>
                <w:szCs w:val="14"/>
                <w:color w:val="auto"/>
                <w:w w:val="95"/>
                <w:vertAlign w:val="subscript"/>
              </w:rPr>
              <w:t>EPS</w:t>
            </w:r>
            <w:r>
              <w:rPr>
                <w:rFonts w:ascii="Times New Roman" w:cs="Times New Roman" w:eastAsia="Times New Roman" w:hAnsi="Times New Roman"/>
                <w:sz w:val="6"/>
                <w:szCs w:val="6"/>
                <w:color w:val="auto"/>
                <w:w w:val="95"/>
              </w:rPr>
              <w:t>(3)</w:t>
            </w:r>
          </w:p>
        </w:tc>
        <w:tc>
          <w:tcPr>
            <w:tcW w:w="0" w:type="dxa"/>
            <w:vAlign w:val="bottom"/>
          </w:tcPr>
          <w:p>
            <w:pPr>
              <w:spacing w:after="0" w:line="20" w:lineRule="exact"/>
              <w:rPr>
                <w:sz w:val="1"/>
                <w:szCs w:val="1"/>
                <w:color w:val="auto"/>
              </w:rPr>
            </w:pPr>
          </w:p>
        </w:tc>
      </w:tr>
      <w:tr>
        <w:trPr>
          <w:trHeight w:val="101"/>
        </w:trPr>
        <w:tc>
          <w:tcPr>
            <w:tcW w:w="2380" w:type="dxa"/>
            <w:vAlign w:val="bottom"/>
          </w:tcPr>
          <w:p>
            <w:pPr>
              <w:spacing w:after="0"/>
              <w:rPr>
                <w:sz w:val="8"/>
                <w:szCs w:val="8"/>
                <w:color w:val="auto"/>
              </w:rPr>
            </w:pPr>
          </w:p>
        </w:tc>
        <w:tc>
          <w:tcPr>
            <w:tcW w:w="480" w:type="dxa"/>
            <w:vAlign w:val="bottom"/>
          </w:tcPr>
          <w:p>
            <w:pPr>
              <w:jc w:val="center"/>
              <w:ind w:left="165"/>
              <w:spacing w:after="0"/>
              <w:rPr>
                <w:sz w:val="20"/>
                <w:szCs w:val="20"/>
                <w:color w:val="auto"/>
              </w:rPr>
            </w:pPr>
            <w:r>
              <w:rPr>
                <w:rFonts w:ascii="Times New Roman" w:cs="Times New Roman" w:eastAsia="Times New Roman" w:hAnsi="Times New Roman"/>
                <w:sz w:val="8"/>
                <w:szCs w:val="8"/>
                <w:color w:val="auto"/>
              </w:rPr>
              <w:t>millions</w:t>
            </w: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tcPr>
          <w:p>
            <w:pPr>
              <w:jc w:val="center"/>
              <w:ind w:right="360"/>
              <w:spacing w:after="0"/>
              <w:rPr>
                <w:sz w:val="20"/>
                <w:szCs w:val="20"/>
                <w:color w:val="auto"/>
              </w:rPr>
            </w:pPr>
            <w:r>
              <w:rPr>
                <w:rFonts w:ascii="Times New Roman" w:cs="Times New Roman" w:eastAsia="Times New Roman" w:hAnsi="Times New Roman"/>
                <w:sz w:val="8"/>
                <w:szCs w:val="8"/>
                <w:color w:val="auto"/>
              </w:rPr>
              <w:t>millions</w:t>
            </w:r>
          </w:p>
        </w:tc>
        <w:tc>
          <w:tcPr>
            <w:tcW w:w="20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tcPr>
          <w:p>
            <w:pPr>
              <w:jc w:val="center"/>
              <w:ind w:right="360"/>
              <w:spacing w:after="0"/>
              <w:rPr>
                <w:sz w:val="20"/>
                <w:szCs w:val="20"/>
                <w:color w:val="auto"/>
              </w:rPr>
            </w:pPr>
            <w:r>
              <w:rPr>
                <w:rFonts w:ascii="Times New Roman" w:cs="Times New Roman" w:eastAsia="Times New Roman" w:hAnsi="Times New Roman"/>
                <w:sz w:val="8"/>
                <w:szCs w:val="8"/>
                <w:color w:val="auto"/>
                <w:w w:val="98"/>
              </w:rPr>
              <w:t>millions</w:t>
            </w:r>
          </w:p>
        </w:tc>
        <w:tc>
          <w:tcPr>
            <w:tcW w:w="5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jc w:val="center"/>
              <w:ind w:left="142"/>
              <w:spacing w:after="0"/>
              <w:rPr>
                <w:sz w:val="20"/>
                <w:szCs w:val="20"/>
                <w:color w:val="auto"/>
              </w:rPr>
            </w:pPr>
            <w:r>
              <w:rPr>
                <w:rFonts w:ascii="Times New Roman" w:cs="Times New Roman" w:eastAsia="Times New Roman" w:hAnsi="Times New Roman"/>
                <w:sz w:val="8"/>
                <w:szCs w:val="8"/>
                <w:color w:val="auto"/>
                <w:w w:val="98"/>
              </w:rPr>
              <w:t>millions</w:t>
            </w: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jc w:val="center"/>
              <w:ind w:left="165"/>
              <w:spacing w:after="0"/>
              <w:rPr>
                <w:sz w:val="20"/>
                <w:szCs w:val="20"/>
                <w:color w:val="auto"/>
              </w:rPr>
            </w:pPr>
            <w:r>
              <w:rPr>
                <w:rFonts w:ascii="Times New Roman" w:cs="Times New Roman" w:eastAsia="Times New Roman" w:hAnsi="Times New Roman"/>
                <w:sz w:val="8"/>
                <w:szCs w:val="8"/>
                <w:color w:val="auto"/>
              </w:rPr>
              <w:t>millions</w:t>
            </w: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380" w:type="dxa"/>
            <w:vAlign w:val="bottom"/>
            <w:tcBorders>
              <w:top w:val="single" w:sz="8" w:color="CCEEFF"/>
            </w:tcBorders>
            <w:shd w:val="clear" w:color="auto" w:fill="CCEEFF"/>
          </w:tcPr>
          <w:p>
            <w:pPr>
              <w:spacing w:after="0" w:line="63" w:lineRule="exact"/>
              <w:rPr>
                <w:sz w:val="20"/>
                <w:szCs w:val="20"/>
                <w:color w:val="auto"/>
              </w:rPr>
            </w:pPr>
            <w:r>
              <w:rPr>
                <w:rFonts w:ascii="Times New Roman" w:cs="Times New Roman" w:eastAsia="Times New Roman" w:hAnsi="Times New Roman"/>
                <w:sz w:val="7"/>
                <w:szCs w:val="7"/>
                <w:b w:val="1"/>
                <w:bCs w:val="1"/>
                <w:color w:val="auto"/>
              </w:rPr>
              <w:t>Consolidated income (loss) available to common</w:t>
            </w:r>
          </w:p>
        </w:tc>
        <w:tc>
          <w:tcPr>
            <w:tcW w:w="48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right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3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8"/>
                <w:szCs w:val="8"/>
                <w:b w:val="1"/>
                <w:bCs w:val="1"/>
                <w:color w:val="auto"/>
              </w:rPr>
              <w:t>shareholders and diluted EPS</w:t>
            </w:r>
            <w:r>
              <w:rPr>
                <w:rFonts w:ascii="Times New Roman" w:cs="Times New Roman" w:eastAsia="Times New Roman" w:hAnsi="Times New Roman"/>
                <w:sz w:val="13"/>
                <w:szCs w:val="13"/>
                <w:b w:val="1"/>
                <w:bCs w:val="1"/>
                <w:color w:val="auto"/>
                <w:vertAlign w:val="superscript"/>
              </w:rPr>
              <w:t>(3)</w:t>
            </w:r>
          </w:p>
        </w:tc>
        <w:tc>
          <w:tcPr>
            <w:tcW w:w="480" w:type="dxa"/>
            <w:vAlign w:val="bottom"/>
            <w:shd w:val="clear" w:color="auto" w:fill="CCEEFF"/>
          </w:tcPr>
          <w:p>
            <w:pPr>
              <w:jc w:val="right"/>
              <w:ind w:right="405"/>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8"/>
                <w:szCs w:val="8"/>
                <w:color w:val="auto"/>
              </w:rPr>
              <w:t>508</w:t>
            </w:r>
          </w:p>
        </w:tc>
        <w:tc>
          <w:tcPr>
            <w:tcW w:w="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8"/>
                <w:szCs w:val="8"/>
                <w:color w:val="auto"/>
              </w:rPr>
              <w:t>0.95</w:t>
            </w:r>
          </w:p>
        </w:tc>
        <w:tc>
          <w:tcPr>
            <w:tcW w:w="1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rPr>
              <w:t>(1,074)</w:t>
            </w:r>
          </w:p>
        </w:tc>
        <w:tc>
          <w:tcPr>
            <w:tcW w:w="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8"/>
                <w:szCs w:val="8"/>
                <w:color w:val="auto"/>
              </w:rPr>
              <w:t>(2.02)</w:t>
            </w:r>
          </w:p>
        </w:tc>
        <w:tc>
          <w:tcPr>
            <w:tcW w:w="1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8"/>
                <w:szCs w:val="8"/>
                <w:color w:val="auto"/>
              </w:rPr>
              <w:t>(201)</w:t>
            </w:r>
          </w:p>
        </w:tc>
        <w:tc>
          <w:tcPr>
            <w:tcW w:w="500" w:type="dxa"/>
            <w:vAlign w:val="bottom"/>
            <w:shd w:val="clear" w:color="auto" w:fill="CCEEFF"/>
          </w:tcPr>
          <w:p>
            <w:pPr>
              <w:jc w:val="right"/>
              <w:ind w:right="424"/>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8"/>
                <w:szCs w:val="8"/>
                <w:color w:val="auto"/>
              </w:rPr>
              <w:t>(0.38)</w:t>
            </w:r>
          </w:p>
        </w:tc>
        <w:tc>
          <w:tcPr>
            <w:tcW w:w="480" w:type="dxa"/>
            <w:vAlign w:val="bottom"/>
            <w:shd w:val="clear" w:color="auto" w:fill="CCEEFF"/>
          </w:tcPr>
          <w:p>
            <w:pPr>
              <w:jc w:val="right"/>
              <w:ind w:right="402"/>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(182)</w:t>
            </w:r>
          </w:p>
        </w:tc>
        <w:tc>
          <w:tcPr>
            <w:tcW w:w="48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(0.34)</w:t>
            </w:r>
          </w:p>
        </w:tc>
        <w:tc>
          <w:tcPr>
            <w:tcW w:w="480" w:type="dxa"/>
            <w:vAlign w:val="bottom"/>
            <w:shd w:val="clear" w:color="auto" w:fill="CCEEFF"/>
          </w:tcPr>
          <w:p>
            <w:pPr>
              <w:jc w:val="right"/>
              <w:ind w:right="405"/>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(949)</w:t>
            </w:r>
          </w:p>
        </w:tc>
        <w:tc>
          <w:tcPr>
            <w:tcW w:w="1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gridSpan w:val="2"/>
            <w:shd w:val="clear" w:color="auto" w:fill="CCEEFF"/>
          </w:tcPr>
          <w:p>
            <w:pPr>
              <w:jc w:val="center"/>
              <w:ind w:left="219"/>
              <w:spacing w:after="0"/>
              <w:rPr>
                <w:sz w:val="20"/>
                <w:szCs w:val="20"/>
                <w:color w:val="auto"/>
              </w:rPr>
            </w:pPr>
            <w:r>
              <w:rPr>
                <w:rFonts w:ascii="Times New Roman" w:cs="Times New Roman" w:eastAsia="Times New Roman" w:hAnsi="Times New Roman"/>
                <w:sz w:val="8"/>
                <w:szCs w:val="8"/>
                <w:color w:val="auto"/>
              </w:rPr>
              <w:t>(1.79)</w:t>
            </w:r>
          </w:p>
        </w:tc>
        <w:tc>
          <w:tcPr>
            <w:tcW w:w="0" w:type="dxa"/>
            <w:vAlign w:val="bottom"/>
          </w:tcPr>
          <w:p>
            <w:pPr>
              <w:spacing w:after="0"/>
              <w:rPr>
                <w:sz w:val="1"/>
                <w:szCs w:val="1"/>
                <w:color w:val="auto"/>
              </w:rPr>
            </w:pPr>
          </w:p>
        </w:tc>
      </w:tr>
      <w:tr>
        <w:trPr>
          <w:trHeight w:val="117"/>
        </w:trPr>
        <w:tc>
          <w:tcPr>
            <w:tcW w:w="2380" w:type="dxa"/>
            <w:vAlign w:val="bottom"/>
          </w:tcPr>
          <w:p>
            <w:pPr>
              <w:spacing w:after="0" w:line="117" w:lineRule="exact"/>
              <w:rPr>
                <w:sz w:val="20"/>
                <w:szCs w:val="20"/>
                <w:color w:val="auto"/>
              </w:rPr>
            </w:pPr>
            <w:r>
              <w:rPr>
                <w:rFonts w:ascii="Times New Roman" w:cs="Times New Roman" w:eastAsia="Times New Roman" w:hAnsi="Times New Roman"/>
                <w:sz w:val="8"/>
                <w:szCs w:val="8"/>
                <w:b w:val="1"/>
                <w:bCs w:val="1"/>
                <w:color w:val="auto"/>
              </w:rPr>
              <w:t>Timing effects impacting CES</w:t>
            </w:r>
            <w:r>
              <w:rPr>
                <w:rFonts w:ascii="Times New Roman" w:cs="Times New Roman" w:eastAsia="Times New Roman" w:hAnsi="Times New Roman"/>
                <w:sz w:val="13"/>
                <w:szCs w:val="13"/>
                <w:b w:val="1"/>
                <w:bCs w:val="1"/>
                <w:color w:val="auto"/>
                <w:vertAlign w:val="superscript"/>
              </w:rPr>
              <w:t>(1)</w:t>
            </w:r>
            <w:r>
              <w:rPr>
                <w:rFonts w:ascii="Times New Roman" w:cs="Times New Roman" w:eastAsia="Times New Roman" w:hAnsi="Times New Roman"/>
                <w:sz w:val="8"/>
                <w:szCs w:val="8"/>
                <w:b w:val="1"/>
                <w:bCs w:val="1"/>
                <w:color w:val="auto"/>
              </w:rPr>
              <w:t>:</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3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8"/>
                <w:szCs w:val="8"/>
                <w:color w:val="auto"/>
              </w:rPr>
              <w:t>Mark-to-market (gains) losses (net of taxes of $3)</w:t>
            </w:r>
            <w:r>
              <w:rPr>
                <w:rFonts w:ascii="Times New Roman" w:cs="Times New Roman" w:eastAsia="Times New Roman" w:hAnsi="Times New Roman"/>
                <w:sz w:val="13"/>
                <w:szCs w:val="13"/>
                <w:color w:val="auto"/>
                <w:vertAlign w:val="superscript"/>
              </w:rPr>
              <w:t>(4)</w:t>
            </w:r>
          </w:p>
        </w:tc>
        <w:tc>
          <w:tcPr>
            <w:tcW w:w="4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50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(10)</w:t>
            </w:r>
          </w:p>
        </w:tc>
        <w:tc>
          <w:tcPr>
            <w:tcW w:w="48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(0.02)</w:t>
            </w:r>
          </w:p>
        </w:tc>
        <w:tc>
          <w:tcPr>
            <w:tcW w:w="48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(10)</w:t>
            </w:r>
          </w:p>
        </w:tc>
        <w:tc>
          <w:tcPr>
            <w:tcW w:w="1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center"/>
              <w:ind w:left="219"/>
              <w:spacing w:after="0"/>
              <w:rPr>
                <w:sz w:val="20"/>
                <w:szCs w:val="20"/>
                <w:color w:val="auto"/>
              </w:rPr>
            </w:pPr>
            <w:r>
              <w:rPr>
                <w:rFonts w:ascii="Times New Roman" w:cs="Times New Roman" w:eastAsia="Times New Roman" w:hAnsi="Times New Roman"/>
                <w:sz w:val="8"/>
                <w:szCs w:val="8"/>
                <w:color w:val="auto"/>
              </w:rPr>
              <w:t>(0.02)</w:t>
            </w:r>
          </w:p>
        </w:tc>
        <w:tc>
          <w:tcPr>
            <w:tcW w:w="0" w:type="dxa"/>
            <w:vAlign w:val="bottom"/>
          </w:tcPr>
          <w:p>
            <w:pPr>
              <w:spacing w:after="0"/>
              <w:rPr>
                <w:sz w:val="1"/>
                <w:szCs w:val="1"/>
                <w:color w:val="auto"/>
              </w:rPr>
            </w:pPr>
          </w:p>
        </w:tc>
      </w:tr>
      <w:tr>
        <w:trPr>
          <w:trHeight w:val="90"/>
        </w:trPr>
        <w:tc>
          <w:tcPr>
            <w:tcW w:w="2380" w:type="dxa"/>
            <w:vAlign w:val="bottom"/>
          </w:tcPr>
          <w:p>
            <w:pPr>
              <w:spacing w:after="0" w:line="90" w:lineRule="exact"/>
              <w:rPr>
                <w:sz w:val="20"/>
                <w:szCs w:val="20"/>
                <w:color w:val="auto"/>
              </w:rPr>
            </w:pPr>
            <w:r>
              <w:rPr>
                <w:rFonts w:ascii="Times New Roman" w:cs="Times New Roman" w:eastAsia="Times New Roman" w:hAnsi="Times New Roman"/>
                <w:sz w:val="8"/>
                <w:szCs w:val="8"/>
                <w:b w:val="1"/>
                <w:bCs w:val="1"/>
                <w:color w:val="auto"/>
              </w:rPr>
              <w:t>ZENS-related mark-to-market (gains) losses:</w:t>
            </w: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380" w:type="dxa"/>
            <w:vAlign w:val="bottom"/>
            <w:shd w:val="clear" w:color="auto" w:fill="CCEEFF"/>
          </w:tcPr>
          <w:p>
            <w:pPr>
              <w:spacing w:after="0" w:line="90" w:lineRule="exact"/>
              <w:rPr>
                <w:sz w:val="20"/>
                <w:szCs w:val="20"/>
                <w:color w:val="auto"/>
              </w:rPr>
            </w:pPr>
            <w:r>
              <w:rPr>
                <w:rFonts w:ascii="Times New Roman" w:cs="Times New Roman" w:eastAsia="Times New Roman" w:hAnsi="Times New Roman"/>
                <w:sz w:val="8"/>
                <w:szCs w:val="8"/>
                <w:color w:val="auto"/>
              </w:rPr>
              <w:t>Equity securities (net of taxes of $11)(4)(5)</w:t>
            </w:r>
          </w:p>
        </w:tc>
        <w:tc>
          <w:tcPr>
            <w:tcW w:w="4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40"/>
              <w:spacing w:after="0" w:line="90" w:lineRule="exact"/>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240"/>
              <w:spacing w:after="0" w:line="90"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7"/>
                <w:szCs w:val="7"/>
                <w:color w:val="auto"/>
              </w:rPr>
            </w:pPr>
          </w:p>
        </w:tc>
        <w:tc>
          <w:tcPr>
            <w:tcW w:w="800" w:type="dxa"/>
            <w:vAlign w:val="bottom"/>
            <w:gridSpan w:val="2"/>
            <w:shd w:val="clear" w:color="auto" w:fill="CCEEFF"/>
          </w:tcPr>
          <w:p>
            <w:pPr>
              <w:jc w:val="right"/>
              <w:ind w:right="240"/>
              <w:spacing w:after="0" w:line="90" w:lineRule="exact"/>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CEEFF"/>
          </w:tcPr>
          <w:p>
            <w:pPr>
              <w:spacing w:after="0"/>
              <w:rPr>
                <w:sz w:val="7"/>
                <w:szCs w:val="7"/>
                <w:color w:val="auto"/>
              </w:rPr>
            </w:pPr>
          </w:p>
        </w:tc>
        <w:tc>
          <w:tcPr>
            <w:tcW w:w="700" w:type="dxa"/>
            <w:vAlign w:val="bottom"/>
            <w:gridSpan w:val="2"/>
            <w:shd w:val="clear" w:color="auto" w:fill="CCEEFF"/>
          </w:tcPr>
          <w:p>
            <w:pPr>
              <w:jc w:val="right"/>
              <w:ind w:right="2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780" w:type="dxa"/>
            <w:vAlign w:val="bottom"/>
            <w:gridSpan w:val="2"/>
            <w:shd w:val="clear" w:color="auto" w:fill="CCEEFF"/>
          </w:tcPr>
          <w:p>
            <w:pPr>
              <w:jc w:val="right"/>
              <w:ind w:right="200"/>
              <w:spacing w:after="0" w:line="90" w:lineRule="exact"/>
              <w:rPr>
                <w:sz w:val="20"/>
                <w:szCs w:val="20"/>
                <w:color w:val="auto"/>
              </w:rPr>
            </w:pPr>
            <w:r>
              <w:rPr>
                <w:rFonts w:ascii="Times New Roman" w:cs="Times New Roman" w:eastAsia="Times New Roman" w:hAnsi="Times New Roman"/>
                <w:sz w:val="8"/>
                <w:szCs w:val="8"/>
                <w:color w:val="auto"/>
              </w:rPr>
              <w:t>(38)</w:t>
            </w:r>
          </w:p>
        </w:tc>
        <w:tc>
          <w:tcPr>
            <w:tcW w:w="50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200"/>
              <w:spacing w:after="0" w:line="90" w:lineRule="exact"/>
              <w:rPr>
                <w:sz w:val="20"/>
                <w:szCs w:val="20"/>
                <w:color w:val="auto"/>
              </w:rPr>
            </w:pPr>
            <w:r>
              <w:rPr>
                <w:rFonts w:ascii="Times New Roman" w:cs="Times New Roman" w:eastAsia="Times New Roman" w:hAnsi="Times New Roman"/>
                <w:sz w:val="8"/>
                <w:szCs w:val="8"/>
                <w:color w:val="auto"/>
              </w:rPr>
              <w:t>(0.07)</w:t>
            </w:r>
          </w:p>
        </w:tc>
        <w:tc>
          <w:tcPr>
            <w:tcW w:w="48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220"/>
              <w:spacing w:after="0" w:line="90" w:lineRule="exact"/>
              <w:rPr>
                <w:sz w:val="20"/>
                <w:szCs w:val="20"/>
                <w:color w:val="auto"/>
              </w:rPr>
            </w:pPr>
            <w:r>
              <w:rPr>
                <w:rFonts w:ascii="Times New Roman" w:cs="Times New Roman" w:eastAsia="Times New Roman" w:hAnsi="Times New Roman"/>
                <w:sz w:val="8"/>
                <w:szCs w:val="8"/>
                <w:color w:val="auto"/>
              </w:rPr>
              <w:t>—</w:t>
            </w:r>
          </w:p>
        </w:tc>
        <w:tc>
          <w:tcPr>
            <w:tcW w:w="48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220"/>
              <w:spacing w:after="0" w:line="90" w:lineRule="exact"/>
              <w:rPr>
                <w:sz w:val="20"/>
                <w:szCs w:val="20"/>
                <w:color w:val="auto"/>
              </w:rPr>
            </w:pPr>
            <w:r>
              <w:rPr>
                <w:rFonts w:ascii="Times New Roman" w:cs="Times New Roman" w:eastAsia="Times New Roman" w:hAnsi="Times New Roman"/>
                <w:sz w:val="8"/>
                <w:szCs w:val="8"/>
                <w:color w:val="auto"/>
              </w:rPr>
              <w:t>—</w:t>
            </w:r>
          </w:p>
        </w:tc>
        <w:tc>
          <w:tcPr>
            <w:tcW w:w="48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180"/>
              <w:spacing w:after="0" w:line="90" w:lineRule="exact"/>
              <w:rPr>
                <w:sz w:val="20"/>
                <w:szCs w:val="20"/>
                <w:color w:val="auto"/>
              </w:rPr>
            </w:pPr>
            <w:r>
              <w:rPr>
                <w:rFonts w:ascii="Times New Roman" w:cs="Times New Roman" w:eastAsia="Times New Roman" w:hAnsi="Times New Roman"/>
                <w:sz w:val="8"/>
                <w:szCs w:val="8"/>
                <w:color w:val="auto"/>
              </w:rPr>
              <w:t>(38)</w:t>
            </w:r>
          </w:p>
        </w:tc>
        <w:tc>
          <w:tcPr>
            <w:tcW w:w="16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center"/>
              <w:ind w:left="219"/>
              <w:spacing w:after="0" w:line="90" w:lineRule="exact"/>
              <w:rPr>
                <w:sz w:val="20"/>
                <w:szCs w:val="20"/>
                <w:color w:val="auto"/>
              </w:rPr>
            </w:pPr>
            <w:r>
              <w:rPr>
                <w:rFonts w:ascii="Times New Roman" w:cs="Times New Roman" w:eastAsia="Times New Roman" w:hAnsi="Times New Roman"/>
                <w:sz w:val="8"/>
                <w:szCs w:val="8"/>
                <w:color w:val="auto"/>
              </w:rPr>
              <w:t>(0.07)</w:t>
            </w:r>
          </w:p>
        </w:tc>
        <w:tc>
          <w:tcPr>
            <w:tcW w:w="0" w:type="dxa"/>
            <w:vAlign w:val="bottom"/>
          </w:tcPr>
          <w:p>
            <w:pPr>
              <w:spacing w:after="0"/>
              <w:rPr>
                <w:sz w:val="1"/>
                <w:szCs w:val="1"/>
                <w:color w:val="auto"/>
              </w:rPr>
            </w:pPr>
          </w:p>
        </w:tc>
      </w:tr>
      <w:tr>
        <w:trPr>
          <w:trHeight w:val="117"/>
        </w:trPr>
        <w:tc>
          <w:tcPr>
            <w:tcW w:w="2380" w:type="dxa"/>
            <w:vAlign w:val="bottom"/>
          </w:tcPr>
          <w:p>
            <w:pPr>
              <w:spacing w:after="0" w:line="117" w:lineRule="exact"/>
              <w:rPr>
                <w:sz w:val="20"/>
                <w:szCs w:val="20"/>
                <w:color w:val="auto"/>
              </w:rPr>
            </w:pPr>
            <w:r>
              <w:rPr>
                <w:rFonts w:ascii="Times New Roman" w:cs="Times New Roman" w:eastAsia="Times New Roman" w:hAnsi="Times New Roman"/>
                <w:sz w:val="8"/>
                <w:szCs w:val="8"/>
                <w:color w:val="auto"/>
              </w:rPr>
              <w:t>Indexed debt securities (net of taxes of $13)</w:t>
            </w:r>
            <w:r>
              <w:rPr>
                <w:rFonts w:ascii="Times New Roman" w:cs="Times New Roman" w:eastAsia="Times New Roman" w:hAnsi="Times New Roman"/>
                <w:sz w:val="13"/>
                <w:szCs w:val="13"/>
                <w:color w:val="auto"/>
                <w:vertAlign w:val="superscript"/>
              </w:rPr>
              <w:t>(4)</w:t>
            </w:r>
          </w:p>
        </w:tc>
        <w:tc>
          <w:tcPr>
            <w:tcW w:w="480" w:type="dxa"/>
            <w:vAlign w:val="bottom"/>
          </w:tcPr>
          <w:p>
            <w:pPr>
              <w:spacing w:after="0"/>
              <w:rPr>
                <w:sz w:val="10"/>
                <w:szCs w:val="10"/>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10"/>
                <w:szCs w:val="10"/>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spacing w:after="0"/>
              <w:rPr>
                <w:sz w:val="10"/>
                <w:szCs w:val="1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10"/>
                <w:szCs w:val="1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rPr>
              <w:t>47</w:t>
            </w:r>
          </w:p>
        </w:tc>
        <w:tc>
          <w:tcPr>
            <w:tcW w:w="500" w:type="dxa"/>
            <w:vAlign w:val="bottom"/>
          </w:tcPr>
          <w:p>
            <w:pPr>
              <w:spacing w:after="0"/>
              <w:rPr>
                <w:sz w:val="10"/>
                <w:szCs w:val="10"/>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rPr>
              <w:t>0.09</w:t>
            </w:r>
          </w:p>
        </w:tc>
        <w:tc>
          <w:tcPr>
            <w:tcW w:w="480" w:type="dxa"/>
            <w:vAlign w:val="bottom"/>
          </w:tcPr>
          <w:p>
            <w:pPr>
              <w:spacing w:after="0"/>
              <w:rPr>
                <w:sz w:val="10"/>
                <w:szCs w:val="10"/>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spacing w:after="0"/>
              <w:rPr>
                <w:sz w:val="10"/>
                <w:szCs w:val="10"/>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spacing w:after="0"/>
              <w:rPr>
                <w:sz w:val="10"/>
                <w:szCs w:val="10"/>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rPr>
              <w:t>47</w:t>
            </w:r>
          </w:p>
        </w:tc>
        <w:tc>
          <w:tcPr>
            <w:tcW w:w="160" w:type="dxa"/>
            <w:vAlign w:val="bottom"/>
          </w:tcPr>
          <w:p>
            <w:pPr>
              <w:spacing w:after="0"/>
              <w:rPr>
                <w:sz w:val="10"/>
                <w:szCs w:val="10"/>
                <w:color w:val="auto"/>
              </w:rPr>
            </w:pPr>
          </w:p>
        </w:tc>
        <w:tc>
          <w:tcPr>
            <w:tcW w:w="520" w:type="dxa"/>
            <w:vAlign w:val="bottom"/>
          </w:tcPr>
          <w:p>
            <w:pPr>
              <w:jc w:val="center"/>
              <w:ind w:left="299"/>
              <w:spacing w:after="0"/>
              <w:rPr>
                <w:sz w:val="20"/>
                <w:szCs w:val="20"/>
                <w:color w:val="auto"/>
              </w:rPr>
            </w:pPr>
            <w:r>
              <w:rPr>
                <w:rFonts w:ascii="Times New Roman" w:cs="Times New Roman" w:eastAsia="Times New Roman" w:hAnsi="Times New Roman"/>
                <w:sz w:val="8"/>
                <w:szCs w:val="8"/>
                <w:color w:val="auto"/>
                <w:w w:val="99"/>
              </w:rPr>
              <w:t>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380" w:type="dxa"/>
            <w:vAlign w:val="bottom"/>
            <w:shd w:val="clear" w:color="auto" w:fill="CCEEFF"/>
          </w:tcPr>
          <w:p>
            <w:pPr>
              <w:spacing w:after="0" w:line="83" w:lineRule="exact"/>
              <w:rPr>
                <w:sz w:val="20"/>
                <w:szCs w:val="20"/>
                <w:color w:val="auto"/>
              </w:rPr>
            </w:pPr>
            <w:r>
              <w:rPr>
                <w:rFonts w:ascii="Times New Roman" w:cs="Times New Roman" w:eastAsia="Times New Roman" w:hAnsi="Times New Roman"/>
                <w:sz w:val="8"/>
                <w:szCs w:val="8"/>
                <w:b w:val="1"/>
                <w:bCs w:val="1"/>
                <w:color w:val="auto"/>
              </w:rPr>
              <w:t>Impacts associated with the Vectren merger (net of taxes of</w:t>
            </w: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20" w:type="dxa"/>
            <w:vAlign w:val="bottom"/>
            <w:tcBorders>
              <w:right w:val="single" w:sz="8" w:color="CCEEFF"/>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3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8"/>
                <w:szCs w:val="8"/>
                <w:b w:val="1"/>
                <w:bCs w:val="1"/>
                <w:color w:val="auto"/>
              </w:rPr>
              <w:t>$1, $3)</w:t>
            </w:r>
            <w:r>
              <w:rPr>
                <w:rFonts w:ascii="Times New Roman" w:cs="Times New Roman" w:eastAsia="Times New Roman" w:hAnsi="Times New Roman"/>
                <w:sz w:val="13"/>
                <w:szCs w:val="13"/>
                <w:b w:val="1"/>
                <w:bCs w:val="1"/>
                <w:color w:val="auto"/>
                <w:vertAlign w:val="superscript"/>
              </w:rPr>
              <w:t>(4)</w:t>
            </w:r>
          </w:p>
        </w:tc>
        <w:tc>
          <w:tcPr>
            <w:tcW w:w="4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8"/>
                <w:szCs w:val="8"/>
                <w:color w:val="auto"/>
              </w:rPr>
              <w:t>3</w:t>
            </w:r>
          </w:p>
        </w:tc>
        <w:tc>
          <w:tcPr>
            <w:tcW w:w="2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8"/>
                <w:szCs w:val="8"/>
                <w:color w:val="auto"/>
              </w:rPr>
              <w:t>0.01</w:t>
            </w:r>
          </w:p>
        </w:tc>
        <w:tc>
          <w:tcPr>
            <w:tcW w:w="12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rPr>
              <w:t>12</w:t>
            </w:r>
          </w:p>
        </w:tc>
        <w:tc>
          <w:tcPr>
            <w:tcW w:w="50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rPr>
              <w:t>0.02</w:t>
            </w:r>
          </w:p>
        </w:tc>
        <w:tc>
          <w:tcPr>
            <w:tcW w:w="48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rPr>
              <w:t>15</w:t>
            </w:r>
          </w:p>
        </w:tc>
        <w:tc>
          <w:tcPr>
            <w:tcW w:w="160" w:type="dxa"/>
            <w:vAlign w:val="bottom"/>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jc w:val="center"/>
              <w:ind w:left="299"/>
              <w:spacing w:after="0"/>
              <w:rPr>
                <w:sz w:val="20"/>
                <w:szCs w:val="20"/>
                <w:color w:val="auto"/>
              </w:rPr>
            </w:pPr>
            <w:r>
              <w:rPr>
                <w:rFonts w:ascii="Times New Roman" w:cs="Times New Roman" w:eastAsia="Times New Roman" w:hAnsi="Times New Roman"/>
                <w:sz w:val="8"/>
                <w:szCs w:val="8"/>
                <w:color w:val="auto"/>
                <w:w w:val="99"/>
              </w:rPr>
              <w:t>0.03</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380" w:type="dxa"/>
            <w:vAlign w:val="bottom"/>
          </w:tcPr>
          <w:p>
            <w:pPr>
              <w:spacing w:after="0" w:line="83" w:lineRule="exact"/>
              <w:rPr>
                <w:sz w:val="20"/>
                <w:szCs w:val="20"/>
                <w:color w:val="auto"/>
              </w:rPr>
            </w:pPr>
            <w:r>
              <w:rPr>
                <w:rFonts w:ascii="Times New Roman" w:cs="Times New Roman" w:eastAsia="Times New Roman" w:hAnsi="Times New Roman"/>
                <w:sz w:val="8"/>
                <w:szCs w:val="8"/>
                <w:b w:val="1"/>
                <w:bCs w:val="1"/>
                <w:color w:val="auto"/>
              </w:rPr>
              <w:t>Impacts associated with BREC activities and Severance</w:t>
            </w: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380" w:type="dxa"/>
            <w:vAlign w:val="bottom"/>
          </w:tcPr>
          <w:p>
            <w:pPr>
              <w:spacing w:after="0" w:line="124" w:lineRule="exact"/>
              <w:rPr>
                <w:sz w:val="20"/>
                <w:szCs w:val="20"/>
                <w:color w:val="auto"/>
              </w:rPr>
            </w:pPr>
            <w:r>
              <w:rPr>
                <w:rFonts w:ascii="Times New Roman" w:cs="Times New Roman" w:eastAsia="Times New Roman" w:hAnsi="Times New Roman"/>
                <w:sz w:val="8"/>
                <w:szCs w:val="8"/>
                <w:b w:val="1"/>
                <w:bCs w:val="1"/>
                <w:color w:val="auto"/>
              </w:rPr>
              <w:t>costs (net of taxes of $4, $0)</w:t>
            </w:r>
            <w:r>
              <w:rPr>
                <w:rFonts w:ascii="Times New Roman" w:cs="Times New Roman" w:eastAsia="Times New Roman" w:hAnsi="Times New Roman"/>
                <w:sz w:val="13"/>
                <w:szCs w:val="13"/>
                <w:b w:val="1"/>
                <w:bCs w:val="1"/>
                <w:color w:val="auto"/>
                <w:vertAlign w:val="superscript"/>
              </w:rPr>
              <w:t>(4)</w:t>
            </w:r>
          </w:p>
        </w:tc>
        <w:tc>
          <w:tcPr>
            <w:tcW w:w="480" w:type="dxa"/>
            <w:vAlign w:val="bottom"/>
          </w:tcPr>
          <w:p>
            <w:pPr>
              <w:spacing w:after="0"/>
              <w:rPr>
                <w:sz w:val="10"/>
                <w:szCs w:val="10"/>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8"/>
                <w:szCs w:val="8"/>
                <w:color w:val="auto"/>
              </w:rPr>
              <w:t>14</w:t>
            </w:r>
          </w:p>
        </w:tc>
        <w:tc>
          <w:tcPr>
            <w:tcW w:w="20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8"/>
                <w:szCs w:val="8"/>
                <w:color w:val="auto"/>
              </w:rPr>
              <w:t>0.03</w:t>
            </w:r>
          </w:p>
        </w:tc>
        <w:tc>
          <w:tcPr>
            <w:tcW w:w="120" w:type="dxa"/>
            <w:vAlign w:val="bottom"/>
          </w:tcPr>
          <w:p>
            <w:pPr>
              <w:spacing w:after="0"/>
              <w:rPr>
                <w:sz w:val="10"/>
                <w:szCs w:val="10"/>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spacing w:after="0"/>
              <w:rPr>
                <w:sz w:val="10"/>
                <w:szCs w:val="1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10"/>
                <w:szCs w:val="1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rPr>
              <w:t>3</w:t>
            </w:r>
          </w:p>
        </w:tc>
        <w:tc>
          <w:tcPr>
            <w:tcW w:w="500" w:type="dxa"/>
            <w:vAlign w:val="bottom"/>
          </w:tcPr>
          <w:p>
            <w:pPr>
              <w:spacing w:after="0"/>
              <w:rPr>
                <w:sz w:val="10"/>
                <w:szCs w:val="10"/>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spacing w:after="0"/>
              <w:rPr>
                <w:sz w:val="10"/>
                <w:szCs w:val="10"/>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spacing w:after="0"/>
              <w:rPr>
                <w:sz w:val="10"/>
                <w:szCs w:val="10"/>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spacing w:after="0"/>
              <w:rPr>
                <w:sz w:val="10"/>
                <w:szCs w:val="10"/>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rPr>
              <w:t>17</w:t>
            </w:r>
          </w:p>
        </w:tc>
        <w:tc>
          <w:tcPr>
            <w:tcW w:w="160" w:type="dxa"/>
            <w:vAlign w:val="bottom"/>
          </w:tcPr>
          <w:p>
            <w:pPr>
              <w:spacing w:after="0"/>
              <w:rPr>
                <w:sz w:val="10"/>
                <w:szCs w:val="10"/>
                <w:color w:val="auto"/>
              </w:rPr>
            </w:pPr>
          </w:p>
        </w:tc>
        <w:tc>
          <w:tcPr>
            <w:tcW w:w="520" w:type="dxa"/>
            <w:vAlign w:val="bottom"/>
          </w:tcPr>
          <w:p>
            <w:pPr>
              <w:jc w:val="center"/>
              <w:ind w:left="299"/>
              <w:spacing w:after="0"/>
              <w:rPr>
                <w:sz w:val="20"/>
                <w:szCs w:val="20"/>
                <w:color w:val="auto"/>
              </w:rPr>
            </w:pPr>
            <w:r>
              <w:rPr>
                <w:rFonts w:ascii="Times New Roman" w:cs="Times New Roman" w:eastAsia="Times New Roman" w:hAnsi="Times New Roman"/>
                <w:sz w:val="8"/>
                <w:szCs w:val="8"/>
                <w:color w:val="auto"/>
                <w:w w:val="99"/>
              </w:rPr>
              <w:t>0.03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38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8"/>
                <w:szCs w:val="8"/>
                <w:b w:val="1"/>
                <w:bCs w:val="1"/>
                <w:color w:val="auto"/>
              </w:rPr>
              <w:t>Impacts associated with the sales of CES</w:t>
            </w:r>
            <w:r>
              <w:rPr>
                <w:rFonts w:ascii="Times New Roman" w:cs="Times New Roman" w:eastAsia="Times New Roman" w:hAnsi="Times New Roman"/>
                <w:sz w:val="12"/>
                <w:szCs w:val="12"/>
                <w:b w:val="1"/>
                <w:bCs w:val="1"/>
                <w:color w:val="auto"/>
                <w:vertAlign w:val="superscript"/>
              </w:rPr>
              <w:t>(1)</w:t>
            </w:r>
            <w:r>
              <w:rPr>
                <w:rFonts w:ascii="Times New Roman" w:cs="Times New Roman" w:eastAsia="Times New Roman" w:hAnsi="Times New Roman"/>
                <w:sz w:val="8"/>
                <w:szCs w:val="8"/>
                <w:b w:val="1"/>
                <w:bCs w:val="1"/>
                <w:color w:val="auto"/>
              </w:rPr>
              <w:t xml:space="preserve"> and CIS</w:t>
            </w:r>
            <w:r>
              <w:rPr>
                <w:rFonts w:ascii="Times New Roman" w:cs="Times New Roman" w:eastAsia="Times New Roman" w:hAnsi="Times New Roman"/>
                <w:sz w:val="12"/>
                <w:szCs w:val="12"/>
                <w:b w:val="1"/>
                <w:bCs w:val="1"/>
                <w:color w:val="auto"/>
                <w:vertAlign w:val="superscript"/>
              </w:rPr>
              <w:t>(2)</w:t>
            </w:r>
            <w:r>
              <w:rPr>
                <w:rFonts w:ascii="Times New Roman" w:cs="Times New Roman" w:eastAsia="Times New Roman" w:hAnsi="Times New Roman"/>
                <w:sz w:val="8"/>
                <w:szCs w:val="8"/>
                <w:b w:val="1"/>
                <w:bCs w:val="1"/>
                <w:color w:val="auto"/>
              </w:rPr>
              <w:t xml:space="preserve"> (net</w:t>
            </w:r>
          </w:p>
        </w:tc>
        <w:tc>
          <w:tcPr>
            <w:tcW w:w="4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8"/>
                <w:szCs w:val="8"/>
                <w:b w:val="1"/>
                <w:bCs w:val="1"/>
                <w:color w:val="auto"/>
              </w:rPr>
              <w:t>of taxes of $10)</w:t>
            </w:r>
            <w:r>
              <w:rPr>
                <w:rFonts w:ascii="Times New Roman" w:cs="Times New Roman" w:eastAsia="Times New Roman" w:hAnsi="Times New Roman"/>
                <w:sz w:val="13"/>
                <w:szCs w:val="13"/>
                <w:b w:val="1"/>
                <w:bCs w:val="1"/>
                <w:color w:val="auto"/>
                <w:vertAlign w:val="superscript"/>
              </w:rPr>
              <w:t>(4)</w:t>
            </w:r>
          </w:p>
        </w:tc>
        <w:tc>
          <w:tcPr>
            <w:tcW w:w="4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50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rPr>
              <w:t>217</w:t>
            </w:r>
          </w:p>
        </w:tc>
        <w:tc>
          <w:tcPr>
            <w:tcW w:w="48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rPr>
              <w:t>0.41</w:t>
            </w:r>
          </w:p>
        </w:tc>
        <w:tc>
          <w:tcPr>
            <w:tcW w:w="48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rPr>
              <w:t>217</w:t>
            </w:r>
          </w:p>
        </w:tc>
        <w:tc>
          <w:tcPr>
            <w:tcW w:w="160" w:type="dxa"/>
            <w:vAlign w:val="bottom"/>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jc w:val="center"/>
              <w:ind w:left="299"/>
              <w:spacing w:after="0"/>
              <w:rPr>
                <w:sz w:val="20"/>
                <w:szCs w:val="20"/>
                <w:color w:val="auto"/>
              </w:rPr>
            </w:pPr>
            <w:r>
              <w:rPr>
                <w:rFonts w:ascii="Times New Roman" w:cs="Times New Roman" w:eastAsia="Times New Roman" w:hAnsi="Times New Roman"/>
                <w:sz w:val="8"/>
                <w:szCs w:val="8"/>
                <w:color w:val="auto"/>
                <w:w w:val="99"/>
              </w:rPr>
              <w:t>0.41</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380" w:type="dxa"/>
            <w:vAlign w:val="bottom"/>
          </w:tcPr>
          <w:p>
            <w:pPr>
              <w:spacing w:after="0" w:line="90" w:lineRule="exact"/>
              <w:rPr>
                <w:sz w:val="20"/>
                <w:szCs w:val="20"/>
                <w:color w:val="auto"/>
              </w:rPr>
            </w:pPr>
            <w:r>
              <w:rPr>
                <w:rFonts w:ascii="Times New Roman" w:cs="Times New Roman" w:eastAsia="Times New Roman" w:hAnsi="Times New Roman"/>
                <w:sz w:val="8"/>
                <w:szCs w:val="8"/>
                <w:b w:val="1"/>
                <w:bCs w:val="1"/>
                <w:color w:val="auto"/>
              </w:rPr>
              <w:t>Impacts associated with Series C preferred stock</w:t>
            </w: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380" w:type="dxa"/>
            <w:vAlign w:val="bottom"/>
            <w:shd w:val="clear" w:color="auto" w:fill="CCEEFF"/>
          </w:tcPr>
          <w:p>
            <w:pPr>
              <w:spacing w:after="0" w:line="79" w:lineRule="exact"/>
              <w:rPr>
                <w:sz w:val="20"/>
                <w:szCs w:val="20"/>
                <w:color w:val="auto"/>
              </w:rPr>
            </w:pPr>
            <w:r>
              <w:rPr>
                <w:rFonts w:ascii="Times New Roman" w:cs="Times New Roman" w:eastAsia="Times New Roman" w:hAnsi="Times New Roman"/>
                <w:sz w:val="8"/>
                <w:szCs w:val="8"/>
                <w:color w:val="auto"/>
              </w:rPr>
              <w:t>Preferred stock dividend requirement and amortization of</w:t>
            </w:r>
          </w:p>
        </w:tc>
        <w:tc>
          <w:tcPr>
            <w:tcW w:w="4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20" w:type="dxa"/>
            <w:vAlign w:val="bottom"/>
            <w:tcBorders>
              <w:right w:val="single" w:sz="8" w:color="CCEEFF"/>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beneficial conversion feature</w:t>
            </w:r>
          </w:p>
        </w:tc>
        <w:tc>
          <w:tcPr>
            <w:tcW w:w="4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rPr>
              <w:t>58</w:t>
            </w:r>
          </w:p>
        </w:tc>
        <w:tc>
          <w:tcPr>
            <w:tcW w:w="50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rPr>
              <w:t>0.11</w:t>
            </w:r>
          </w:p>
        </w:tc>
        <w:tc>
          <w:tcPr>
            <w:tcW w:w="48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rPr>
              <w:t>58</w:t>
            </w:r>
          </w:p>
        </w:tc>
        <w:tc>
          <w:tcPr>
            <w:tcW w:w="160" w:type="dxa"/>
            <w:vAlign w:val="bottom"/>
            <w:shd w:val="clear" w:color="auto" w:fill="CCEEFF"/>
          </w:tcPr>
          <w:p>
            <w:pPr>
              <w:spacing w:after="0"/>
              <w:rPr>
                <w:sz w:val="8"/>
                <w:szCs w:val="8"/>
                <w:color w:val="auto"/>
              </w:rPr>
            </w:pPr>
          </w:p>
        </w:tc>
        <w:tc>
          <w:tcPr>
            <w:tcW w:w="520" w:type="dxa"/>
            <w:vAlign w:val="bottom"/>
            <w:tcBorders>
              <w:right w:val="single" w:sz="8" w:color="CCEEFF"/>
            </w:tcBorders>
            <w:shd w:val="clear" w:color="auto" w:fill="CCEEFF"/>
          </w:tcPr>
          <w:p>
            <w:pPr>
              <w:jc w:val="center"/>
              <w:ind w:left="299"/>
              <w:spacing w:after="0"/>
              <w:rPr>
                <w:sz w:val="20"/>
                <w:szCs w:val="20"/>
                <w:color w:val="auto"/>
              </w:rPr>
            </w:pPr>
            <w:r>
              <w:rPr>
                <w:rFonts w:ascii="Times New Roman" w:cs="Times New Roman" w:eastAsia="Times New Roman" w:hAnsi="Times New Roman"/>
                <w:sz w:val="8"/>
                <w:szCs w:val="8"/>
                <w:color w:val="auto"/>
                <w:w w:val="99"/>
              </w:rPr>
              <w:t>0.11</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2380" w:type="dxa"/>
            <w:vAlign w:val="bottom"/>
          </w:tcPr>
          <w:p>
            <w:pPr>
              <w:spacing w:after="0" w:line="79" w:lineRule="exact"/>
              <w:rPr>
                <w:sz w:val="20"/>
                <w:szCs w:val="20"/>
                <w:color w:val="auto"/>
              </w:rPr>
            </w:pPr>
            <w:r>
              <w:rPr>
                <w:rFonts w:ascii="Times New Roman" w:cs="Times New Roman" w:eastAsia="Times New Roman" w:hAnsi="Times New Roman"/>
                <w:sz w:val="8"/>
                <w:szCs w:val="8"/>
                <w:color w:val="auto"/>
              </w:rPr>
              <w:t>Impact of increased share count on EPS if issued as common</w:t>
            </w: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8"/>
                <w:szCs w:val="8"/>
                <w:color w:val="auto"/>
              </w:rPr>
              <w:t>(0.06)</w:t>
            </w: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380" w:type="dxa"/>
            <w:vAlign w:val="bottom"/>
          </w:tcPr>
          <w:p>
            <w:pPr>
              <w:spacing w:after="0"/>
              <w:rPr>
                <w:sz w:val="20"/>
                <w:szCs w:val="20"/>
                <w:color w:val="auto"/>
              </w:rPr>
            </w:pPr>
            <w:r>
              <w:rPr>
                <w:rFonts w:ascii="Times New Roman" w:cs="Times New Roman" w:eastAsia="Times New Roman" w:hAnsi="Times New Roman"/>
                <w:sz w:val="8"/>
                <w:szCs w:val="8"/>
                <w:color w:val="auto"/>
              </w:rPr>
              <w:t>stock</w:t>
            </w:r>
          </w:p>
        </w:tc>
        <w:tc>
          <w:tcPr>
            <w:tcW w:w="480" w:type="dxa"/>
            <w:vAlign w:val="bottom"/>
          </w:tcPr>
          <w:p>
            <w:pPr>
              <w:spacing w:after="0"/>
              <w:rPr>
                <w:sz w:val="8"/>
                <w:szCs w:val="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spacing w:after="0"/>
              <w:rPr>
                <w:sz w:val="8"/>
                <w:szCs w:val="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rPr>
              <w:t>0.12</w:t>
            </w:r>
          </w:p>
        </w:tc>
        <w:tc>
          <w:tcPr>
            <w:tcW w:w="140" w:type="dxa"/>
            <w:vAlign w:val="bottom"/>
          </w:tcPr>
          <w:p>
            <w:pPr>
              <w:spacing w:after="0"/>
              <w:rPr>
                <w:sz w:val="8"/>
                <w:szCs w:val="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500" w:type="dxa"/>
            <w:vAlign w:val="bottom"/>
          </w:tcPr>
          <w:p>
            <w:pPr>
              <w:spacing w:after="0"/>
              <w:rPr>
                <w:sz w:val="8"/>
                <w:szCs w:val="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rPr>
              <w:t>0.01</w:t>
            </w:r>
          </w:p>
        </w:tc>
        <w:tc>
          <w:tcPr>
            <w:tcW w:w="480" w:type="dxa"/>
            <w:vAlign w:val="bottom"/>
          </w:tcPr>
          <w:p>
            <w:pPr>
              <w:spacing w:after="0"/>
              <w:rPr>
                <w:sz w:val="8"/>
                <w:szCs w:val="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spacing w:after="0"/>
              <w:rPr>
                <w:sz w:val="8"/>
                <w:szCs w:val="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spacing w:after="0"/>
              <w:rPr>
                <w:sz w:val="8"/>
                <w:szCs w:val="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8"/>
                <w:szCs w:val="8"/>
                <w:color w:val="auto"/>
              </w:rPr>
            </w:pPr>
          </w:p>
        </w:tc>
        <w:tc>
          <w:tcPr>
            <w:tcW w:w="520" w:type="dxa"/>
            <w:vAlign w:val="bottom"/>
          </w:tcPr>
          <w:p>
            <w:pPr>
              <w:jc w:val="center"/>
              <w:ind w:left="299"/>
              <w:spacing w:after="0"/>
              <w:rPr>
                <w:sz w:val="20"/>
                <w:szCs w:val="20"/>
                <w:color w:val="auto"/>
              </w:rPr>
            </w:pPr>
            <w:r>
              <w:rPr>
                <w:rFonts w:ascii="Times New Roman" w:cs="Times New Roman" w:eastAsia="Times New Roman" w:hAnsi="Times New Roman"/>
                <w:sz w:val="8"/>
                <w:szCs w:val="8"/>
                <w:color w:val="auto"/>
                <w:w w:val="99"/>
              </w:rPr>
              <w:t>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8"/>
                <w:szCs w:val="8"/>
                <w:color w:val="auto"/>
              </w:rPr>
              <w:t>Total Series C impacts</w:t>
            </w: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380" w:type="dxa"/>
            <w:vAlign w:val="bottom"/>
            <w:vMerge w:val="continue"/>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200" w:type="dxa"/>
            <w:vAlign w:val="bottom"/>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w:t>
            </w:r>
          </w:p>
        </w:tc>
        <w:tc>
          <w:tcPr>
            <w:tcW w:w="2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gridSpan w:val="2"/>
            <w:shd w:val="clear" w:color="auto" w:fill="CCEEFF"/>
          </w:tcPr>
          <w:p>
            <w:pPr>
              <w:jc w:val="right"/>
              <w:ind w:right="220"/>
              <w:spacing w:after="0" w:line="79" w:lineRule="exact"/>
              <w:rPr>
                <w:sz w:val="20"/>
                <w:szCs w:val="20"/>
                <w:color w:val="auto"/>
              </w:rPr>
            </w:pPr>
            <w:r>
              <w:rPr>
                <w:rFonts w:ascii="Times New Roman" w:cs="Times New Roman" w:eastAsia="Times New Roman" w:hAnsi="Times New Roman"/>
                <w:sz w:val="8"/>
                <w:szCs w:val="8"/>
                <w:color w:val="auto"/>
              </w:rPr>
              <w:t>(0.06)</w:t>
            </w: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w:t>
            </w:r>
          </w:p>
        </w:tc>
        <w:tc>
          <w:tcPr>
            <w:tcW w:w="2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80" w:type="dxa"/>
            <w:vAlign w:val="bottom"/>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0.12</w:t>
            </w:r>
          </w:p>
        </w:tc>
        <w:tc>
          <w:tcPr>
            <w:tcW w:w="2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58</w:t>
            </w:r>
          </w:p>
        </w:tc>
        <w:tc>
          <w:tcPr>
            <w:tcW w:w="220" w:type="dxa"/>
            <w:vAlign w:val="bottom"/>
            <w:vMerge w:val="continue"/>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00" w:type="dxa"/>
            <w:vAlign w:val="bottom"/>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0.12</w:t>
            </w:r>
          </w:p>
        </w:tc>
        <w:tc>
          <w:tcPr>
            <w:tcW w:w="220" w:type="dxa"/>
            <w:vAlign w:val="bottom"/>
            <w:vMerge w:val="continue"/>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80" w:type="dxa"/>
            <w:vAlign w:val="bottom"/>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w:t>
            </w:r>
          </w:p>
        </w:tc>
        <w:tc>
          <w:tcPr>
            <w:tcW w:w="220" w:type="dxa"/>
            <w:vAlign w:val="bottom"/>
            <w:vMerge w:val="continue"/>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80" w:type="dxa"/>
            <w:vAlign w:val="bottom"/>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w:t>
            </w:r>
          </w:p>
        </w:tc>
        <w:tc>
          <w:tcPr>
            <w:tcW w:w="220" w:type="dxa"/>
            <w:vAlign w:val="bottom"/>
            <w:vMerge w:val="continue"/>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80" w:type="dxa"/>
            <w:vAlign w:val="bottom"/>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58</w:t>
            </w:r>
          </w:p>
        </w:tc>
        <w:tc>
          <w:tcPr>
            <w:tcW w:w="22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20" w:type="dxa"/>
            <w:vAlign w:val="bottom"/>
            <w:tcBorders>
              <w:right w:val="single" w:sz="8" w:color="CCEEFF"/>
            </w:tcBorders>
            <w:shd w:val="clear" w:color="auto" w:fill="CCEEFF"/>
          </w:tcPr>
          <w:p>
            <w:pPr>
              <w:jc w:val="center"/>
              <w:ind w:left="299"/>
              <w:spacing w:after="0" w:line="79" w:lineRule="exact"/>
              <w:rPr>
                <w:sz w:val="20"/>
                <w:szCs w:val="20"/>
                <w:color w:val="auto"/>
              </w:rPr>
            </w:pPr>
            <w:r>
              <w:rPr>
                <w:rFonts w:ascii="Times New Roman" w:cs="Times New Roman" w:eastAsia="Times New Roman" w:hAnsi="Times New Roman"/>
                <w:sz w:val="8"/>
                <w:szCs w:val="8"/>
                <w:color w:val="auto"/>
                <w:w w:val="99"/>
              </w:rPr>
              <w:t>0.18</w:t>
            </w: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2380" w:type="dxa"/>
            <w:vAlign w:val="bottom"/>
          </w:tcPr>
          <w:p>
            <w:pPr>
              <w:spacing w:after="0" w:line="117" w:lineRule="exact"/>
              <w:rPr>
                <w:sz w:val="20"/>
                <w:szCs w:val="20"/>
                <w:color w:val="auto"/>
              </w:rPr>
            </w:pPr>
            <w:r>
              <w:rPr>
                <w:rFonts w:ascii="Times New Roman" w:cs="Times New Roman" w:eastAsia="Times New Roman" w:hAnsi="Times New Roman"/>
                <w:sz w:val="8"/>
                <w:szCs w:val="8"/>
                <w:b w:val="1"/>
                <w:bCs w:val="1"/>
                <w:color w:val="auto"/>
              </w:rPr>
              <w:t>Losses on impairment (net of taxes of $0, $408)</w:t>
            </w:r>
            <w:r>
              <w:rPr>
                <w:rFonts w:ascii="Times New Roman" w:cs="Times New Roman" w:eastAsia="Times New Roman" w:hAnsi="Times New Roman"/>
                <w:sz w:val="13"/>
                <w:szCs w:val="13"/>
                <w:b w:val="1"/>
                <w:bCs w:val="1"/>
                <w:color w:val="auto"/>
                <w:vertAlign w:val="superscript"/>
              </w:rPr>
              <w:t>(4)</w:t>
            </w:r>
          </w:p>
        </w:tc>
        <w:tc>
          <w:tcPr>
            <w:tcW w:w="480" w:type="dxa"/>
            <w:vAlign w:val="bottom"/>
          </w:tcPr>
          <w:p>
            <w:pPr>
              <w:spacing w:after="0"/>
              <w:rPr>
                <w:sz w:val="10"/>
                <w:szCs w:val="10"/>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8"/>
                <w:szCs w:val="8"/>
                <w:color w:val="auto"/>
              </w:rPr>
              <w:t>185</w:t>
            </w:r>
          </w:p>
        </w:tc>
        <w:tc>
          <w:tcPr>
            <w:tcW w:w="20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8"/>
                <w:szCs w:val="8"/>
                <w:color w:val="auto"/>
              </w:rPr>
              <w:t>0.33</w:t>
            </w:r>
          </w:p>
        </w:tc>
        <w:tc>
          <w:tcPr>
            <w:tcW w:w="120" w:type="dxa"/>
            <w:vAlign w:val="bottom"/>
          </w:tcPr>
          <w:p>
            <w:pPr>
              <w:spacing w:after="0"/>
              <w:rPr>
                <w:sz w:val="10"/>
                <w:szCs w:val="10"/>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8"/>
                <w:szCs w:val="8"/>
                <w:color w:val="auto"/>
              </w:rPr>
              <w:t>1,269</w:t>
            </w:r>
          </w:p>
        </w:tc>
        <w:tc>
          <w:tcPr>
            <w:tcW w:w="200" w:type="dxa"/>
            <w:vAlign w:val="bottom"/>
          </w:tcPr>
          <w:p>
            <w:pPr>
              <w:spacing w:after="0"/>
              <w:rPr>
                <w:sz w:val="10"/>
                <w:szCs w:val="1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rPr>
              <w:t>2.25</w:t>
            </w:r>
          </w:p>
        </w:tc>
        <w:tc>
          <w:tcPr>
            <w:tcW w:w="140" w:type="dxa"/>
            <w:vAlign w:val="bottom"/>
          </w:tcPr>
          <w:p>
            <w:pPr>
              <w:spacing w:after="0"/>
              <w:rPr>
                <w:sz w:val="10"/>
                <w:szCs w:val="1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500" w:type="dxa"/>
            <w:vAlign w:val="bottom"/>
          </w:tcPr>
          <w:p>
            <w:pPr>
              <w:spacing w:after="0"/>
              <w:rPr>
                <w:sz w:val="10"/>
                <w:szCs w:val="10"/>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spacing w:after="0"/>
              <w:rPr>
                <w:sz w:val="10"/>
                <w:szCs w:val="10"/>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spacing w:after="0"/>
              <w:rPr>
                <w:sz w:val="10"/>
                <w:szCs w:val="10"/>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spacing w:after="0"/>
              <w:rPr>
                <w:sz w:val="10"/>
                <w:szCs w:val="10"/>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w w:val="88"/>
              </w:rPr>
              <w:t>1,454</w:t>
            </w:r>
          </w:p>
        </w:tc>
        <w:tc>
          <w:tcPr>
            <w:tcW w:w="160" w:type="dxa"/>
            <w:vAlign w:val="bottom"/>
          </w:tcPr>
          <w:p>
            <w:pPr>
              <w:spacing w:after="0"/>
              <w:rPr>
                <w:sz w:val="10"/>
                <w:szCs w:val="10"/>
                <w:color w:val="auto"/>
              </w:rPr>
            </w:pPr>
          </w:p>
        </w:tc>
        <w:tc>
          <w:tcPr>
            <w:tcW w:w="520" w:type="dxa"/>
            <w:vAlign w:val="bottom"/>
          </w:tcPr>
          <w:p>
            <w:pPr>
              <w:jc w:val="center"/>
              <w:ind w:left="299"/>
              <w:spacing w:after="0"/>
              <w:rPr>
                <w:sz w:val="20"/>
                <w:szCs w:val="20"/>
                <w:color w:val="auto"/>
              </w:rPr>
            </w:pPr>
            <w:r>
              <w:rPr>
                <w:rFonts w:ascii="Times New Roman" w:cs="Times New Roman" w:eastAsia="Times New Roman" w:hAnsi="Times New Roman"/>
                <w:sz w:val="8"/>
                <w:szCs w:val="8"/>
                <w:color w:val="auto"/>
                <w:w w:val="99"/>
              </w:rPr>
              <w:t>2.58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Corporate and Other Allocation</w:t>
            </w:r>
          </w:p>
        </w:tc>
        <w:tc>
          <w:tcPr>
            <w:tcW w:w="4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rPr>
              <w:t>(48)</w:t>
            </w:r>
          </w:p>
        </w:tc>
        <w:tc>
          <w:tcPr>
            <w:tcW w:w="20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rPr>
              <w:t>(0.09)</w:t>
            </w:r>
          </w:p>
        </w:tc>
        <w:tc>
          <w:tcPr>
            <w:tcW w:w="12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rPr>
              <w:t>(64)</w:t>
            </w:r>
          </w:p>
        </w:tc>
        <w:tc>
          <w:tcPr>
            <w:tcW w:w="2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8"/>
                <w:szCs w:val="8"/>
                <w:color w:val="auto"/>
              </w:rPr>
              <w:t>(0.12)</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rPr>
              <w:t>119</w:t>
            </w:r>
          </w:p>
        </w:tc>
        <w:tc>
          <w:tcPr>
            <w:tcW w:w="50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rPr>
              <w:t>0.22</w:t>
            </w:r>
          </w:p>
        </w:tc>
        <w:tc>
          <w:tcPr>
            <w:tcW w:w="48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(7)</w:t>
            </w:r>
          </w:p>
        </w:tc>
        <w:tc>
          <w:tcPr>
            <w:tcW w:w="48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(0.01)</w:t>
            </w: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2380" w:type="dxa"/>
            <w:vAlign w:val="bottom"/>
          </w:tcPr>
          <w:p>
            <w:pPr>
              <w:spacing w:after="0" w:line="79" w:lineRule="exact"/>
              <w:rPr>
                <w:sz w:val="20"/>
                <w:szCs w:val="20"/>
                <w:color w:val="auto"/>
              </w:rPr>
            </w:pPr>
            <w:r>
              <w:rPr>
                <w:rFonts w:ascii="Times New Roman" w:cs="Times New Roman" w:eastAsia="Times New Roman" w:hAnsi="Times New Roman"/>
                <w:sz w:val="8"/>
                <w:szCs w:val="8"/>
                <w:b w:val="1"/>
                <w:bCs w:val="1"/>
                <w:color w:val="auto"/>
              </w:rPr>
              <w:t>Consolidated on a non-GAAP basis</w:t>
            </w:r>
          </w:p>
        </w:tc>
        <w:tc>
          <w:tcPr>
            <w:tcW w:w="48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662</w:t>
            </w:r>
          </w:p>
        </w:tc>
        <w:tc>
          <w:tcPr>
            <w:tcW w:w="24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1.17</w:t>
            </w:r>
          </w:p>
        </w:tc>
        <w:tc>
          <w:tcPr>
            <w:tcW w:w="2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131</w:t>
            </w:r>
          </w:p>
        </w:tc>
        <w:tc>
          <w:tcPr>
            <w:tcW w:w="24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0.23</w:t>
            </w:r>
          </w:p>
        </w:tc>
        <w:tc>
          <w:tcPr>
            <w:tcW w:w="2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18</w:t>
            </w:r>
          </w:p>
        </w:tc>
        <w:tc>
          <w:tcPr>
            <w:tcW w:w="22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0.04</w:t>
            </w:r>
          </w:p>
        </w:tc>
        <w:tc>
          <w:tcPr>
            <w:tcW w:w="22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811</w:t>
            </w:r>
          </w:p>
        </w:tc>
        <w:tc>
          <w:tcPr>
            <w:tcW w:w="22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jc w:val="center"/>
              <w:ind w:left="299"/>
              <w:spacing w:after="0" w:line="79" w:lineRule="exact"/>
              <w:rPr>
                <w:sz w:val="20"/>
                <w:szCs w:val="20"/>
                <w:color w:val="auto"/>
              </w:rPr>
            </w:pPr>
            <w:r>
              <w:rPr>
                <w:rFonts w:ascii="Times New Roman" w:cs="Times New Roman" w:eastAsia="Times New Roman" w:hAnsi="Times New Roman"/>
                <w:sz w:val="8"/>
                <w:szCs w:val="8"/>
                <w:color w:val="auto"/>
                <w:w w:val="99"/>
              </w:rPr>
              <w:t>1.44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23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8"/>
                <w:szCs w:val="8"/>
                <w:b w:val="1"/>
                <w:bCs w:val="1"/>
                <w:color w:val="auto"/>
              </w:rPr>
              <w:t>Exclusion of CES</w:t>
            </w:r>
            <w:r>
              <w:rPr>
                <w:rFonts w:ascii="Times New Roman" w:cs="Times New Roman" w:eastAsia="Times New Roman" w:hAnsi="Times New Roman"/>
                <w:sz w:val="13"/>
                <w:szCs w:val="13"/>
                <w:b w:val="1"/>
                <w:bCs w:val="1"/>
                <w:color w:val="auto"/>
                <w:vertAlign w:val="superscript"/>
              </w:rPr>
              <w:t>(1)</w:t>
            </w:r>
            <w:r>
              <w:rPr>
                <w:rFonts w:ascii="Times New Roman" w:cs="Times New Roman" w:eastAsia="Times New Roman" w:hAnsi="Times New Roman"/>
                <w:sz w:val="8"/>
                <w:szCs w:val="8"/>
                <w:b w:val="1"/>
                <w:bCs w:val="1"/>
                <w:color w:val="auto"/>
              </w:rPr>
              <w:t xml:space="preserve"> and CIS</w:t>
            </w:r>
            <w:r>
              <w:rPr>
                <w:rFonts w:ascii="Times New Roman" w:cs="Times New Roman" w:eastAsia="Times New Roman" w:hAnsi="Times New Roman"/>
                <w:sz w:val="13"/>
                <w:szCs w:val="13"/>
                <w:b w:val="1"/>
                <w:bCs w:val="1"/>
                <w:color w:val="auto"/>
                <w:vertAlign w:val="superscript"/>
              </w:rPr>
              <w:t>(2)</w:t>
            </w:r>
            <w:r>
              <w:rPr>
                <w:rFonts w:ascii="Times New Roman" w:cs="Times New Roman" w:eastAsia="Times New Roman" w:hAnsi="Times New Roman"/>
                <w:sz w:val="8"/>
                <w:szCs w:val="8"/>
                <w:b w:val="1"/>
                <w:bCs w:val="1"/>
                <w:color w:val="auto"/>
              </w:rPr>
              <w:t xml:space="preserve"> Discontinued Operations</w:t>
            </w:r>
            <w:r>
              <w:rPr>
                <w:rFonts w:ascii="Times New Roman" w:cs="Times New Roman" w:eastAsia="Times New Roman" w:hAnsi="Times New Roman"/>
                <w:sz w:val="13"/>
                <w:szCs w:val="13"/>
                <w:b w:val="1"/>
                <w:bCs w:val="1"/>
                <w:color w:val="auto"/>
                <w:vertAlign w:val="superscript"/>
              </w:rPr>
              <w:t>(7)</w:t>
            </w:r>
          </w:p>
        </w:tc>
        <w:tc>
          <w:tcPr>
            <w:tcW w:w="4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50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(18)</w:t>
            </w:r>
          </w:p>
        </w:tc>
        <w:tc>
          <w:tcPr>
            <w:tcW w:w="48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(0.04)</w:t>
            </w:r>
          </w:p>
        </w:tc>
        <w:tc>
          <w:tcPr>
            <w:tcW w:w="48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(18)</w:t>
            </w:r>
          </w:p>
        </w:tc>
        <w:tc>
          <w:tcPr>
            <w:tcW w:w="1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center"/>
              <w:ind w:left="219"/>
              <w:spacing w:after="0"/>
              <w:rPr>
                <w:sz w:val="20"/>
                <w:szCs w:val="20"/>
                <w:color w:val="auto"/>
              </w:rPr>
            </w:pPr>
            <w:r>
              <w:rPr>
                <w:rFonts w:ascii="Times New Roman" w:cs="Times New Roman" w:eastAsia="Times New Roman" w:hAnsi="Times New Roman"/>
                <w:sz w:val="8"/>
                <w:szCs w:val="8"/>
                <w:color w:val="auto"/>
              </w:rPr>
              <w:t>(0.04)</w:t>
            </w:r>
          </w:p>
        </w:tc>
        <w:tc>
          <w:tcPr>
            <w:tcW w:w="0" w:type="dxa"/>
            <w:vAlign w:val="bottom"/>
          </w:tcPr>
          <w:p>
            <w:pPr>
              <w:spacing w:after="0"/>
              <w:rPr>
                <w:sz w:val="1"/>
                <w:szCs w:val="1"/>
                <w:color w:val="auto"/>
              </w:rPr>
            </w:pPr>
          </w:p>
        </w:tc>
      </w:tr>
      <w:tr>
        <w:trPr>
          <w:trHeight w:val="90"/>
        </w:trPr>
        <w:tc>
          <w:tcPr>
            <w:tcW w:w="2380" w:type="dxa"/>
            <w:vAlign w:val="bottom"/>
          </w:tcPr>
          <w:p>
            <w:pPr>
              <w:spacing w:after="0" w:line="90" w:lineRule="exact"/>
              <w:rPr>
                <w:sz w:val="20"/>
                <w:szCs w:val="20"/>
                <w:color w:val="auto"/>
              </w:rPr>
            </w:pPr>
            <w:r>
              <w:rPr>
                <w:rFonts w:ascii="Times New Roman" w:cs="Times New Roman" w:eastAsia="Times New Roman" w:hAnsi="Times New Roman"/>
                <w:sz w:val="7"/>
                <w:szCs w:val="7"/>
                <w:b w:val="1"/>
                <w:bCs w:val="1"/>
                <w:color w:val="auto"/>
              </w:rPr>
              <w:t>Consolidated on a non-GAAP basis, excluding CES</w:t>
            </w:r>
            <w:r>
              <w:rPr>
                <w:rFonts w:ascii="Times New Roman" w:cs="Times New Roman" w:eastAsia="Times New Roman" w:hAnsi="Times New Roman"/>
                <w:sz w:val="10"/>
                <w:szCs w:val="10"/>
                <w:b w:val="1"/>
                <w:bCs w:val="1"/>
                <w:color w:val="auto"/>
                <w:vertAlign w:val="superscript"/>
              </w:rPr>
              <w:t>(1)</w:t>
            </w:r>
            <w:r>
              <w:rPr>
                <w:rFonts w:ascii="Times New Roman" w:cs="Times New Roman" w:eastAsia="Times New Roman" w:hAnsi="Times New Roman"/>
                <w:sz w:val="7"/>
                <w:szCs w:val="7"/>
                <w:b w:val="1"/>
                <w:bCs w:val="1"/>
                <w:color w:val="auto"/>
              </w:rPr>
              <w:t xml:space="preserve"> and</w:t>
            </w:r>
          </w:p>
        </w:tc>
        <w:tc>
          <w:tcPr>
            <w:tcW w:w="48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380" w:type="dxa"/>
            <w:vAlign w:val="bottom"/>
          </w:tcPr>
          <w:p>
            <w:pPr>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CIS</w:t>
            </w:r>
            <w:r>
              <w:rPr>
                <w:rFonts w:ascii="Times New Roman" w:cs="Times New Roman" w:eastAsia="Times New Roman" w:hAnsi="Times New Roman"/>
                <w:sz w:val="7"/>
                <w:szCs w:val="7"/>
                <w:b w:val="1"/>
                <w:bCs w:val="1"/>
                <w:color w:val="auto"/>
              </w:rPr>
              <w:t>(2)</w:t>
            </w:r>
          </w:p>
        </w:tc>
        <w:tc>
          <w:tcPr>
            <w:tcW w:w="480" w:type="dxa"/>
            <w:vAlign w:val="bottom"/>
          </w:tcPr>
          <w:p>
            <w:pPr>
              <w:jc w:val="right"/>
              <w:ind w:right="405"/>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8"/>
                <w:szCs w:val="8"/>
                <w:color w:val="auto"/>
              </w:rPr>
              <w:t>662</w:t>
            </w:r>
          </w:p>
        </w:tc>
        <w:tc>
          <w:tcPr>
            <w:tcW w:w="200" w:type="dxa"/>
            <w:vAlign w:val="bottom"/>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8"/>
                <w:szCs w:val="8"/>
                <w:color w:val="auto"/>
              </w:rPr>
              <w:t>1.17</w:t>
            </w:r>
          </w:p>
        </w:tc>
        <w:tc>
          <w:tcPr>
            <w:tcW w:w="120" w:type="dxa"/>
            <w:vAlign w:val="bottom"/>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8"/>
                <w:szCs w:val="8"/>
                <w:color w:val="auto"/>
              </w:rPr>
              <w:t>131</w:t>
            </w:r>
          </w:p>
        </w:tc>
        <w:tc>
          <w:tcPr>
            <w:tcW w:w="200" w:type="dxa"/>
            <w:vAlign w:val="bottom"/>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rPr>
              <w:t>0.23</w:t>
            </w:r>
          </w:p>
        </w:tc>
        <w:tc>
          <w:tcPr>
            <w:tcW w:w="1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500" w:type="dxa"/>
            <w:vAlign w:val="bottom"/>
          </w:tcPr>
          <w:p>
            <w:pPr>
              <w:jc w:val="right"/>
              <w:ind w:right="384"/>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jc w:val="right"/>
              <w:ind w:right="382"/>
              <w:spacing w:after="0"/>
              <w:rPr>
                <w:sz w:val="20"/>
                <w:szCs w:val="20"/>
                <w:color w:val="auto"/>
              </w:rPr>
            </w:pPr>
            <w:r>
              <w:rPr>
                <w:rFonts w:ascii="Times New Roman" w:cs="Times New Roman" w:eastAsia="Times New Roman" w:hAnsi="Times New Roman"/>
                <w:sz w:val="8"/>
                <w:szCs w:val="8"/>
                <w:color w:val="auto"/>
                <w:w w:val="98"/>
              </w:rPr>
              <w:t>$</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rPr>
              <w:t>$ —</w:t>
            </w:r>
          </w:p>
        </w:tc>
        <w:tc>
          <w:tcPr>
            <w:tcW w:w="480" w:type="dxa"/>
            <w:vAlign w:val="bottom"/>
          </w:tcPr>
          <w:p>
            <w:pPr>
              <w:jc w:val="right"/>
              <w:ind w:right="384"/>
              <w:spacing w:after="0"/>
              <w:rPr>
                <w:sz w:val="20"/>
                <w:szCs w:val="20"/>
                <w:color w:val="auto"/>
              </w:rPr>
            </w:pPr>
            <w:r>
              <w:rPr>
                <w:rFonts w:ascii="Times New Roman" w:cs="Times New Roman" w:eastAsia="Times New Roman" w:hAnsi="Times New Roman"/>
                <w:sz w:val="8"/>
                <w:szCs w:val="8"/>
                <w:color w:val="auto"/>
                <w:w w:val="98"/>
              </w:rPr>
              <w:t>$</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jc w:val="right"/>
              <w:ind w:right="405"/>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rPr>
              <w:t>793</w:t>
            </w:r>
          </w:p>
        </w:tc>
        <w:tc>
          <w:tcPr>
            <w:tcW w:w="160" w:type="dxa"/>
            <w:vAlign w:val="bottom"/>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Pr>
          <w:p>
            <w:pPr>
              <w:jc w:val="center"/>
              <w:ind w:left="299"/>
              <w:spacing w:after="0"/>
              <w:rPr>
                <w:sz w:val="20"/>
                <w:szCs w:val="20"/>
                <w:color w:val="auto"/>
              </w:rPr>
            </w:pPr>
            <w:r>
              <w:rPr>
                <w:rFonts w:ascii="Times New Roman" w:cs="Times New Roman" w:eastAsia="Times New Roman" w:hAnsi="Times New Roman"/>
                <w:sz w:val="8"/>
                <w:szCs w:val="8"/>
                <w:color w:val="auto"/>
                <w:w w:val="99"/>
              </w:rPr>
              <w:t>1.40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420" w:hanging="212"/>
        <w:spacing w:after="0"/>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Energy Services segment</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Infrastructure Services segment</w:t>
      </w:r>
    </w:p>
    <w:p>
      <w:pPr>
        <w:spacing w:after="0" w:line="6" w:lineRule="exact"/>
        <w:rPr>
          <w:rFonts w:ascii="Times New Roman" w:cs="Times New Roman" w:eastAsia="Times New Roman" w:hAnsi="Times New Roman"/>
          <w:sz w:val="12"/>
          <w:szCs w:val="12"/>
          <w:color w:val="auto"/>
        </w:rPr>
      </w:pPr>
    </w:p>
    <w:p>
      <w:pPr>
        <w:ind w:left="420" w:right="20" w:hanging="212"/>
        <w:spacing w:after="0" w:line="250" w:lineRule="auto"/>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Quarterly diluted EPS on both a GAAP and non-GAAP basis are based on the weighted average number of shares of common stock outstanding during the quarter, and the sum of the quarters may not equal year-to-date diluted EPS. EPS figures for Utility Operations, Corporate and Other, and Discontinued Operations are non-GAAP financial measures.</w:t>
      </w:r>
    </w:p>
    <w:p>
      <w:pPr>
        <w:ind w:left="420" w:hanging="212"/>
        <w:spacing w:after="0"/>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Taxes are computed based on the impact removing such item would have on tax expense</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2" w:name="page13"/>
    <w:bookmarkEnd w:id="12"/>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Comprised of common stock of AT&amp;T Inc. and Charter Communications, Inc.</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Corporate and Other, plus income allocated to preferred shareholders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Results related to Energy Services and Infrastructure Services discontinued operations are excluded from the company's non-GAAP results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Filing of Form 10-Q for CenterPoint Energy, Inc.</w:t>
      </w:r>
    </w:p>
    <w:p>
      <w:pPr>
        <w:spacing w:after="0" w:line="154"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1"/>
          <w:szCs w:val="11"/>
          <w:color w:val="auto"/>
        </w:rPr>
        <w:t>Today, CenterPoint Energy, Inc. filed with the Securities and Exchange Commission (“SEC”) its Quarterly Report on Form 10-Q for the quarter ended September 30, 2026. A copy of that report is available on the company’s website, under the Investors section. Investors and others should note that we may announce material information using SEC filings, press releases, public conference calls, webcasts, and the Investor Relations page of our website. In the future, we will continue to use these channels to distribute material information about the company and to communicate important information about the company, key personnel, corporate initiatives, regulatory updates, and other matters. Information that we post on our website could be deemed material; therefore, we encourage investors, the media, our customers, business partners and others interested in our company to review the information we post on our website.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Webcast of Earnings Conference Call</w:t>
      </w:r>
    </w:p>
    <w:p>
      <w:pPr>
        <w:spacing w:after="0" w:line="154"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CenterPoint’s management will host an earnings conference call on October 27, 2026, at 7:00 a.m. Central time / 8:00 a.m. Eastern time. Interested parties may listen to a live audio broadcast of the conference call on the company’s website under the Investors section. A replay of the call can be accessed approximately two hours after the completion of the call and will be archived on the website for at least one year.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CenterPoint Energy, Inc.</w:t>
      </w:r>
    </w:p>
    <w:p>
      <w:pPr>
        <w:spacing w:after="0" w:line="154"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2"/>
          <w:szCs w:val="12"/>
          <w:color w:val="auto"/>
        </w:rPr>
        <w:t>As the only investor owned electric and gas utility based in Texas, CenterPoint Energy, Inc. (NYSE: CNP) is an energy delivery company with electric transmission and distribution, power generation and natural gas distribution operations that serve nearly 7 million metered customers in Indiana, Minnesota, and Texas. As of September 30, 2026, the company owned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approximately $49.5 billion in assets. With approximately 8,800 employees, CenterPoint Energy and its predecessor companies have been in business for more than 150 years. For more information, visit CenterPointEnergy.co</w:t>
      </w:r>
      <w:r>
        <w:rPr>
          <w:rFonts w:ascii="Times New Roman" w:cs="Times New Roman" w:eastAsia="Times New Roman" w:hAnsi="Times New Roman"/>
          <w:sz w:val="12"/>
          <w:szCs w:val="12"/>
          <w:u w:val="single" w:color="auto"/>
          <w:color w:val="auto"/>
        </w:rPr>
        <w:t>m</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2"/>
          <w:szCs w:val="12"/>
          <w:color w:val="auto"/>
        </w:rPr>
        <w:t>This news release includes, and the earnings conference call will include forward-looking statements within the meaning of Section 27A of the Securities Act of 1933, as amended, and Section 21E of the Securities Exchange Act of 1934, as amended. All statements other than statements of historical fact included in this news release and the earnings conference call are forward-looking statements made in good faith by CenterPoint and are intended to qualify for the safe harbor from liability established by the Private Securities Litigation Reform Act of 1995, including statements concerning CenterPoint’s expectations, beliefs, plans, objectives, goals, strategies, future operations, events, financial position, earnings and guidance, growth, costs, prospects, capital investments or performance or underlying assumptions and other statements that are not historical facts. You should not place undue reliance on forward-looking statements. When used in this news release and the conference call, the words "anticipate," "believe," "continue," "could," "estimate," "expect," "forecast," "goal," "intend," "may," "objective," "plan," "potential," "predict," "projection," "should," "target," "will" or other similar words are intended to identify forward-looking statements. The absence of these words, however, does not mean that the statements are not forward-looking.</w:t>
      </w: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00" w:top="651" w:right="359" w:bottom="1440" w:gutter="0" w:footer="0" w:header="0"/>
        </w:sectPr>
      </w:pPr>
    </w:p>
    <w:bookmarkStart w:id="13" w:name="page14"/>
    <w:bookmarkEnd w:id="13"/>
    <w:p>
      <w:pPr>
        <w:spacing w:after="0" w:line="251" w:lineRule="auto"/>
        <w:rPr>
          <w:sz w:val="20"/>
          <w:szCs w:val="20"/>
          <w:color w:val="auto"/>
        </w:rPr>
      </w:pPr>
      <w:r>
        <w:rPr>
          <w:rFonts w:ascii="Times New Roman" w:cs="Times New Roman" w:eastAsia="Times New Roman" w:hAnsi="Times New Roman"/>
          <w:sz w:val="12"/>
          <w:szCs w:val="12"/>
          <w:color w:val="auto"/>
        </w:rPr>
        <w:t>Examples of forward- looking statements in this news release or on the earnings conference call include statements about CenterPoint’s 10-year capital investment plan and the projects and programs therein (which include Houston Electric’s Greater Houston Resiliency Initiative, System Resiliency Plan, industrial load growth projects, large load customers and 765 kilovolt transmission projects, and other plans, projects and programs relating to electric transmission, generation, resiliency, reliability, safety, and system modernization), including the amount of gigawatts expected to be connected to the Houston Electric system, timing, execution, financing, costs, affordability, and anticipated benefits thereof, including the amount and timing of anticipated cost savings for customers, regulatory matters relating thereto, including ERCOT’s approval of the amount of gigawatts to be added to the system, allocation of such gigawatts between base and studied load and the impact to timing of the energization of such projects as a result, and related matters, other capital investments and opportunities therefor (including with respect to incremental capital opportunities, deployment of capital, execution, financing and timing of such projects, and anticipated benefits related thereto), future earnings and guidance, CenterPoint’s goals regarding the resiliency, reliability, and safety of our electric and gas systems, CenterPoint’s long-term growth rate and plans related thereto, dividend growth and payouts, customer charges, customer bills and rate affordability (including forecasts of potential customer savings), operations and maintenance expense reductions, the sale of our Ohio natural gas LDC business (including with respect to timing, anticipated benefits, and related matters, such as the Seller’s Note), anticipated benefits thereof, regulatory matters including the timing of, projections for, recovery through and anticipated benefits from the settlement of, rate cases and interim capital trackers for CenterPoint and its subsidiaries (as applicable), base rate growth and population growth and economic development in CenterPoint’s service territories, CenterPoint’s ability to support economic growth, meet customer needs and improve customer experiences, Houston Electric’s release of its 15 large 27 megawatt (“MW”) to 32 MW temporary emergency electric energy facilities (“TEEEF”) units to the San Antonio area and its ability to complete one or more other future transactions involving various sizes of TEEEF units (including with respect to timing, filings related thereto, corresponding reductions in Houston Electric’s TEEEF fleet capacity, anticipated benefits including with respect to revenue generation, rates, expected market demand for the units, and related matters), the timing and extent of CenterPoint's recovery of costs and investments, electric demand growth (including industrial load growth) in CenterPoint’s service territories (including forecasts and the drivers thereof, our ability to meet capacity needs related thereto, interconnection requests and projects related thereto and our ability to connect customers, anticipated timing and the speed with which we can energize such projects and the charges and bills related to such projects, capital investment opportunities related thereto, the timing of investments related thereto, and anticipated benefits of such growth), transmission planning studies and anticipated results thereof, financing plans (including in relation to operating cash flow, capital recycling, and the need for, timing of, and anticipated benefits of any future equity or debt issuances, forward sales, and securitization, credit metrics and parent level debt), preparation for weather conditions, CenterPoint’s 2.0% Zero-Premium Exchangeable Subordinated Notes due 2029 (“ZENS”) and impacts of the maturity of ZENS, CenterPoint’s credit health, tax structure and liability (including with respect to the Corporate Alternative Minimum Tax and guidance related thereto), balance sheet health, future financial condition, financial performance and results of operations, value creation, opportunities and expectations. We have based our forward-looking statements on our management’s beliefs and assumptions based on information currently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 Each forward-looking statement contained in this news release or discussed on the earnings conference call speaks only as of the date of this release or the earnings conference call.</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 w:name="page15"/>
    <w:bookmarkEnd w:id="14"/>
    <w:p>
      <w:pPr>
        <w:spacing w:after="0" w:line="251" w:lineRule="auto"/>
        <w:rPr>
          <w:sz w:val="20"/>
          <w:szCs w:val="20"/>
          <w:color w:val="auto"/>
        </w:rPr>
      </w:pPr>
      <w:r>
        <w:rPr>
          <w:rFonts w:ascii="Times New Roman" w:cs="Times New Roman" w:eastAsia="Times New Roman" w:hAnsi="Times New Roman"/>
          <w:sz w:val="12"/>
          <w:szCs w:val="12"/>
          <w:color w:val="auto"/>
        </w:rPr>
        <w:t xml:space="preserve">Some of the factors that could cause actual results to differ from those expressed or implied by our forward-looking information include, but are not limited to, risks and uncertainties relating to: (1) the business strategies and strategic initiatives, restructurings, joint ventures and acquisitions or dispositions of assets or businesses involving CenterPoint or its industry, including the ability to successfully complete such strategies, initiatives, transactions or plans on the timelines we expect or at all, such as the completed sale of our Ohio natural gas LDC business, which we cannot assure you will have the anticipated benefits to us; (2) industrial, commercial and residential growth in CenterPoint’s service territories and changes in market demand and energy consumption, including in relation to the expansion of data centers, energy refining and exports, advanced manufacturing and logistics, as well as the effects of energy efficiency measures, technological advances and demographic patterns, and our ability to appropriately estimate/forecast and effectively manage such demand and the business opportunities relating to such matters (including the receipt of timely large-load interconnection regulatory approvals) as well as obtain the anticipated benefits, including related to customer affordability, associated with such demand; (3) the amount of gigawatts projected to be connected to the Houston Electric system and the timing of such additional large-load customer connections and associated energization, which may be affected by any delays or cancellations, including from large-load customers’ failure to obtain ERCOT approval into Batch Zero and future batch frameworks, or legislative, regulatory or government actions; (4) CenterPoint’s ability to fund and invest planned capital, and the timely recovery of its investments, including those related to CenterPoint’s 10-year capital plan; (5) the ability to execute and complete CenterPoint’s planned capital projects and programs, including those within CenterPoint’s 10-year capital plan, in a timely and cost-effective manner and within budget, obtain the anticipated benefits of such projects, and manage costs and impacts of such projects on customer affordability; (6) CenterPoint’s ability to successfully construct, operate, repair, maintain, replace and restart electric generating facilities, natural gas facilities, TEEEF and electric transmission facilities; (7) the timing and success of, and the ability to obtain approval for matters relating to, Houston Electric’s release of its large TEEEF units to the San Antonio area, proposed removal of its medium TEEEF units, reduction of its TEEEF fleet capacity and reduction of rates to reflect the removal of the large and medium TEEEF units from Houston Electric’s TEEEF fleet, as well as the ability to complete one or more other future transactions involving the large and medium TEEEF units on acceptable terms and conditions within the anticipated timeframe; (8) financial market and general economic conditions, including access to debt and equity capital, economic uncertainty and volatility, inflation, potential for recession, interest rates, and their effect on sales, prices and costs; (9) disruptions to the global supply chain, labor shortages and scarcity of certain materials, including as a result of changes in U.S. and foreign trade policy and geopolitical and economic uncertainty or instability, including the conflict involving Iran; (10) actions by credit rating agencies, including any potential downgrades to credit ratings; (11) the timing and impact of regulatory proceedings and actions and legal proceedings, including those related to, among other things, Hurricane Beryl, Houston Electric’s TEEEF units and the February 2021 winter storm event, and requested or favorable adjustments to rates and approval of other requested items as part of base rate proceedings or interim rate mechanisms; (12) federal, state and local legislative, executive and regulatory actions or developments, including any actions resulting from Hurricane Beryl, pipeline integrity and safety, actions relating to our facilities and changes in regulation, legislation and governmental actions pertaining to the utility model, proposed large- load customer connections, trade (including tariffs, bans, retaliatory trade measures taken against the United States or related government action), tax legislation and guidance (including further changes to or clarification of the One Big Beautiful Bill Act and the Inflation Reduction Act), the implementation of budget and spending cuts to federal government agencies and programs, effects of government shutdowns, and developments related to the environment; (13) the impact of public health threats; (14) severe weather events, natural disasters and other climate-related impacts, and CenterPoint’s ability to mitigate such impacts, including the approval and timing of securitization issuances; (15) damages to our network, facilities and systems, including as a result of wildfires; (16) changes in business plans; (17) changes to technology and our ability to anticipate, adapt to and implement technological changes and advances in and our ability to timely adopt, develop and deploy, artificial intelligence; (18) operations and maintenance costs, our ability to control such costs and cost-related impacts on the affordability of our rates for our customers; (19) CenterPoint’s ability to timely obtain and maintain necessary land rights, licenses, permits, easements and approvals from landowners and local, state, federal and other regulatory authorities on acceptable terms and resolve disputes or third-party challenges to such licenses, permits or approvals, as applicable; (20) CenterPoint’s ability to execute on its strategy, initiatives, targets and goals, including its energy transition goals and operations and maintenance goals; and (21) other factors discussed in CenterPoint’s Annual Report on Form 10- K for the fiscal year ended December 31, 2025 and CenterPoint’s Quarterly Report Form 10-Q for the quarters ended March 31, 2026, June 30, 2026 and September 30, 2026, including under “Risk Factors,” “Cautionary Statements Regarding Forward-Looking Information” and “Management’s Discussion and Analysis of Financial Condition and Results of Operations — Certain Factors Affecting Future Earnings” in such report and in other filings with the Securities and Exchange Commission (“SEC”) by CenterPoint, which can be found at </w:t>
      </w:r>
      <w:r>
        <w:rPr>
          <w:rFonts w:ascii="Times New Roman" w:cs="Times New Roman" w:eastAsia="Times New Roman" w:hAnsi="Times New Roman"/>
          <w:sz w:val="12"/>
          <w:szCs w:val="12"/>
          <w:u w:val="single" w:color="auto"/>
          <w:color w:val="auto"/>
        </w:rPr>
        <w:t>www.centerpointenergy.com</w:t>
      </w:r>
      <w:r>
        <w:rPr>
          <w:rFonts w:ascii="Times New Roman" w:cs="Times New Roman" w:eastAsia="Times New Roman" w:hAnsi="Times New Roman"/>
          <w:sz w:val="12"/>
          <w:szCs w:val="12"/>
          <w:color w:val="auto"/>
        </w:rPr>
        <w:t xml:space="preserve"> on the Investor Relations page or on the SEC website at </w:t>
      </w:r>
      <w:r>
        <w:rPr>
          <w:rFonts w:ascii="Times New Roman" w:cs="Times New Roman" w:eastAsia="Times New Roman" w:hAnsi="Times New Roman"/>
          <w:sz w:val="12"/>
          <w:szCs w:val="12"/>
          <w:u w:val="single" w:color="auto"/>
          <w:color w:val="auto"/>
        </w:rPr>
        <w:t>www.sec.gov</w:t>
      </w:r>
      <w:r>
        <w:rPr>
          <w:rFonts w:ascii="Times New Roman" w:cs="Times New Roman" w:eastAsia="Times New Roman" w:hAnsi="Times New Roman"/>
          <w:sz w:val="12"/>
          <w:szCs w:val="12"/>
          <w:color w:val="auto"/>
        </w:rPr>
        <w:t>.</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15" w:name="page16"/>
    <w:bookmarkEnd w:id="15"/>
    <w:p>
      <w:pPr>
        <w:ind w:left="9540"/>
        <w:spacing w:after="0"/>
        <w:rPr>
          <w:sz w:val="20"/>
          <w:szCs w:val="20"/>
          <w:color w:val="auto"/>
        </w:rPr>
      </w:pPr>
      <w:r>
        <w:rPr>
          <w:rFonts w:ascii="Times New Roman" w:cs="Times New Roman" w:eastAsia="Times New Roman" w:hAnsi="Times New Roman"/>
          <w:sz w:val="11"/>
          <w:szCs w:val="1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111760</wp:posOffset>
            </wp:positionV>
            <wp:extent cx="7087235" cy="4526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bullet"/>
      <w:start w:val="1"/>
    </w:lvl>
  </w:abstractNum>
  <w:abstractNum w:abstractNumId="2">
    <w:nsid w:val="12200854"/>
    <w:multiLevelType w:val="hybridMultilevel"/>
    <w:lvl w:ilvl="0">
      <w:lvlJc w:val="left"/>
      <w:lvlText w:val="·"/>
      <w:numFmt w:val="bullet"/>
      <w:start w:val="1"/>
    </w:lvl>
    <w:lvl w:ilvl="1">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4"/>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2"/>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2"/>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2026-10-27T07:04:56Z</dcterms:created>
  <dcterms:modified xsi:type="dcterms:W3CDTF">2026-10-27T07:04:56Z</dcterms:modified>
</cp:coreProperties>
</file>